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3563" w14:textId="77777777" w:rsidR="003D367F" w:rsidRPr="00F94D15" w:rsidRDefault="003D367F" w:rsidP="00107D4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94D15">
        <w:rPr>
          <w:rFonts w:cs="Calibri"/>
        </w:rPr>
        <w:t>Tlačová správa </w:t>
      </w:r>
    </w:p>
    <w:p w14:paraId="30D7FF91" w14:textId="77777777" w:rsidR="003D367F" w:rsidRPr="00F94D15" w:rsidRDefault="003D367F" w:rsidP="00107D4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94D15">
        <w:rPr>
          <w:rFonts w:cs="Calibri"/>
          <w:b/>
          <w:bCs/>
          <w:color w:val="333333"/>
          <w:sz w:val="24"/>
          <w:szCs w:val="24"/>
        </w:rPr>
        <w:t>Kde sa učí s porozumením, tam sa menej podvádza</w:t>
      </w:r>
    </w:p>
    <w:p w14:paraId="69742707" w14:textId="77777777" w:rsidR="003D367F" w:rsidRPr="00F94D15" w:rsidRDefault="003D367F" w:rsidP="00107D44">
      <w:pPr>
        <w:spacing w:after="0" w:line="240" w:lineRule="auto"/>
        <w:textAlignment w:val="baseline"/>
        <w:rPr>
          <w:rFonts w:cs="Calibri"/>
          <w:i/>
          <w:iCs/>
        </w:rPr>
      </w:pPr>
      <w:r w:rsidRPr="00F94D15">
        <w:rPr>
          <w:rFonts w:cs="Calibri"/>
          <w:i/>
          <w:iCs/>
        </w:rPr>
        <w:t>Agentúra predstavila podrobné dáta o vnímaní vysokých škôl študentmi</w:t>
      </w:r>
    </w:p>
    <w:p w14:paraId="280A3114" w14:textId="77777777" w:rsidR="003D367F" w:rsidRPr="00F94D15" w:rsidRDefault="003D367F" w:rsidP="00107D44">
      <w:pPr>
        <w:spacing w:after="0" w:line="240" w:lineRule="auto"/>
        <w:textAlignment w:val="baseline"/>
        <w:rPr>
          <w:rFonts w:cs="Calibri"/>
        </w:rPr>
      </w:pPr>
    </w:p>
    <w:p w14:paraId="2A099792" w14:textId="1B502B7C" w:rsidR="003D367F" w:rsidRPr="00F94D15" w:rsidRDefault="003D367F" w:rsidP="00107D4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F94D15">
        <w:rPr>
          <w:rFonts w:cs="Calibri"/>
        </w:rPr>
        <w:t>Bratislava,</w:t>
      </w:r>
      <w:r w:rsidRPr="00F94D15">
        <w:rPr>
          <w:rFonts w:cs="Calibri"/>
          <w:b/>
          <w:bCs/>
        </w:rPr>
        <w:t> </w:t>
      </w:r>
      <w:r w:rsidRPr="00F94D15">
        <w:rPr>
          <w:rFonts w:cs="Calibri"/>
        </w:rPr>
        <w:t>26. 10. 2021 –</w:t>
      </w:r>
      <w:r w:rsidRPr="00F94D15">
        <w:rPr>
          <w:rFonts w:cs="Calibri"/>
          <w:b/>
          <w:bCs/>
          <w:i/>
          <w:iCs/>
        </w:rPr>
        <w:t> </w:t>
      </w:r>
      <w:r w:rsidRPr="00F94D15">
        <w:rPr>
          <w:b/>
          <w:i/>
          <w:color w:val="242424"/>
        </w:rPr>
        <w:t xml:space="preserve">Slovenská akreditačná agentúra pre vysoké školstvo </w:t>
      </w:r>
      <w:r>
        <w:rPr>
          <w:b/>
          <w:i/>
          <w:color w:val="242424"/>
        </w:rPr>
        <w:t xml:space="preserve">(SAAVŠ) </w:t>
      </w:r>
      <w:r w:rsidRPr="00F94D15">
        <w:rPr>
          <w:b/>
          <w:i/>
          <w:color w:val="242424"/>
        </w:rPr>
        <w:t xml:space="preserve">predstavila podrobné dáta z prieskumu názorov študentov Akademická štvrťhodinka. Výsledky už majú k dispozícii aj vysoké školy. Z nich okrem iného vyplýva, že respondenti sa menej často stretávali s podvádzaním tam, kde sa učitelia zameriavali na to, aby študenti učivo aj pochopili. </w:t>
      </w:r>
      <w:r w:rsidRPr="00F94D15">
        <w:rPr>
          <w:b/>
          <w:i/>
          <w:iCs/>
        </w:rPr>
        <w:t>Napríklad len 23</w:t>
      </w:r>
      <w:r w:rsidR="003E44A1">
        <w:rPr>
          <w:b/>
          <w:i/>
          <w:iCs/>
        </w:rPr>
        <w:t xml:space="preserve"> </w:t>
      </w:r>
      <w:r w:rsidRPr="00F94D15">
        <w:rPr>
          <w:b/>
          <w:i/>
          <w:iCs/>
        </w:rPr>
        <w:t xml:space="preserve">% respondentov, ktorých učitelia používali </w:t>
      </w:r>
      <w:r>
        <w:rPr>
          <w:b/>
          <w:i/>
          <w:iCs/>
        </w:rPr>
        <w:t xml:space="preserve">takéto </w:t>
      </w:r>
      <w:r w:rsidRPr="00F94D15">
        <w:rPr>
          <w:b/>
          <w:i/>
          <w:iCs/>
        </w:rPr>
        <w:t>metódy</w:t>
      </w:r>
      <w:r w:rsidR="003E44A1">
        <w:rPr>
          <w:b/>
          <w:i/>
          <w:iCs/>
        </w:rPr>
        <w:t>,</w:t>
      </w:r>
      <w:r w:rsidRPr="00F94D15">
        <w:rPr>
          <w:b/>
          <w:i/>
          <w:iCs/>
        </w:rPr>
        <w:t xml:space="preserve"> sa počas štúdia stretlo s kupovaním prác. Naopak, tam</w:t>
      </w:r>
      <w:r w:rsidR="003E44A1">
        <w:rPr>
          <w:b/>
          <w:i/>
          <w:iCs/>
        </w:rPr>
        <w:t>,</w:t>
      </w:r>
      <w:r w:rsidRPr="00F94D15">
        <w:rPr>
          <w:b/>
          <w:i/>
          <w:iCs/>
        </w:rPr>
        <w:t xml:space="preserve"> kde len </w:t>
      </w:r>
      <w:r>
        <w:rPr>
          <w:b/>
          <w:i/>
          <w:iCs/>
        </w:rPr>
        <w:t xml:space="preserve">menšia </w:t>
      </w:r>
      <w:r w:rsidRPr="00F94D15">
        <w:rPr>
          <w:b/>
          <w:i/>
          <w:iCs/>
        </w:rPr>
        <w:t>časť učiteľov používala tieto metódy, sa s kupovaním prác stretlo až 36</w:t>
      </w:r>
      <w:r w:rsidR="003E44A1">
        <w:rPr>
          <w:b/>
          <w:i/>
          <w:iCs/>
        </w:rPr>
        <w:t xml:space="preserve"> </w:t>
      </w:r>
      <w:r w:rsidRPr="00F94D15">
        <w:rPr>
          <w:b/>
          <w:i/>
          <w:iCs/>
        </w:rPr>
        <w:t>% respondentov</w:t>
      </w:r>
      <w:r w:rsidRPr="00F94D15">
        <w:rPr>
          <w:i/>
          <w:iCs/>
        </w:rPr>
        <w:t>.</w:t>
      </w:r>
      <w:r w:rsidRPr="00F94D15">
        <w:rPr>
          <w:b/>
          <w:i/>
          <w:color w:val="242424"/>
        </w:rPr>
        <w:t xml:space="preserve"> Učitelia sú kľúčoví aj pri príprave študentov na život. Až takmer 80 % končiacich študentov, ktorých učitelia rozvíjali ich potenciál, sa </w:t>
      </w:r>
      <w:r w:rsidR="003E44A1" w:rsidRPr="00F94D15">
        <w:rPr>
          <w:b/>
          <w:i/>
          <w:color w:val="242424"/>
        </w:rPr>
        <w:t>cítil</w:t>
      </w:r>
      <w:r w:rsidR="003E44A1">
        <w:rPr>
          <w:b/>
          <w:i/>
          <w:color w:val="242424"/>
        </w:rPr>
        <w:t>o</w:t>
      </w:r>
      <w:r w:rsidR="003E44A1" w:rsidRPr="00F94D15">
        <w:rPr>
          <w:b/>
          <w:i/>
          <w:color w:val="242424"/>
        </w:rPr>
        <w:t xml:space="preserve"> pripraven</w:t>
      </w:r>
      <w:r w:rsidR="003E44A1">
        <w:rPr>
          <w:b/>
          <w:i/>
          <w:color w:val="242424"/>
        </w:rPr>
        <w:t>ých</w:t>
      </w:r>
      <w:r w:rsidR="003E44A1" w:rsidRPr="00F94D15">
        <w:rPr>
          <w:b/>
          <w:i/>
          <w:color w:val="242424"/>
        </w:rPr>
        <w:t xml:space="preserve"> </w:t>
      </w:r>
      <w:r w:rsidRPr="00F94D15">
        <w:rPr>
          <w:b/>
          <w:i/>
          <w:color w:val="242424"/>
        </w:rPr>
        <w:t>na život po VŠ. Naopak</w:t>
      </w:r>
      <w:r w:rsidR="003E44A1">
        <w:rPr>
          <w:b/>
          <w:i/>
          <w:color w:val="242424"/>
        </w:rPr>
        <w:t>,</w:t>
      </w:r>
      <w:r w:rsidRPr="00F94D15">
        <w:rPr>
          <w:b/>
          <w:i/>
          <w:color w:val="242424"/>
        </w:rPr>
        <w:t xml:space="preserve"> </w:t>
      </w:r>
      <w:r w:rsidR="000B4512">
        <w:rPr>
          <w:b/>
          <w:i/>
          <w:color w:val="242424"/>
        </w:rPr>
        <w:t>rovnako sa cítilo</w:t>
      </w:r>
      <w:r w:rsidR="008A4224">
        <w:rPr>
          <w:b/>
          <w:i/>
          <w:color w:val="242424"/>
        </w:rPr>
        <w:t xml:space="preserve"> </w:t>
      </w:r>
      <w:r w:rsidRPr="00F94D15">
        <w:rPr>
          <w:b/>
          <w:i/>
          <w:color w:val="242424"/>
        </w:rPr>
        <w:t xml:space="preserve">len 40 % respondentov, ktorí mali menšinu takýchto učiteľov. </w:t>
      </w:r>
      <w:r w:rsidRPr="00F94D15">
        <w:rPr>
          <w:b/>
          <w:bCs/>
          <w:i/>
          <w:iCs/>
          <w:color w:val="242424"/>
        </w:rPr>
        <w:t>Na rozvoj oboch týchto</w:t>
      </w:r>
      <w:r w:rsidRPr="00F94D15">
        <w:rPr>
          <w:b/>
          <w:i/>
          <w:color w:val="242424"/>
        </w:rPr>
        <w:t xml:space="preserve"> </w:t>
      </w:r>
      <w:r w:rsidRPr="00F94D15">
        <w:rPr>
          <w:b/>
          <w:bCs/>
          <w:i/>
          <w:iCs/>
          <w:color w:val="242424"/>
        </w:rPr>
        <w:t>oblastí</w:t>
      </w:r>
      <w:r w:rsidRPr="00F94D15">
        <w:rPr>
          <w:b/>
          <w:i/>
          <w:color w:val="242424"/>
        </w:rPr>
        <w:t xml:space="preserve"> je </w:t>
      </w:r>
      <w:r w:rsidRPr="00F94D15">
        <w:rPr>
          <w:b/>
          <w:bCs/>
          <w:i/>
          <w:iCs/>
          <w:color w:val="242424"/>
        </w:rPr>
        <w:t>potrebn</w:t>
      </w:r>
      <w:r w:rsidRPr="00F94D15" w:rsidDel="22DCD11E">
        <w:rPr>
          <w:b/>
          <w:bCs/>
          <w:i/>
          <w:iCs/>
          <w:color w:val="242424"/>
        </w:rPr>
        <w:t>ý</w:t>
      </w:r>
      <w:r w:rsidRPr="00F94D15">
        <w:rPr>
          <w:b/>
          <w:i/>
          <w:color w:val="242424"/>
        </w:rPr>
        <w:t xml:space="preserve"> dostatok financií, čo pripravovan</w:t>
      </w:r>
      <w:r>
        <w:rPr>
          <w:b/>
          <w:i/>
          <w:color w:val="242424"/>
        </w:rPr>
        <w:t>ý</w:t>
      </w:r>
      <w:r w:rsidRPr="00F94D15">
        <w:rPr>
          <w:b/>
          <w:i/>
          <w:color w:val="242424"/>
        </w:rPr>
        <w:t xml:space="preserve"> rozpočet nesľubuje.</w:t>
      </w:r>
    </w:p>
    <w:p w14:paraId="4D088492" w14:textId="77777777" w:rsidR="003D367F" w:rsidRPr="00F94D15" w:rsidRDefault="003D367F" w:rsidP="00713BB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sk-SK"/>
        </w:rPr>
      </w:pPr>
    </w:p>
    <w:p w14:paraId="5AD2A848" w14:textId="4F7311A9" w:rsidR="003D367F" w:rsidRPr="00F94D15" w:rsidRDefault="003D367F" w:rsidP="00713BB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sk-SK"/>
        </w:rPr>
      </w:pPr>
      <w:r w:rsidRPr="00F94D15">
        <w:rPr>
          <w:rFonts w:ascii="Calibri" w:hAnsi="Calibri" w:cs="Calibri"/>
          <w:color w:val="242424"/>
          <w:sz w:val="22"/>
          <w:szCs w:val="22"/>
          <w:lang w:val="sk-SK"/>
        </w:rPr>
        <w:t xml:space="preserve">Slovenská akreditačná agentúra pre vysoké školstvo (SAAVŠ) pristúpila k rozsiahlemu prieskumu študentských názorov na ich vlastné školy v snahe poskytnúť vysokým školám a verejnosti podrobné zrkadlo názorov študentov. </w:t>
      </w:r>
      <w:r w:rsidRPr="00F94D15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 xml:space="preserve">„Agentúra zavádza nové metódy zabezpečovania kvality vysokoškolského štúdia </w:t>
      </w:r>
      <w:r w:rsidR="00B8553E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>na Slovensku</w:t>
      </w:r>
      <w:r w:rsidRPr="00F94D15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 xml:space="preserve"> plne v súlade s Európskymi štandardmi a usmerneniami. Tie kladú dôraz na zodpovednosť samotných vysokých škôl za kvalitu a tiež na zainteresovaní študentov na zabezpečovaní kvality vzdelávania. A to bez názoru študentov nie je možné</w:t>
      </w:r>
      <w:r w:rsidR="003E44A1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>“</w:t>
      </w:r>
      <w:r w:rsidRPr="00F94D15">
        <w:rPr>
          <w:rFonts w:ascii="Calibri" w:hAnsi="Calibri" w:cs="Calibri"/>
          <w:color w:val="242424"/>
          <w:sz w:val="22"/>
          <w:szCs w:val="22"/>
          <w:lang w:val="sk-SK"/>
        </w:rPr>
        <w:t xml:space="preserve"> uvádza Robert Redhammer, predseda výkonnej rady agentúry. „</w:t>
      </w:r>
      <w:r w:rsidRPr="00F94D15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>Preto sme pristúpili k zisťovaniu názorov študentov tak, aby každá vysoká škola získala odpovede na rovnaké otázky. Dnes predstavujeme podrobné výsledky verejnosti</w:t>
      </w:r>
      <w:r w:rsidR="003E44A1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Fonts w:ascii="Calibri" w:hAnsi="Calibri" w:cs="Calibri"/>
          <w:i/>
          <w:iCs/>
          <w:color w:val="242424"/>
          <w:sz w:val="22"/>
          <w:szCs w:val="22"/>
          <w:lang w:val="sk-SK"/>
        </w:rPr>
        <w:t>“</w:t>
      </w:r>
      <w:r w:rsidRPr="00F94D15">
        <w:rPr>
          <w:rFonts w:ascii="Calibri" w:hAnsi="Calibri" w:cs="Calibri"/>
          <w:color w:val="242424"/>
          <w:sz w:val="22"/>
          <w:szCs w:val="22"/>
          <w:lang w:val="sk-SK"/>
        </w:rPr>
        <w:t xml:space="preserve"> dodáva.</w:t>
      </w:r>
    </w:p>
    <w:p w14:paraId="5E8ECACA" w14:textId="77777777" w:rsidR="003D367F" w:rsidRPr="00F94D15" w:rsidRDefault="003D367F" w:rsidP="00107D44">
      <w:pPr>
        <w:spacing w:after="0" w:line="240" w:lineRule="auto"/>
        <w:textAlignment w:val="baseline"/>
        <w:rPr>
          <w:b/>
          <w:i/>
          <w:color w:val="242424"/>
        </w:rPr>
      </w:pPr>
    </w:p>
    <w:p w14:paraId="27069228" w14:textId="55A67DB1" w:rsidR="003D367F" w:rsidRPr="008D7C6E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42424"/>
          <w:sz w:val="22"/>
          <w:szCs w:val="22"/>
          <w:lang w:val="sk-SK"/>
        </w:rPr>
      </w:pPr>
      <w:r w:rsidRPr="008D7C6E">
        <w:rPr>
          <w:rFonts w:ascii="Calibri" w:hAnsi="Calibri"/>
          <w:b/>
          <w:bCs/>
          <w:color w:val="242424"/>
          <w:sz w:val="22"/>
          <w:szCs w:val="22"/>
          <w:lang w:val="sk-SK"/>
        </w:rPr>
        <w:t>Kde sa učia študenti porozumieť učivu, tam sa podvodom darí menej</w:t>
      </w:r>
    </w:p>
    <w:p w14:paraId="4221DC27" w14:textId="561F8295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</w:pPr>
      <w:r w:rsidRPr="00F94D15">
        <w:rPr>
          <w:rFonts w:ascii="Calibri" w:hAnsi="Calibri"/>
          <w:i/>
          <w:iCs/>
          <w:color w:val="242424"/>
          <w:sz w:val="22"/>
          <w:szCs w:val="22"/>
          <w:lang w:val="sk-SK"/>
        </w:rPr>
        <w:t>„Dáta na celoštátnej úrovni poukazujú na intenzívne diskutované problémy s akademickou etikou na vysokých školách</w:t>
      </w:r>
      <w:r w:rsidR="003E44A1">
        <w:rPr>
          <w:rFonts w:ascii="Calibri" w:hAnsi="Calibri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Fonts w:ascii="Calibri" w:hAnsi="Calibri"/>
          <w:i/>
          <w:iCs/>
          <w:color w:val="242424"/>
          <w:sz w:val="22"/>
          <w:szCs w:val="22"/>
          <w:lang w:val="sk-SK"/>
        </w:rPr>
        <w:t>“</w:t>
      </w:r>
      <w:r w:rsidRPr="00F94D15">
        <w:rPr>
          <w:rFonts w:ascii="Calibri" w:hAnsi="Calibri"/>
          <w:color w:val="242424"/>
          <w:sz w:val="22"/>
          <w:szCs w:val="22"/>
          <w:lang w:val="sk-SK"/>
        </w:rPr>
        <w:t xml:space="preserve"> hovorí Renáta Hall, koordinátorka analytikov SAAVŠ. Ako ďalej uviedla, </w:t>
      </w:r>
      <w:r w:rsidRPr="00F94D15">
        <w:rPr>
          <w:rFonts w:ascii="Calibri" w:hAnsi="Calibri"/>
          <w:i/>
          <w:iCs/>
          <w:color w:val="242424"/>
          <w:sz w:val="22"/>
          <w:szCs w:val="22"/>
          <w:lang w:val="sk-SK"/>
        </w:rPr>
        <w:t xml:space="preserve">„prekvapilo nás, že až viac ako štvrtina respondentov (26 %) označila, že sa počas štúdia </w:t>
      </w:r>
      <w:r w:rsidR="003E44A1" w:rsidRPr="00F94D15">
        <w:rPr>
          <w:rFonts w:ascii="Calibri" w:hAnsi="Calibri"/>
          <w:i/>
          <w:iCs/>
          <w:color w:val="242424"/>
          <w:sz w:val="22"/>
          <w:szCs w:val="22"/>
          <w:lang w:val="sk-SK"/>
        </w:rPr>
        <w:t>stretl</w:t>
      </w:r>
      <w:r w:rsidR="003E44A1">
        <w:rPr>
          <w:rFonts w:ascii="Calibri" w:hAnsi="Calibri"/>
          <w:i/>
          <w:iCs/>
          <w:color w:val="242424"/>
          <w:sz w:val="22"/>
          <w:szCs w:val="22"/>
          <w:lang w:val="sk-SK"/>
        </w:rPr>
        <w:t>a</w:t>
      </w:r>
      <w:r w:rsidR="003E44A1" w:rsidRPr="00F94D15">
        <w:rPr>
          <w:rFonts w:ascii="Calibri" w:hAnsi="Calibri"/>
          <w:i/>
          <w:iCs/>
          <w:color w:val="242424"/>
          <w:sz w:val="22"/>
          <w:szCs w:val="22"/>
          <w:lang w:val="sk-SK"/>
        </w:rPr>
        <w:t xml:space="preserve"> </w:t>
      </w:r>
      <w:r w:rsidRPr="00F94D15">
        <w:rPr>
          <w:rFonts w:ascii="Calibri" w:hAnsi="Calibri"/>
          <w:i/>
          <w:iCs/>
          <w:color w:val="242424"/>
          <w:sz w:val="22"/>
          <w:szCs w:val="22"/>
          <w:lang w:val="sk-SK"/>
        </w:rPr>
        <w:t>s tým, že študenti si nevypracovali prácu sami“</w:t>
      </w:r>
      <w:r w:rsidRPr="00F94D15">
        <w:rPr>
          <w:rFonts w:ascii="Calibri" w:hAnsi="Calibri"/>
          <w:color w:val="242424"/>
          <w:sz w:val="22"/>
          <w:szCs w:val="22"/>
          <w:lang w:val="sk-SK"/>
        </w:rPr>
        <w:t xml:space="preserve">. Toto zistenie potvrdzuje, že problém s kupovaním prác je rozsiahly, tak ako na to nedávno upozornila nadácia Zastavme korupciu spolu so Študentskou radou vysokých škôl SR. </w:t>
      </w: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 xml:space="preserve">Kupovanie prác však nie je len problém Slovenska, ale </w:t>
      </w:r>
      <w:r w:rsidRPr="00F94D15"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>„ako sme zistili v rámci našej práce v medzinárodnej pracovnej skupine ENQA</w:t>
      </w:r>
      <w:r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Style w:val="Odkaznapoznmkupodiarou"/>
          <w:rFonts w:ascii="Calibri" w:hAnsi="Calibri"/>
          <w:i/>
          <w:iCs/>
          <w:color w:val="242424"/>
          <w:sz w:val="22"/>
          <w:szCs w:val="22"/>
          <w:lang w:val="sk-SK"/>
        </w:rPr>
        <w:footnoteReference w:id="2"/>
      </w:r>
      <w:r w:rsidRPr="00F94D15"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 mapujúcej akademickú etiku v Európe, tak s ním bojujú aj iné krajiny. V Írsku a Austrálii už existuje legislatíva postihujúca toto konanie a v Británii je takýto návrh zákona práve v parlamente. Práca tejto skupiny vyústi do odporúčaní </w:t>
      </w:r>
      <w:r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pre </w:t>
      </w:r>
      <w:r w:rsidRPr="00F94D15"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>európske štáty vrátane Slovenska, ako by sa malo bojovať s</w:t>
      </w:r>
      <w:r w:rsidR="003E44A1"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> </w:t>
      </w:r>
      <w:r w:rsidRPr="00F94D15"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>podvodmi</w:t>
      </w:r>
      <w:r w:rsidR="003E44A1"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Style w:val="Vrazn"/>
          <w:rFonts w:ascii="Calibri" w:hAnsi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“ </w:t>
      </w: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uzatvára Renáta Hall.</w:t>
      </w:r>
    </w:p>
    <w:p w14:paraId="280792EB" w14:textId="77777777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</w:pPr>
    </w:p>
    <w:p w14:paraId="459C178A" w14:textId="21128580" w:rsidR="003D367F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</w:pP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Dáta z prieskumu ďalej naznačujú, že jednou z</w:t>
      </w:r>
      <w:r w:rsidR="003E44A1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 </w:t>
      </w: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ciest</w:t>
      </w:r>
      <w:r w:rsidR="003E44A1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,</w:t>
      </w: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 xml:space="preserve"> ako znížiť problémy s akademickou etikou</w:t>
      </w:r>
      <w:r w:rsidR="003E44A1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,</w:t>
      </w: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 xml:space="preserve"> môže byť učenie metódami, vďaka ktorým študenti </w:t>
      </w:r>
      <w:r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 xml:space="preserve">lepšie </w:t>
      </w: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 xml:space="preserve">porozumejú učivu. Respondenti, u ktorých väčšina učiteľov takéto metódy používa, sa menej často stretávali s neetickými praktikami napríklad u spolužiakov. Ako ilustruje </w:t>
      </w:r>
      <w:r w:rsidR="00787DA1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 xml:space="preserve">nasledujúci </w:t>
      </w:r>
      <w:r w:rsidRPr="00F94D15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graf, najvýraznejšie sa to ukázalo pri odpisovaní a pri vypracovaní prác inou osobou.</w:t>
      </w:r>
    </w:p>
    <w:p w14:paraId="103FDEA1" w14:textId="373172D6" w:rsidR="003D367F" w:rsidRPr="00F94D15" w:rsidRDefault="00A06705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</w:pPr>
      <w:r w:rsidRPr="00A06705">
        <w:lastRenderedPageBreak/>
        <w:t xml:space="preserve"> </w:t>
      </w:r>
      <w:r w:rsidR="00153F46">
        <w:rPr>
          <w:noProof/>
        </w:rPr>
        <w:drawing>
          <wp:inline distT="0" distB="0" distL="0" distR="0" wp14:anchorId="2941EED5" wp14:editId="5B6C9AC3">
            <wp:extent cx="5943600" cy="3347085"/>
            <wp:effectExtent l="0" t="0" r="0" b="571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83A0" w14:textId="3FC547D5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</w:pPr>
      <w:r w:rsidRPr="00083A88"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  <w:t>Povzbudivým zistením však je, že až 73 % respondentov deklarovalo, že väčšina alebo takmer všetci ich učitelia učia metódami, vďaka ktorým vedia pochopiť učivo. V takomto prostredí sa potom aj podvodom darí menej.</w:t>
      </w:r>
    </w:p>
    <w:p w14:paraId="7B6299B7" w14:textId="77777777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/>
          <w:b w:val="0"/>
          <w:bCs w:val="0"/>
          <w:color w:val="242424"/>
          <w:sz w:val="22"/>
          <w:szCs w:val="22"/>
          <w:lang w:val="sk-SK"/>
        </w:rPr>
      </w:pPr>
    </w:p>
    <w:p w14:paraId="10B006C8" w14:textId="690FF4B3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</w:pPr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Schopnosť učiť metódami, ktoré sa zameriavajú na porozumenie učiva</w:t>
      </w:r>
      <w:r w:rsidR="000435D2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,</w:t>
      </w:r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 xml:space="preserve"> je však potrebné získať rozvojom pedagogických zručností pre VŠ vzdelávanie. V krajinách s úspešnými vysokoškolskými systémami je rozvoj pedagogických zručností zabezpečovaný centrami pre učenie a vyučovanie (</w:t>
      </w:r>
      <w:proofErr w:type="spellStart"/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Teaching</w:t>
      </w:r>
      <w:proofErr w:type="spellEnd"/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 xml:space="preserve"> and </w:t>
      </w:r>
      <w:proofErr w:type="spellStart"/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Learning</w:t>
      </w:r>
      <w:proofErr w:type="spellEnd"/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 xml:space="preserve"> </w:t>
      </w:r>
      <w:proofErr w:type="spellStart"/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Centers</w:t>
      </w:r>
      <w:proofErr w:type="spellEnd"/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). Zamestnanci v týchto centrách patria k podpornému personálu a na ten je potrebné mať dostatok prostriedkov. Navrhovaný štátny rozpočet však vytvára tlak na VŠ takýchto ľudí prepúšťať a znižuje na nich už druhý rok výdavky.</w:t>
      </w:r>
      <w:r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 xml:space="preserve"> </w:t>
      </w:r>
      <w:r w:rsidRPr="007A7F92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Krátenie rozpočtu sa však netýka len podporných zamestnancov, ale aj priamo VŠ učiteľov.</w:t>
      </w:r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 xml:space="preserve"> 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„</w:t>
      </w:r>
      <w:r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Škrty v rozpočte vysokých škôl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 vnímame ako ohrozenie kvality výučbového procesu</w:t>
      </w:r>
      <w:r w:rsidR="000435D2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 ako aj rozvoja akademickej etiky</w:t>
      </w:r>
      <w:r w:rsidR="000435D2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“</w:t>
      </w:r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 xml:space="preserve"> skonštatoval Robert Redhammer. 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„</w:t>
      </w:r>
      <w:r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Kvalita vždy niečo stojí. Ak chceme mať kvalitnejších učiteľov, musíme im poskytnúť priestor na efektívne zlepšovanie sa vrátane zlepšovania ich 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pedagogických zručností</w:t>
      </w:r>
      <w:r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. Zároveň je potrebné rozvíjať 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schopnos</w:t>
      </w:r>
      <w:r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ti študentov správne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 akademicky písať </w:t>
      </w:r>
      <w:r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a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 uvádza</w:t>
      </w:r>
      <w:r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ť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 zdroj</w:t>
      </w:r>
      <w:r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e. A na to treba aj kvalifikovaný neučiteľský personál</w:t>
      </w:r>
      <w:r w:rsidR="000435D2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>,</w:t>
      </w:r>
      <w:r w:rsidRPr="00F94D15">
        <w:rPr>
          <w:rStyle w:val="Vrazn"/>
          <w:rFonts w:ascii="Calibri" w:hAnsi="Calibri" w:cs="Calibri"/>
          <w:b w:val="0"/>
          <w:bCs w:val="0"/>
          <w:i/>
          <w:iCs/>
          <w:color w:val="242424"/>
          <w:sz w:val="22"/>
          <w:szCs w:val="22"/>
          <w:lang w:val="sk-SK"/>
        </w:rPr>
        <w:t xml:space="preserve">“ </w:t>
      </w:r>
      <w:r w:rsidRPr="00F94D15"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  <w:t>dodáva Robert Redhammer.</w:t>
      </w:r>
    </w:p>
    <w:p w14:paraId="4C00DF87" w14:textId="77777777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Calibri" w:hAnsi="Calibri" w:cs="Calibri"/>
          <w:b w:val="0"/>
          <w:bCs w:val="0"/>
          <w:color w:val="242424"/>
          <w:sz w:val="22"/>
          <w:szCs w:val="22"/>
          <w:lang w:val="sk-SK"/>
        </w:rPr>
      </w:pPr>
    </w:p>
    <w:p w14:paraId="588C12B6" w14:textId="77777777" w:rsidR="003D367F" w:rsidRPr="00AD5C8B" w:rsidRDefault="003D367F" w:rsidP="00B41A20">
      <w:pPr>
        <w:pStyle w:val="Textkomentra"/>
        <w:rPr>
          <w:b/>
          <w:bCs/>
          <w:color w:val="242424"/>
          <w:sz w:val="22"/>
          <w:szCs w:val="22"/>
        </w:rPr>
      </w:pPr>
      <w:r w:rsidRPr="00AD5C8B">
        <w:rPr>
          <w:b/>
          <w:bCs/>
          <w:color w:val="242424"/>
          <w:sz w:val="22"/>
          <w:szCs w:val="22"/>
        </w:rPr>
        <w:t>Menej učiteľov môže zhoršiť pripravenosť študentov na trh práce</w:t>
      </w:r>
    </w:p>
    <w:p w14:paraId="10B6B3B3" w14:textId="7703ECA0" w:rsidR="003D367F" w:rsidRDefault="003D367F" w:rsidP="00B41A20">
      <w:pPr>
        <w:pStyle w:val="Textkomentra"/>
        <w:rPr>
          <w:sz w:val="22"/>
          <w:szCs w:val="22"/>
        </w:rPr>
      </w:pPr>
      <w:r w:rsidRPr="00F94D15">
        <w:rPr>
          <w:color w:val="242424"/>
          <w:sz w:val="22"/>
          <w:szCs w:val="22"/>
        </w:rPr>
        <w:t xml:space="preserve">Znižovanie počtu učiteľov v dôsledku škrtov v rozpočte môže mať negatívny </w:t>
      </w:r>
      <w:r w:rsidR="000B2883">
        <w:rPr>
          <w:color w:val="242424"/>
          <w:sz w:val="22"/>
          <w:szCs w:val="22"/>
        </w:rPr>
        <w:t xml:space="preserve">vplyv aj </w:t>
      </w:r>
      <w:r w:rsidRPr="00F94D15">
        <w:rPr>
          <w:color w:val="242424"/>
          <w:sz w:val="22"/>
          <w:szCs w:val="22"/>
        </w:rPr>
        <w:t xml:space="preserve">na možnosť učiteľov individuálnym prístupom podporovať rozvoj potenciálu jednotlivých študentov. Táto oblasť sa javí byť kľúčová najmä v súvislosti s pocitom pripravenosti končiacich študentov na to, čo príde po štúdiu. </w:t>
      </w:r>
      <w:r w:rsidRPr="00F94D15">
        <w:rPr>
          <w:sz w:val="22"/>
          <w:szCs w:val="22"/>
        </w:rPr>
        <w:t>Pokiaľ spomínaní študenti mali pocit, že im väčšina učiteľov pomáha napĺňať ich potenciál, potom aj svoju pripravenosť na život videli pozitívnejšie: takmer štyri pätiny z nich (79</w:t>
      </w:r>
      <w:r w:rsidR="000435D2">
        <w:rPr>
          <w:sz w:val="22"/>
          <w:szCs w:val="22"/>
        </w:rPr>
        <w:t xml:space="preserve"> </w:t>
      </w:r>
      <w:r w:rsidRPr="00F94D15">
        <w:rPr>
          <w:sz w:val="22"/>
          <w:szCs w:val="22"/>
        </w:rPr>
        <w:t>%) sa cítia byť pripravení na život po vysokej škole. V prípade zriedkavejšej podpory pri napĺňaní potenciálu sa pocit pripravenosti výrazne oslabuje: zo 79 % na 40 %.</w:t>
      </w:r>
    </w:p>
    <w:p w14:paraId="4C189CDD" w14:textId="4CDEB01D" w:rsidR="003D367F" w:rsidRPr="00F94D15" w:rsidRDefault="000943C9" w:rsidP="00B41A20">
      <w:pPr>
        <w:pStyle w:val="Textkomentra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6C14A51" wp14:editId="36840E5B">
            <wp:extent cx="5943600" cy="3343275"/>
            <wp:effectExtent l="0" t="0" r="0" b="9525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514" w:rsidRPr="0018263E">
        <w:rPr>
          <w:noProof/>
          <w:lang w:eastAsia="sk-SK"/>
        </w:rPr>
        <w:t xml:space="preserve"> </w:t>
      </w:r>
    </w:p>
    <w:p w14:paraId="6746A505" w14:textId="5B2FE503" w:rsidR="003D367F" w:rsidRDefault="003D367F" w:rsidP="00B41A20">
      <w:pPr>
        <w:pStyle w:val="Textkomentra"/>
        <w:rPr>
          <w:rFonts w:cs="Calibri"/>
          <w:color w:val="242424"/>
          <w:sz w:val="22"/>
          <w:szCs w:val="22"/>
        </w:rPr>
      </w:pPr>
      <w:r w:rsidRPr="00F94D15">
        <w:rPr>
          <w:sz w:val="22"/>
          <w:szCs w:val="22"/>
        </w:rPr>
        <w:t xml:space="preserve">Skupina B v grafe vyššie (s pocitom menšej podpory) tvorí veľkú časť študentov, ktorí daný akademický rok plánovali ukončiť získaním titulu. </w:t>
      </w:r>
      <w:r w:rsidRPr="00F94D15">
        <w:rPr>
          <w:rFonts w:cs="Calibri"/>
          <w:i/>
          <w:iCs/>
          <w:color w:val="242424"/>
          <w:sz w:val="22"/>
          <w:szCs w:val="22"/>
        </w:rPr>
        <w:t>„Dáta môžu indikovať, že títo študenti môžu mať horší štart na trhu práce. Pritom ide až o takmer polovicu (47 %) respondentov spomedzi študentov</w:t>
      </w:r>
      <w:r w:rsidR="00213DC9">
        <w:rPr>
          <w:rFonts w:cs="Calibri"/>
          <w:i/>
          <w:iCs/>
          <w:color w:val="242424"/>
          <w:sz w:val="22"/>
          <w:szCs w:val="22"/>
        </w:rPr>
        <w:t>, ktorí</w:t>
      </w:r>
      <w:r w:rsidRPr="00F94D15">
        <w:rPr>
          <w:rFonts w:cs="Calibri"/>
          <w:i/>
          <w:iCs/>
          <w:color w:val="242424"/>
          <w:sz w:val="22"/>
          <w:szCs w:val="22"/>
        </w:rPr>
        <w:t xml:space="preserve"> </w:t>
      </w:r>
      <w:r w:rsidR="00213DC9">
        <w:rPr>
          <w:rFonts w:cs="Calibri"/>
          <w:i/>
          <w:iCs/>
          <w:color w:val="242424"/>
          <w:sz w:val="22"/>
          <w:szCs w:val="22"/>
        </w:rPr>
        <w:t xml:space="preserve">končili </w:t>
      </w:r>
      <w:r w:rsidRPr="00F94D15">
        <w:rPr>
          <w:rFonts w:cs="Calibri"/>
          <w:i/>
          <w:iCs/>
          <w:color w:val="242424"/>
          <w:sz w:val="22"/>
          <w:szCs w:val="22"/>
        </w:rPr>
        <w:t>štúdium v minulom akademickom roku</w:t>
      </w:r>
      <w:r w:rsidR="000435D2">
        <w:rPr>
          <w:rFonts w:cs="Calibri"/>
          <w:i/>
          <w:iCs/>
          <w:color w:val="242424"/>
          <w:sz w:val="22"/>
          <w:szCs w:val="22"/>
        </w:rPr>
        <w:t>,</w:t>
      </w:r>
      <w:r w:rsidRPr="00F94D15">
        <w:rPr>
          <w:rFonts w:cs="Calibri"/>
          <w:i/>
          <w:iCs/>
          <w:color w:val="242424"/>
          <w:sz w:val="22"/>
          <w:szCs w:val="22"/>
        </w:rPr>
        <w:t>“</w:t>
      </w:r>
      <w:r w:rsidRPr="00F94D15">
        <w:rPr>
          <w:rFonts w:cs="Calibri"/>
          <w:color w:val="242424"/>
          <w:sz w:val="22"/>
          <w:szCs w:val="22"/>
        </w:rPr>
        <w:t xml:space="preserve"> komentuje Peter Maňo, analytik SAAVŠ.</w:t>
      </w:r>
    </w:p>
    <w:p w14:paraId="1C35AFBF" w14:textId="394B6331" w:rsidR="003D367F" w:rsidRPr="00F94D15" w:rsidRDefault="00DE4AED" w:rsidP="00492E87">
      <w:pPr>
        <w:pStyle w:val="Textkomentra"/>
        <w:jc w:val="center"/>
        <w:rPr>
          <w:rFonts w:cs="Calibri"/>
          <w:color w:val="242424"/>
          <w:sz w:val="22"/>
          <w:szCs w:val="22"/>
        </w:rPr>
      </w:pPr>
      <w:r>
        <w:rPr>
          <w:noProof/>
        </w:rPr>
        <w:drawing>
          <wp:inline distT="0" distB="0" distL="0" distR="0" wp14:anchorId="3BF1FB08" wp14:editId="5F6F6EDF">
            <wp:extent cx="5943600" cy="3343275"/>
            <wp:effectExtent l="0" t="0" r="0" b="9525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00B0" w14:textId="77777777" w:rsidR="003D367F" w:rsidRPr="00AD5C8B" w:rsidRDefault="003D367F" w:rsidP="1278CDB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42424"/>
          <w:sz w:val="22"/>
          <w:szCs w:val="22"/>
          <w:lang w:val="sk-SK"/>
        </w:rPr>
      </w:pPr>
      <w:r w:rsidRPr="00AD5C8B">
        <w:rPr>
          <w:rFonts w:ascii="Calibri" w:hAnsi="Calibri"/>
          <w:b/>
          <w:bCs/>
          <w:color w:val="242424"/>
          <w:sz w:val="22"/>
          <w:szCs w:val="22"/>
          <w:lang w:val="sk-SK"/>
        </w:rPr>
        <w:t xml:space="preserve">Výsledky prieskumu sú dostupné </w:t>
      </w:r>
      <w:r>
        <w:rPr>
          <w:rFonts w:ascii="Calibri" w:hAnsi="Calibri"/>
          <w:b/>
          <w:bCs/>
          <w:color w:val="242424"/>
          <w:sz w:val="22"/>
          <w:szCs w:val="22"/>
          <w:lang w:val="sk-SK"/>
        </w:rPr>
        <w:t>vysokým školám aj verejnosti</w:t>
      </w:r>
    </w:p>
    <w:p w14:paraId="78BB32A8" w14:textId="44C1A5DF" w:rsidR="003D367F" w:rsidRPr="00F94D15" w:rsidRDefault="003D367F" w:rsidP="1278CDB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i/>
          <w:color w:val="242424"/>
          <w:sz w:val="22"/>
          <w:szCs w:val="22"/>
          <w:lang w:val="sk-SK"/>
        </w:rPr>
      </w:pPr>
      <w:r w:rsidRPr="00F94D15">
        <w:rPr>
          <w:rFonts w:ascii="Calibri" w:hAnsi="Calibri"/>
          <w:color w:val="242424"/>
          <w:sz w:val="22"/>
          <w:szCs w:val="22"/>
          <w:lang w:val="sk-SK"/>
        </w:rPr>
        <w:t>Slovenská akreditačná agentúra pre vysoké školstvo (SAAVŠ) dnes predstavila</w:t>
      </w:r>
      <w:r w:rsidRPr="00F94D15">
        <w:rPr>
          <w:rFonts w:ascii="Calibri" w:hAnsi="Calibri" w:cs="Calibri"/>
          <w:color w:val="242424"/>
          <w:sz w:val="22"/>
          <w:szCs w:val="22"/>
          <w:lang w:val="sk-SK"/>
        </w:rPr>
        <w:t xml:space="preserve"> aj </w:t>
      </w:r>
      <w:r w:rsidRPr="00F94D15">
        <w:rPr>
          <w:rStyle w:val="normaltextrun"/>
          <w:rFonts w:ascii="Calibri" w:hAnsi="Calibri" w:cs="Calibri"/>
          <w:sz w:val="22"/>
          <w:szCs w:val="22"/>
          <w:lang w:val="sk-SK"/>
        </w:rPr>
        <w:t xml:space="preserve">interaktívny nástroj, </w:t>
      </w:r>
      <w:r w:rsidRPr="00F94D15">
        <w:rPr>
          <w:rFonts w:ascii="Calibri" w:hAnsi="Calibri" w:cs="Calibri"/>
          <w:sz w:val="22"/>
          <w:szCs w:val="22"/>
          <w:lang w:val="sk-SK"/>
        </w:rPr>
        <w:t xml:space="preserve">ktorý prináša prehľadné zobrazenie výsledkov prieskumu. Ponúka obraz názorov študentov jednotlivých </w:t>
      </w:r>
      <w:r w:rsidRPr="00F94D15">
        <w:rPr>
          <w:rFonts w:ascii="Calibri" w:hAnsi="Calibri" w:cs="Calibri"/>
          <w:sz w:val="22"/>
          <w:szCs w:val="22"/>
          <w:lang w:val="sk-SK"/>
        </w:rPr>
        <w:lastRenderedPageBreak/>
        <w:t>vysokých škôl, fakúlt, odborov či stupňov a foriem štúdia.</w:t>
      </w:r>
      <w:r w:rsidRPr="00F94D15">
        <w:rPr>
          <w:rStyle w:val="normaltextrun"/>
          <w:rFonts w:ascii="Calibri" w:hAnsi="Calibri"/>
          <w:sz w:val="22"/>
          <w:szCs w:val="22"/>
          <w:lang w:val="sk-SK"/>
        </w:rPr>
        <w:t xml:space="preserve"> </w:t>
      </w:r>
      <w:r w:rsidRPr="00F94D15">
        <w:rPr>
          <w:rFonts w:ascii="Calibri" w:hAnsi="Calibri"/>
          <w:color w:val="242424"/>
          <w:sz w:val="22"/>
          <w:szCs w:val="22"/>
          <w:lang w:val="sk-SK"/>
        </w:rPr>
        <w:t>SAAVŠ 25.</w:t>
      </w:r>
      <w:r w:rsidR="00683929">
        <w:rPr>
          <w:rFonts w:ascii="Calibri" w:hAnsi="Calibri"/>
          <w:color w:val="242424"/>
          <w:sz w:val="22"/>
          <w:szCs w:val="22"/>
          <w:lang w:val="sk-SK"/>
        </w:rPr>
        <w:t xml:space="preserve"> </w:t>
      </w:r>
      <w:r w:rsidRPr="00F94D15">
        <w:rPr>
          <w:rFonts w:ascii="Calibri" w:hAnsi="Calibri"/>
          <w:color w:val="242424"/>
          <w:sz w:val="22"/>
          <w:szCs w:val="22"/>
          <w:lang w:val="sk-SK"/>
        </w:rPr>
        <w:t>10. poskytla všetkým vysokým školám výsledky za ich študentov v anonymizovanej podobe,</w:t>
      </w:r>
      <w:r w:rsidRPr="00F94D15">
        <w:rPr>
          <w:rFonts w:ascii="Calibri" w:hAnsi="Calibri" w:cs="Calibri"/>
          <w:color w:val="242424"/>
          <w:sz w:val="22"/>
          <w:szCs w:val="22"/>
          <w:lang w:val="sk-SK"/>
        </w:rPr>
        <w:t xml:space="preserve"> </w:t>
      </w:r>
      <w:r w:rsidRPr="00F94D15">
        <w:rPr>
          <w:rFonts w:ascii="Calibri" w:hAnsi="Calibri" w:cs="Calibri"/>
          <w:sz w:val="22"/>
          <w:szCs w:val="22"/>
          <w:lang w:val="sk-SK"/>
        </w:rPr>
        <w:t>ako aj výsledky za celú vzorku (celoslovenský pohľad na všetky vysoké školy spolu)</w:t>
      </w:r>
      <w:r w:rsidRPr="00F94D15">
        <w:rPr>
          <w:rFonts w:ascii="Calibri" w:hAnsi="Calibri" w:cs="Calibri"/>
          <w:color w:val="242424"/>
          <w:sz w:val="22"/>
          <w:szCs w:val="22"/>
          <w:lang w:val="sk-SK"/>
        </w:rPr>
        <w:t>. Dáta bu</w:t>
      </w:r>
      <w:r w:rsidRPr="00F94D15">
        <w:rPr>
          <w:rFonts w:ascii="Calibri" w:hAnsi="Calibri"/>
          <w:color w:val="242424"/>
          <w:sz w:val="22"/>
          <w:szCs w:val="22"/>
          <w:lang w:val="sk-SK"/>
        </w:rPr>
        <w:t>dú k dispozícii aj pracovným skupinám SAAVŠ, ktoré budú od roku 2022 posudzovať vnútorné systémy kvality všetkých vysokých škôl. Ako uviedol predseda výkonnej rady SAAVŠ Robert Redhammer</w:t>
      </w:r>
      <w:r w:rsidR="00683929">
        <w:rPr>
          <w:rFonts w:ascii="Calibri" w:hAnsi="Calibri"/>
          <w:color w:val="242424"/>
          <w:sz w:val="22"/>
          <w:szCs w:val="22"/>
          <w:lang w:val="sk-SK"/>
        </w:rPr>
        <w:t>,</w:t>
      </w:r>
      <w:r w:rsidRPr="00F94D15">
        <w:rPr>
          <w:rFonts w:ascii="Calibri" w:hAnsi="Calibri"/>
          <w:color w:val="242424"/>
          <w:sz w:val="22"/>
          <w:szCs w:val="22"/>
          <w:lang w:val="sk-SK"/>
        </w:rPr>
        <w:t xml:space="preserve"> </w:t>
      </w:r>
      <w:r w:rsidRPr="00F94D15">
        <w:rPr>
          <w:rFonts w:ascii="Calibri" w:hAnsi="Calibri"/>
          <w:i/>
          <w:color w:val="242424"/>
          <w:sz w:val="22"/>
          <w:szCs w:val="22"/>
          <w:lang w:val="sk-SK"/>
        </w:rPr>
        <w:t>„výsledky prieskumu budú pre pracovné skupiny podkladom pre zisťovanie, ako s nimi vysoká škola naložila, ako svoje vzdelávanie a vnútorné procesy zlepšila. Chceme, aby si vysoké školy viac všímali študentov, ich názory a potreby, aby štúdium na vysokých školách na Slovensku bolo atraktívnejšie“</w:t>
      </w:r>
      <w:r w:rsidR="00683929">
        <w:rPr>
          <w:rFonts w:ascii="Calibri" w:hAnsi="Calibri"/>
          <w:i/>
          <w:color w:val="242424"/>
          <w:sz w:val="22"/>
          <w:szCs w:val="22"/>
          <w:lang w:val="sk-SK"/>
        </w:rPr>
        <w:t>.</w:t>
      </w:r>
    </w:p>
    <w:p w14:paraId="40934540" w14:textId="77777777" w:rsidR="003D367F" w:rsidRPr="00F94D15" w:rsidRDefault="003D367F" w:rsidP="1278CDB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/>
          <w:color w:val="242424"/>
          <w:sz w:val="22"/>
          <w:szCs w:val="22"/>
          <w:lang w:val="sk-SK"/>
        </w:rPr>
      </w:pPr>
    </w:p>
    <w:p w14:paraId="6CD48994" w14:textId="77777777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lang w:val="sk-SK"/>
        </w:rPr>
      </w:pPr>
      <w:r w:rsidRPr="00F94D15">
        <w:rPr>
          <w:rFonts w:ascii="Calibri" w:hAnsi="Calibri" w:cs="Calibri"/>
          <w:b/>
          <w:bCs/>
          <w:color w:val="242424"/>
          <w:sz w:val="22"/>
          <w:szCs w:val="22"/>
          <w:lang w:val="sk-SK"/>
        </w:rPr>
        <w:t>O prieskume Akademická štvrťhodinka</w:t>
      </w:r>
    </w:p>
    <w:p w14:paraId="30AEF119" w14:textId="199C125D" w:rsidR="003D367F" w:rsidRPr="00F94D15" w:rsidRDefault="003D367F" w:rsidP="00107D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sk-SK"/>
        </w:rPr>
      </w:pPr>
      <w:r w:rsidRPr="00F94D15">
        <w:rPr>
          <w:rStyle w:val="normaltextrun"/>
          <w:rFonts w:ascii="Calibri" w:hAnsi="Calibri" w:cs="Calibri"/>
          <w:sz w:val="22"/>
          <w:szCs w:val="22"/>
          <w:lang w:val="sk-SK"/>
        </w:rPr>
        <w:t>Zber dát prebiehal od 30. 4. do 31. 5. 2021. Vyplnených bolo 20 056 dotazníkov, z toho platných odpovedí bolo 19 983. Zastúpení sú študenti prvého a druhého stupňa VŠ a spojeného štúdia, denná aj externá forma a vzorka na národnej úrovni dostatočne pokrýva všetky študijné odbory.</w:t>
      </w:r>
    </w:p>
    <w:p w14:paraId="42640926" w14:textId="4C584762" w:rsidR="003D367F" w:rsidRPr="00F94D15" w:rsidRDefault="003D367F" w:rsidP="00107D4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8"/>
          <w:szCs w:val="18"/>
          <w:lang w:val="sk-SK"/>
        </w:rPr>
      </w:pPr>
      <w:r w:rsidRPr="00F94D15">
        <w:rPr>
          <w:rStyle w:val="normaltextrun"/>
          <w:rFonts w:ascii="Calibri" w:hAnsi="Calibri"/>
          <w:sz w:val="22"/>
          <w:szCs w:val="22"/>
          <w:lang w:val="sk-SK"/>
        </w:rPr>
        <w:t>Dotazník bol v štyroch jazykových mutáciách (slovenčina, angličtina, maďarčina, ukrajinčina) a vo verzii pre študentov so zrakovým znevýhodnením. Do prieskumu sa zapojilo viac ako 1000 študentov so špecifickými potrebami a viac ako 1400 zahraničných študentov.</w:t>
      </w:r>
    </w:p>
    <w:p w14:paraId="12BFD212" w14:textId="77777777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sk-SK"/>
        </w:rPr>
      </w:pPr>
    </w:p>
    <w:p w14:paraId="63EAB927" w14:textId="77777777" w:rsidR="003D367F" w:rsidRPr="00F94D15" w:rsidRDefault="003D367F" w:rsidP="00107D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sk-SK"/>
        </w:rPr>
      </w:pPr>
      <w:r w:rsidRPr="00F94D15">
        <w:rPr>
          <w:rStyle w:val="normaltextrun"/>
          <w:rFonts w:ascii="Calibri" w:hAnsi="Calibri" w:cs="Calibri"/>
          <w:b/>
          <w:bCs/>
          <w:sz w:val="22"/>
          <w:szCs w:val="22"/>
          <w:lang w:val="sk-SK"/>
        </w:rPr>
        <w:t>O SAAVŠ</w:t>
      </w:r>
      <w:r w:rsidRPr="00F94D15">
        <w:rPr>
          <w:rStyle w:val="eop"/>
          <w:rFonts w:ascii="Calibri" w:hAnsi="Calibri" w:cs="Calibri"/>
          <w:sz w:val="22"/>
          <w:szCs w:val="22"/>
          <w:lang w:val="sk-SK"/>
        </w:rPr>
        <w:t> </w:t>
      </w:r>
    </w:p>
    <w:p w14:paraId="3ECE0B59" w14:textId="5D874EA3" w:rsidR="003D367F" w:rsidRPr="00F94D15" w:rsidRDefault="003D367F" w:rsidP="00107D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sk-SK"/>
        </w:rPr>
      </w:pPr>
      <w:r w:rsidRPr="00F94D15">
        <w:rPr>
          <w:rStyle w:val="normaltextrun"/>
          <w:rFonts w:ascii="Calibri" w:hAnsi="Calibri" w:cs="Calibri"/>
          <w:sz w:val="22"/>
          <w:szCs w:val="22"/>
          <w:lang w:val="sk-SK"/>
        </w:rPr>
        <w:t>Slovenská akreditačná agentúra pre vysoké školstvo (SAAVŠ) je nezávislá verejnoprávna inštitúcia, ktorá posudzuje kvalitu vzdelávania a najmä efektívnosť jej zabezpečovania samotnými vysokými školami. Udeľuje akreditácie vysokým školám poskytovať vzdelanie a podporuje rozvoj kvality vzdelávania.</w:t>
      </w:r>
    </w:p>
    <w:p w14:paraId="01962AAE" w14:textId="2AE09B2F" w:rsidR="003D367F" w:rsidRPr="00F94D15" w:rsidRDefault="003D367F" w:rsidP="00107D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sk-SK"/>
        </w:rPr>
      </w:pPr>
    </w:p>
    <w:p w14:paraId="78F0046A" w14:textId="02B4DB9A" w:rsidR="003D367F" w:rsidRPr="00F94D15" w:rsidRDefault="003D367F" w:rsidP="00107D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sk-SK"/>
        </w:rPr>
      </w:pPr>
      <w:r w:rsidRPr="00F94D15">
        <w:rPr>
          <w:rStyle w:val="normaltextrun"/>
          <w:rFonts w:ascii="Calibri" w:hAnsi="Calibri" w:cs="Calibri"/>
          <w:b/>
          <w:bCs/>
          <w:sz w:val="22"/>
          <w:szCs w:val="22"/>
          <w:lang w:val="sk-SK"/>
        </w:rPr>
        <w:t>Kontakt pre médiá:</w:t>
      </w:r>
    </w:p>
    <w:p w14:paraId="2AE640FC" w14:textId="6F5967CD" w:rsidR="003D367F" w:rsidRPr="00F94D15" w:rsidRDefault="003D367F" w:rsidP="00107D44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sk-SK"/>
        </w:rPr>
      </w:pPr>
      <w:r w:rsidRPr="00F94D1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k-SK"/>
        </w:rPr>
        <w:t>Renáta Hall, </w:t>
      </w:r>
      <w:hyperlink r:id="rId9" w:tgtFrame="_blank" w:history="1">
        <w:r w:rsidRPr="00F94D1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  <w:lang w:val="sk-SK"/>
          </w:rPr>
          <w:t>renata.hall@saavs.sk</w:t>
        </w:r>
      </w:hyperlink>
      <w:r w:rsidRPr="00F94D1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sk-SK"/>
        </w:rPr>
        <w:t>, mobil: 0948 988 267</w:t>
      </w:r>
    </w:p>
    <w:p w14:paraId="5E57C6E8" w14:textId="77777777" w:rsidR="003D367F" w:rsidRPr="00F94D15" w:rsidRDefault="003D367F"/>
    <w:sectPr w:rsidR="003D367F" w:rsidRPr="00F94D15" w:rsidSect="002A6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066A" w14:textId="77777777" w:rsidR="001923A3" w:rsidRDefault="001923A3" w:rsidP="001D3D5C">
      <w:pPr>
        <w:spacing w:after="0" w:line="240" w:lineRule="auto"/>
      </w:pPr>
      <w:r>
        <w:separator/>
      </w:r>
    </w:p>
  </w:endnote>
  <w:endnote w:type="continuationSeparator" w:id="0">
    <w:p w14:paraId="0C128FB3" w14:textId="77777777" w:rsidR="001923A3" w:rsidRDefault="001923A3" w:rsidP="001D3D5C">
      <w:pPr>
        <w:spacing w:after="0" w:line="240" w:lineRule="auto"/>
      </w:pPr>
      <w:r>
        <w:continuationSeparator/>
      </w:r>
    </w:p>
  </w:endnote>
  <w:endnote w:type="continuationNotice" w:id="1">
    <w:p w14:paraId="36FDAA98" w14:textId="77777777" w:rsidR="001923A3" w:rsidRDefault="00192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1561" w14:textId="77777777" w:rsidR="001923A3" w:rsidRDefault="001923A3" w:rsidP="001D3D5C">
      <w:pPr>
        <w:spacing w:after="0" w:line="240" w:lineRule="auto"/>
      </w:pPr>
      <w:r>
        <w:separator/>
      </w:r>
    </w:p>
  </w:footnote>
  <w:footnote w:type="continuationSeparator" w:id="0">
    <w:p w14:paraId="4CC41636" w14:textId="77777777" w:rsidR="001923A3" w:rsidRDefault="001923A3" w:rsidP="001D3D5C">
      <w:pPr>
        <w:spacing w:after="0" w:line="240" w:lineRule="auto"/>
      </w:pPr>
      <w:r>
        <w:continuationSeparator/>
      </w:r>
    </w:p>
  </w:footnote>
  <w:footnote w:type="continuationNotice" w:id="1">
    <w:p w14:paraId="04AA0B0A" w14:textId="77777777" w:rsidR="001923A3" w:rsidRDefault="001923A3">
      <w:pPr>
        <w:spacing w:after="0" w:line="240" w:lineRule="auto"/>
      </w:pPr>
    </w:p>
  </w:footnote>
  <w:footnote w:id="2">
    <w:p w14:paraId="49D7427B" w14:textId="77777777" w:rsidR="003D367F" w:rsidRDefault="003D367F" w:rsidP="007E329A">
      <w:pPr>
        <w:pStyle w:val="Nadpis1"/>
        <w:shd w:val="clear" w:color="auto" w:fill="FFFFFF"/>
        <w:spacing w:before="0" w:beforeAutospacing="0" w:after="0" w:afterAutospacing="0" w:line="336" w:lineRule="atLeast"/>
      </w:pPr>
      <w:r w:rsidRPr="007E329A">
        <w:rPr>
          <w:rStyle w:val="Odkaznapoznmkupodiarou"/>
          <w:rFonts w:ascii="Calibri" w:hAnsi="Calibri" w:cs="Calibri"/>
          <w:b w:val="0"/>
          <w:bCs w:val="0"/>
          <w:sz w:val="20"/>
          <w:szCs w:val="20"/>
        </w:rPr>
        <w:footnoteRef/>
      </w:r>
      <w:r w:rsidRPr="007E329A">
        <w:rPr>
          <w:rFonts w:ascii="Calibri" w:hAnsi="Calibri" w:cs="Calibri"/>
          <w:b w:val="0"/>
          <w:bCs w:val="0"/>
          <w:sz w:val="20"/>
          <w:szCs w:val="20"/>
        </w:rPr>
        <w:t xml:space="preserve"> The European Association for Quality Assurance in Higher Education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44"/>
    <w:rsid w:val="00012C3A"/>
    <w:rsid w:val="000156FE"/>
    <w:rsid w:val="0002124E"/>
    <w:rsid w:val="000233BA"/>
    <w:rsid w:val="00036157"/>
    <w:rsid w:val="000435D2"/>
    <w:rsid w:val="00054514"/>
    <w:rsid w:val="00061A36"/>
    <w:rsid w:val="00070AD0"/>
    <w:rsid w:val="00070FD8"/>
    <w:rsid w:val="000721C4"/>
    <w:rsid w:val="000729AF"/>
    <w:rsid w:val="0008033A"/>
    <w:rsid w:val="00083A88"/>
    <w:rsid w:val="00090C2C"/>
    <w:rsid w:val="000916DE"/>
    <w:rsid w:val="000943C9"/>
    <w:rsid w:val="00095079"/>
    <w:rsid w:val="000A7A1F"/>
    <w:rsid w:val="000B2883"/>
    <w:rsid w:val="000B2F34"/>
    <w:rsid w:val="000B4512"/>
    <w:rsid w:val="000B45DE"/>
    <w:rsid w:val="000C0BB7"/>
    <w:rsid w:val="000C2ACD"/>
    <w:rsid w:val="000C6355"/>
    <w:rsid w:val="000C69D5"/>
    <w:rsid w:val="000D014C"/>
    <w:rsid w:val="000D2482"/>
    <w:rsid w:val="000D788A"/>
    <w:rsid w:val="000E2D4B"/>
    <w:rsid w:val="000F39E4"/>
    <w:rsid w:val="00107D44"/>
    <w:rsid w:val="0011071E"/>
    <w:rsid w:val="00116BD5"/>
    <w:rsid w:val="00124C03"/>
    <w:rsid w:val="00127175"/>
    <w:rsid w:val="00132F97"/>
    <w:rsid w:val="00137454"/>
    <w:rsid w:val="00140A99"/>
    <w:rsid w:val="00142B79"/>
    <w:rsid w:val="00143B44"/>
    <w:rsid w:val="00153F46"/>
    <w:rsid w:val="001678AA"/>
    <w:rsid w:val="00176B14"/>
    <w:rsid w:val="0018263E"/>
    <w:rsid w:val="001864F3"/>
    <w:rsid w:val="001923A3"/>
    <w:rsid w:val="001961AB"/>
    <w:rsid w:val="001B0FDC"/>
    <w:rsid w:val="001B25B0"/>
    <w:rsid w:val="001B60E4"/>
    <w:rsid w:val="001B7CA6"/>
    <w:rsid w:val="001C3EBC"/>
    <w:rsid w:val="001D3D5C"/>
    <w:rsid w:val="001D7738"/>
    <w:rsid w:val="001F4B01"/>
    <w:rsid w:val="00207A08"/>
    <w:rsid w:val="00213DC9"/>
    <w:rsid w:val="00216208"/>
    <w:rsid w:val="002164FB"/>
    <w:rsid w:val="00216978"/>
    <w:rsid w:val="00224C07"/>
    <w:rsid w:val="00240295"/>
    <w:rsid w:val="002432B4"/>
    <w:rsid w:val="00250F61"/>
    <w:rsid w:val="00251DE3"/>
    <w:rsid w:val="0025719A"/>
    <w:rsid w:val="0026116F"/>
    <w:rsid w:val="00261993"/>
    <w:rsid w:val="00264CD5"/>
    <w:rsid w:val="00277E8A"/>
    <w:rsid w:val="002820BC"/>
    <w:rsid w:val="00295633"/>
    <w:rsid w:val="00297F2F"/>
    <w:rsid w:val="002A66AB"/>
    <w:rsid w:val="002A7C69"/>
    <w:rsid w:val="002B2FA9"/>
    <w:rsid w:val="002B421C"/>
    <w:rsid w:val="002B5D9E"/>
    <w:rsid w:val="002C3283"/>
    <w:rsid w:val="002C6BA9"/>
    <w:rsid w:val="002D1E4E"/>
    <w:rsid w:val="002D2B4B"/>
    <w:rsid w:val="002D7547"/>
    <w:rsid w:val="002F260F"/>
    <w:rsid w:val="0030114F"/>
    <w:rsid w:val="00304194"/>
    <w:rsid w:val="00305B17"/>
    <w:rsid w:val="00307B7C"/>
    <w:rsid w:val="003351D7"/>
    <w:rsid w:val="00335719"/>
    <w:rsid w:val="00335AEA"/>
    <w:rsid w:val="003420B1"/>
    <w:rsid w:val="00343EFF"/>
    <w:rsid w:val="00351D07"/>
    <w:rsid w:val="003567D8"/>
    <w:rsid w:val="0036542A"/>
    <w:rsid w:val="00371972"/>
    <w:rsid w:val="00374DF9"/>
    <w:rsid w:val="00374F5D"/>
    <w:rsid w:val="00380FF4"/>
    <w:rsid w:val="00381804"/>
    <w:rsid w:val="00383A77"/>
    <w:rsid w:val="00394448"/>
    <w:rsid w:val="003945CF"/>
    <w:rsid w:val="003A1671"/>
    <w:rsid w:val="003A4FA5"/>
    <w:rsid w:val="003B0F9A"/>
    <w:rsid w:val="003B6DAF"/>
    <w:rsid w:val="003C7052"/>
    <w:rsid w:val="003C70C9"/>
    <w:rsid w:val="003D30B2"/>
    <w:rsid w:val="003D367F"/>
    <w:rsid w:val="003E2109"/>
    <w:rsid w:val="003E4069"/>
    <w:rsid w:val="003E44A1"/>
    <w:rsid w:val="003F1BBE"/>
    <w:rsid w:val="003F1CF9"/>
    <w:rsid w:val="003F372C"/>
    <w:rsid w:val="003F629F"/>
    <w:rsid w:val="003F6500"/>
    <w:rsid w:val="004046B3"/>
    <w:rsid w:val="004313CD"/>
    <w:rsid w:val="00434430"/>
    <w:rsid w:val="00436CB2"/>
    <w:rsid w:val="00441693"/>
    <w:rsid w:val="004434BF"/>
    <w:rsid w:val="00444A63"/>
    <w:rsid w:val="0044785E"/>
    <w:rsid w:val="0045018D"/>
    <w:rsid w:val="0045704E"/>
    <w:rsid w:val="00464CB9"/>
    <w:rsid w:val="00475F9F"/>
    <w:rsid w:val="004823FB"/>
    <w:rsid w:val="00491669"/>
    <w:rsid w:val="00492E87"/>
    <w:rsid w:val="004B0B4E"/>
    <w:rsid w:val="004B1700"/>
    <w:rsid w:val="004B2902"/>
    <w:rsid w:val="004B2DF3"/>
    <w:rsid w:val="004C2FB1"/>
    <w:rsid w:val="004C35B7"/>
    <w:rsid w:val="004E3987"/>
    <w:rsid w:val="004F46C3"/>
    <w:rsid w:val="00504590"/>
    <w:rsid w:val="00507A10"/>
    <w:rsid w:val="0051162B"/>
    <w:rsid w:val="00515E9E"/>
    <w:rsid w:val="005416EA"/>
    <w:rsid w:val="00542125"/>
    <w:rsid w:val="00555BA8"/>
    <w:rsid w:val="0059593F"/>
    <w:rsid w:val="005A5A22"/>
    <w:rsid w:val="005B62AF"/>
    <w:rsid w:val="005C1F5D"/>
    <w:rsid w:val="00604085"/>
    <w:rsid w:val="00620831"/>
    <w:rsid w:val="006243DA"/>
    <w:rsid w:val="0062474C"/>
    <w:rsid w:val="00640E6A"/>
    <w:rsid w:val="00663C36"/>
    <w:rsid w:val="0067491C"/>
    <w:rsid w:val="00683929"/>
    <w:rsid w:val="00687C00"/>
    <w:rsid w:val="00687C11"/>
    <w:rsid w:val="006919C1"/>
    <w:rsid w:val="00693C18"/>
    <w:rsid w:val="00693F82"/>
    <w:rsid w:val="006B3B74"/>
    <w:rsid w:val="006C430A"/>
    <w:rsid w:val="006D77D7"/>
    <w:rsid w:val="006E57E2"/>
    <w:rsid w:val="00704F8C"/>
    <w:rsid w:val="00710259"/>
    <w:rsid w:val="0071037A"/>
    <w:rsid w:val="00713BBB"/>
    <w:rsid w:val="00750542"/>
    <w:rsid w:val="0076422A"/>
    <w:rsid w:val="00776DD4"/>
    <w:rsid w:val="0078210B"/>
    <w:rsid w:val="0078783E"/>
    <w:rsid w:val="00787DA1"/>
    <w:rsid w:val="00793965"/>
    <w:rsid w:val="00796527"/>
    <w:rsid w:val="007A0B34"/>
    <w:rsid w:val="007A0D48"/>
    <w:rsid w:val="007A42D4"/>
    <w:rsid w:val="007A7F92"/>
    <w:rsid w:val="007B0DCD"/>
    <w:rsid w:val="007D0919"/>
    <w:rsid w:val="007E329A"/>
    <w:rsid w:val="007E58A8"/>
    <w:rsid w:val="007F3593"/>
    <w:rsid w:val="007F74E4"/>
    <w:rsid w:val="00803F1A"/>
    <w:rsid w:val="008167ED"/>
    <w:rsid w:val="00826797"/>
    <w:rsid w:val="008300C7"/>
    <w:rsid w:val="00833918"/>
    <w:rsid w:val="00833D85"/>
    <w:rsid w:val="00836FAE"/>
    <w:rsid w:val="00843F16"/>
    <w:rsid w:val="00850F4F"/>
    <w:rsid w:val="008510CF"/>
    <w:rsid w:val="0085265E"/>
    <w:rsid w:val="008602EA"/>
    <w:rsid w:val="00875594"/>
    <w:rsid w:val="0088755B"/>
    <w:rsid w:val="00891063"/>
    <w:rsid w:val="0089506E"/>
    <w:rsid w:val="00895AAC"/>
    <w:rsid w:val="00897A2C"/>
    <w:rsid w:val="008A1DD5"/>
    <w:rsid w:val="008A4224"/>
    <w:rsid w:val="008A45E2"/>
    <w:rsid w:val="008A45ED"/>
    <w:rsid w:val="008B092E"/>
    <w:rsid w:val="008B4760"/>
    <w:rsid w:val="008B48A7"/>
    <w:rsid w:val="008B68CF"/>
    <w:rsid w:val="008C03D6"/>
    <w:rsid w:val="008C10FC"/>
    <w:rsid w:val="008D5C41"/>
    <w:rsid w:val="008D7C6E"/>
    <w:rsid w:val="008E7519"/>
    <w:rsid w:val="0090206D"/>
    <w:rsid w:val="00905B2F"/>
    <w:rsid w:val="0091761E"/>
    <w:rsid w:val="00923388"/>
    <w:rsid w:val="00932E6B"/>
    <w:rsid w:val="0094082A"/>
    <w:rsid w:val="0094125B"/>
    <w:rsid w:val="00941704"/>
    <w:rsid w:val="00950139"/>
    <w:rsid w:val="009511C3"/>
    <w:rsid w:val="00953066"/>
    <w:rsid w:val="00966BAE"/>
    <w:rsid w:val="00981033"/>
    <w:rsid w:val="009836B0"/>
    <w:rsid w:val="0098404F"/>
    <w:rsid w:val="0099087B"/>
    <w:rsid w:val="00994DF6"/>
    <w:rsid w:val="009C044A"/>
    <w:rsid w:val="009C5D7F"/>
    <w:rsid w:val="009E1289"/>
    <w:rsid w:val="009E4F1D"/>
    <w:rsid w:val="009E7812"/>
    <w:rsid w:val="009F1EF4"/>
    <w:rsid w:val="009F2858"/>
    <w:rsid w:val="00A06705"/>
    <w:rsid w:val="00A12983"/>
    <w:rsid w:val="00A201F9"/>
    <w:rsid w:val="00A22457"/>
    <w:rsid w:val="00A32EFD"/>
    <w:rsid w:val="00A37283"/>
    <w:rsid w:val="00A40194"/>
    <w:rsid w:val="00A43D56"/>
    <w:rsid w:val="00A524B0"/>
    <w:rsid w:val="00A63EE3"/>
    <w:rsid w:val="00A6724F"/>
    <w:rsid w:val="00A80802"/>
    <w:rsid w:val="00A911A8"/>
    <w:rsid w:val="00AD288D"/>
    <w:rsid w:val="00AD5C8B"/>
    <w:rsid w:val="00AD79E8"/>
    <w:rsid w:val="00AF070A"/>
    <w:rsid w:val="00B110DE"/>
    <w:rsid w:val="00B17B5D"/>
    <w:rsid w:val="00B27CBF"/>
    <w:rsid w:val="00B27D01"/>
    <w:rsid w:val="00B32C39"/>
    <w:rsid w:val="00B33F08"/>
    <w:rsid w:val="00B34BA5"/>
    <w:rsid w:val="00B37C4A"/>
    <w:rsid w:val="00B40842"/>
    <w:rsid w:val="00B41A20"/>
    <w:rsid w:val="00B435CE"/>
    <w:rsid w:val="00B43E84"/>
    <w:rsid w:val="00B46A5F"/>
    <w:rsid w:val="00B57E17"/>
    <w:rsid w:val="00B670EB"/>
    <w:rsid w:val="00B7256D"/>
    <w:rsid w:val="00B82BA8"/>
    <w:rsid w:val="00B8553E"/>
    <w:rsid w:val="00BA138D"/>
    <w:rsid w:val="00BD04A5"/>
    <w:rsid w:val="00BD1C65"/>
    <w:rsid w:val="00BE25F8"/>
    <w:rsid w:val="00BF6446"/>
    <w:rsid w:val="00C05A39"/>
    <w:rsid w:val="00C32438"/>
    <w:rsid w:val="00C33EC4"/>
    <w:rsid w:val="00C34632"/>
    <w:rsid w:val="00C37DB0"/>
    <w:rsid w:val="00C47A68"/>
    <w:rsid w:val="00C5386A"/>
    <w:rsid w:val="00C55E32"/>
    <w:rsid w:val="00C63B14"/>
    <w:rsid w:val="00C64958"/>
    <w:rsid w:val="00C6663C"/>
    <w:rsid w:val="00C705B8"/>
    <w:rsid w:val="00C80AF3"/>
    <w:rsid w:val="00C82C2B"/>
    <w:rsid w:val="00C82F56"/>
    <w:rsid w:val="00C9590A"/>
    <w:rsid w:val="00C9606E"/>
    <w:rsid w:val="00CA1A20"/>
    <w:rsid w:val="00CA3ADD"/>
    <w:rsid w:val="00CB2AB5"/>
    <w:rsid w:val="00CB635F"/>
    <w:rsid w:val="00CC3342"/>
    <w:rsid w:val="00CC3460"/>
    <w:rsid w:val="00CC730B"/>
    <w:rsid w:val="00CD2083"/>
    <w:rsid w:val="00CD721D"/>
    <w:rsid w:val="00CE29C5"/>
    <w:rsid w:val="00CF2487"/>
    <w:rsid w:val="00CF3834"/>
    <w:rsid w:val="00D04DE5"/>
    <w:rsid w:val="00D118B4"/>
    <w:rsid w:val="00D119F5"/>
    <w:rsid w:val="00D21A48"/>
    <w:rsid w:val="00D24935"/>
    <w:rsid w:val="00D33ED5"/>
    <w:rsid w:val="00D365AA"/>
    <w:rsid w:val="00D40050"/>
    <w:rsid w:val="00D42747"/>
    <w:rsid w:val="00D56F1E"/>
    <w:rsid w:val="00D66817"/>
    <w:rsid w:val="00D719C2"/>
    <w:rsid w:val="00D73001"/>
    <w:rsid w:val="00D75C37"/>
    <w:rsid w:val="00D76708"/>
    <w:rsid w:val="00D826EE"/>
    <w:rsid w:val="00D850A8"/>
    <w:rsid w:val="00D91510"/>
    <w:rsid w:val="00D94F20"/>
    <w:rsid w:val="00DA33CF"/>
    <w:rsid w:val="00DA5E87"/>
    <w:rsid w:val="00DE1FAB"/>
    <w:rsid w:val="00DE4AED"/>
    <w:rsid w:val="00DF4CD5"/>
    <w:rsid w:val="00DF6812"/>
    <w:rsid w:val="00E02787"/>
    <w:rsid w:val="00E0673E"/>
    <w:rsid w:val="00E339DE"/>
    <w:rsid w:val="00E4535E"/>
    <w:rsid w:val="00E46119"/>
    <w:rsid w:val="00E46604"/>
    <w:rsid w:val="00E47E42"/>
    <w:rsid w:val="00E505F1"/>
    <w:rsid w:val="00E54BDE"/>
    <w:rsid w:val="00E57493"/>
    <w:rsid w:val="00E57752"/>
    <w:rsid w:val="00E60E77"/>
    <w:rsid w:val="00E64C19"/>
    <w:rsid w:val="00E66DD7"/>
    <w:rsid w:val="00E80FE7"/>
    <w:rsid w:val="00E839F8"/>
    <w:rsid w:val="00E854FC"/>
    <w:rsid w:val="00E87AF5"/>
    <w:rsid w:val="00EA5381"/>
    <w:rsid w:val="00EA6225"/>
    <w:rsid w:val="00EAE2D5"/>
    <w:rsid w:val="00EC4645"/>
    <w:rsid w:val="00EE34D5"/>
    <w:rsid w:val="00F028C3"/>
    <w:rsid w:val="00F02FD2"/>
    <w:rsid w:val="00F0552C"/>
    <w:rsid w:val="00F114C6"/>
    <w:rsid w:val="00F17924"/>
    <w:rsid w:val="00F27518"/>
    <w:rsid w:val="00F30C87"/>
    <w:rsid w:val="00F420D5"/>
    <w:rsid w:val="00F73453"/>
    <w:rsid w:val="00F765B5"/>
    <w:rsid w:val="00F80B53"/>
    <w:rsid w:val="00F81457"/>
    <w:rsid w:val="00F94D15"/>
    <w:rsid w:val="00FA68B5"/>
    <w:rsid w:val="00FB1934"/>
    <w:rsid w:val="00FB1E43"/>
    <w:rsid w:val="00FC2888"/>
    <w:rsid w:val="00FC66B5"/>
    <w:rsid w:val="00FD0BAA"/>
    <w:rsid w:val="00FE045B"/>
    <w:rsid w:val="00FE4DB6"/>
    <w:rsid w:val="00FF6081"/>
    <w:rsid w:val="00FF6918"/>
    <w:rsid w:val="00FF6BA5"/>
    <w:rsid w:val="01A9C76D"/>
    <w:rsid w:val="03363E95"/>
    <w:rsid w:val="0515179A"/>
    <w:rsid w:val="0571D525"/>
    <w:rsid w:val="07BC3FDF"/>
    <w:rsid w:val="08830008"/>
    <w:rsid w:val="0946FB51"/>
    <w:rsid w:val="11B6C30F"/>
    <w:rsid w:val="1278CDBB"/>
    <w:rsid w:val="14028E64"/>
    <w:rsid w:val="14345C42"/>
    <w:rsid w:val="14A4A16F"/>
    <w:rsid w:val="1959FA84"/>
    <w:rsid w:val="1FEABEC3"/>
    <w:rsid w:val="211E1BD0"/>
    <w:rsid w:val="22DCD11E"/>
    <w:rsid w:val="2CE0C8C3"/>
    <w:rsid w:val="2D0F0F20"/>
    <w:rsid w:val="2D57119F"/>
    <w:rsid w:val="2DFD8B24"/>
    <w:rsid w:val="2E39DB86"/>
    <w:rsid w:val="2F320FCF"/>
    <w:rsid w:val="33C88240"/>
    <w:rsid w:val="344A98A3"/>
    <w:rsid w:val="35026FFB"/>
    <w:rsid w:val="35C5FD97"/>
    <w:rsid w:val="3C21A77B"/>
    <w:rsid w:val="3CB30A23"/>
    <w:rsid w:val="3ECDA916"/>
    <w:rsid w:val="4171B695"/>
    <w:rsid w:val="45264CED"/>
    <w:rsid w:val="46E47554"/>
    <w:rsid w:val="47156B4A"/>
    <w:rsid w:val="47623590"/>
    <w:rsid w:val="488DD60C"/>
    <w:rsid w:val="489EECB4"/>
    <w:rsid w:val="4968E5C7"/>
    <w:rsid w:val="4A240560"/>
    <w:rsid w:val="4B90BDC6"/>
    <w:rsid w:val="50C03E38"/>
    <w:rsid w:val="522A4B94"/>
    <w:rsid w:val="56B13DE4"/>
    <w:rsid w:val="5C5393D4"/>
    <w:rsid w:val="5C9297F1"/>
    <w:rsid w:val="5D4F747D"/>
    <w:rsid w:val="5DD35601"/>
    <w:rsid w:val="5E7F96CB"/>
    <w:rsid w:val="5F91BA52"/>
    <w:rsid w:val="5FD381C4"/>
    <w:rsid w:val="621FBF1D"/>
    <w:rsid w:val="625D3E55"/>
    <w:rsid w:val="62F62BCE"/>
    <w:rsid w:val="65043FFB"/>
    <w:rsid w:val="6631566C"/>
    <w:rsid w:val="6A997ED5"/>
    <w:rsid w:val="6DF9E059"/>
    <w:rsid w:val="7069B680"/>
    <w:rsid w:val="71D6F12F"/>
    <w:rsid w:val="72002E91"/>
    <w:rsid w:val="72FF0D51"/>
    <w:rsid w:val="7AA0807B"/>
    <w:rsid w:val="7AD9C09C"/>
    <w:rsid w:val="7AFC40B3"/>
    <w:rsid w:val="7B8007A2"/>
    <w:rsid w:val="7D2DA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6F4ED"/>
  <w15:chartTrackingRefBased/>
  <w15:docId w15:val="{B928C741-CEB5-442E-960F-FCFA811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7D44"/>
    <w:pPr>
      <w:spacing w:after="160" w:line="259" w:lineRule="auto"/>
    </w:pPr>
    <w:rPr>
      <w:sz w:val="22"/>
      <w:szCs w:val="22"/>
      <w:lang w:val="sk-SK"/>
    </w:rPr>
  </w:style>
  <w:style w:type="paragraph" w:styleId="Nadpis1">
    <w:name w:val="heading 1"/>
    <w:basedOn w:val="Normlny"/>
    <w:link w:val="Nadpis1Char"/>
    <w:uiPriority w:val="9"/>
    <w:qFormat/>
    <w:rsid w:val="007E32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E329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unhideWhenUsed/>
    <w:rsid w:val="00107D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107D44"/>
    <w:rPr>
      <w:rFonts w:cs="Times New Roman"/>
      <w:sz w:val="20"/>
      <w:szCs w:val="20"/>
      <w:lang w:val="sk-SK" w:eastAsia="x-none"/>
    </w:rPr>
  </w:style>
  <w:style w:type="character" w:styleId="Odkaznakomentr">
    <w:name w:val="annotation reference"/>
    <w:uiPriority w:val="99"/>
    <w:semiHidden/>
    <w:unhideWhenUsed/>
    <w:rsid w:val="00107D44"/>
    <w:rPr>
      <w:rFonts w:cs="Times New Roman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07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Vrazn">
    <w:name w:val="Strong"/>
    <w:uiPriority w:val="22"/>
    <w:qFormat/>
    <w:rsid w:val="00107D44"/>
    <w:rPr>
      <w:rFonts w:cs="Times New Roman"/>
      <w:b/>
      <w:bCs/>
    </w:rPr>
  </w:style>
  <w:style w:type="paragraph" w:customStyle="1" w:styleId="paragraph">
    <w:name w:val="paragraph"/>
    <w:basedOn w:val="Normlny"/>
    <w:rsid w:val="00107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rsid w:val="00107D44"/>
    <w:rPr>
      <w:rFonts w:cs="Times New Roman"/>
    </w:rPr>
  </w:style>
  <w:style w:type="character" w:customStyle="1" w:styleId="eop">
    <w:name w:val="eop"/>
    <w:rsid w:val="00107D44"/>
    <w:rPr>
      <w:rFonts w:cs="Times New Roman"/>
    </w:rPr>
  </w:style>
  <w:style w:type="character" w:styleId="Hypertextovprepojenie">
    <w:name w:val="Hyperlink"/>
    <w:uiPriority w:val="99"/>
    <w:unhideWhenUsed/>
    <w:rsid w:val="00107D44"/>
    <w:rPr>
      <w:rFonts w:cs="Times New Roman"/>
      <w:color w:val="0563C1"/>
      <w:u w:val="single"/>
    </w:rPr>
  </w:style>
  <w:style w:type="character" w:styleId="Zmienka">
    <w:name w:val="Mention"/>
    <w:uiPriority w:val="99"/>
    <w:unhideWhenUsed/>
    <w:rsid w:val="00107D44"/>
    <w:rPr>
      <w:rFonts w:cs="Times New Roman"/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D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3D5C"/>
    <w:rPr>
      <w:rFonts w:cs="Times New Roman"/>
      <w:sz w:val="20"/>
      <w:szCs w:val="20"/>
      <w:lang w:val="sk-SK" w:eastAsia="x-none"/>
    </w:rPr>
  </w:style>
  <w:style w:type="character" w:styleId="Odkaznapoznmkupodiarou">
    <w:name w:val="footnote reference"/>
    <w:uiPriority w:val="99"/>
    <w:semiHidden/>
    <w:unhideWhenUsed/>
    <w:rsid w:val="001D3D5C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3945CF"/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B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0C69D5"/>
    <w:rPr>
      <w:rFonts w:cs="Times New Roman"/>
      <w:lang w:val="sk-SK" w:eastAsia="x-none"/>
    </w:rPr>
  </w:style>
  <w:style w:type="paragraph" w:styleId="Pta">
    <w:name w:val="footer"/>
    <w:basedOn w:val="Normlny"/>
    <w:link w:val="PtaChar"/>
    <w:uiPriority w:val="99"/>
    <w:semiHidden/>
    <w:unhideWhenUsed/>
    <w:rsid w:val="000B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semiHidden/>
    <w:locked/>
    <w:rsid w:val="000C69D5"/>
    <w:rPr>
      <w:rFonts w:cs="Times New Roman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64F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164FB"/>
    <w:rPr>
      <w:rFonts w:cs="Times New Roman"/>
      <w:b/>
      <w:bCs/>
      <w:sz w:val="20"/>
      <w:szCs w:val="20"/>
      <w:lang w:val="sk-SK" w:eastAsia="x-none"/>
    </w:rPr>
  </w:style>
  <w:style w:type="character" w:styleId="Nevyrieenzmienka">
    <w:name w:val="Unresolved Mention"/>
    <w:uiPriority w:val="99"/>
    <w:unhideWhenUsed/>
    <w:rsid w:val="00620831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44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nata.hall@saav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6671</Characters>
  <Application>Microsoft Office Word</Application>
  <DocSecurity>4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Links>
    <vt:vector size="12" baseType="variant">
      <vt:variant>
        <vt:i4>3866706</vt:i4>
      </vt:variant>
      <vt:variant>
        <vt:i4>3</vt:i4>
      </vt:variant>
      <vt:variant>
        <vt:i4>0</vt:i4>
      </vt:variant>
      <vt:variant>
        <vt:i4>5</vt:i4>
      </vt:variant>
      <vt:variant>
        <vt:lpwstr>mailto:renata.hall@saavs.sk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https://prieskum.saavs.sk/vysledkyS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Hall</dc:creator>
  <cp:keywords/>
  <dc:description/>
  <cp:lastModifiedBy>Lucia Bittnerová</cp:lastModifiedBy>
  <cp:revision>2</cp:revision>
  <dcterms:created xsi:type="dcterms:W3CDTF">2021-10-26T05:56:00Z</dcterms:created>
  <dcterms:modified xsi:type="dcterms:W3CDTF">2021-10-26T05:56:00Z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0x010100D74B47504BE9DE4EA3A89CE879E8F9B9</vt:lpwstr>
  </property>
</Properties>
</file>