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Default Extension="jpeg" ContentType="image/jpeg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33.966702pt;margin-top:107.716927pt;width:68.150pt;height:141.7pt;mso-position-horizontal-relative:page;mso-position-vertical-relative:page;z-index:-19730432" coordorigin="679,2154" coordsize="1363,2834">
            <v:shape style="position:absolute;left:679;top:2154;width:668;height:1417" coordorigin="679,2154" coordsize="668,1417" path="m679,2154l679,2838,1134,3571,1347,3229,679,2154xe" filled="true" fillcolor="#8dc63f" stroked="false">
              <v:path arrowok="t"/>
              <v:fill type="solid"/>
            </v:shape>
            <v:shape style="position:absolute;left:679;top:3228;width:668;height:1759" coordorigin="679,3229" coordsize="668,1759" path="m1347,3229l679,4304,679,4988,1347,3913,1347,3229xe" filled="true" fillcolor="#6d6e71" stroked="false">
              <v:path arrowok="t"/>
              <v:fill type="solid"/>
            </v:shape>
            <v:shape style="position:absolute;left:1374;top:2154;width:668;height:1417" coordorigin="1374,2154" coordsize="668,1417" path="m1374,2154l1374,2838,1829,3571,2042,3229,1374,2154xe" filled="true" fillcolor="#8dc63f" stroked="false">
              <v:path arrowok="t"/>
              <v:fill type="solid"/>
            </v:shape>
            <v:shape style="position:absolute;left:1374;top:3228;width:668;height:1759" coordorigin="1374,3229" coordsize="668,1759" path="m2042,3229l1374,4304,1374,4988,2042,3913,2042,3229xe" filled="true" fillcolor="#6d6e7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255.119034pt;width:595.25pt;height:433.75pt;mso-position-horizontal-relative:page;mso-position-vertical-relative:page;z-index:-19729920" coordorigin="0,5102" coordsize="11905,8675">
            <v:shape style="position:absolute;left:0;top:5102;width:11905;height:8675" type="#_x0000_t75" stroked="false">
              <v:imagedata r:id="rId6" o:title=""/>
            </v:shape>
            <v:shape style="position:absolute;left:225;top:6406;width:3062;height:5783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33.966999pt;margin-top:720.007996pt;width:52.5pt;height:33.950pt;mso-position-horizontal-relative:page;mso-position-vertical-relative:page;z-index:-19729408" coordorigin="679,14400" coordsize="1050,679">
            <v:shape style="position:absolute;left:679;top:14400;width:679;height:679" type="#_x0000_t75" stroked="false">
              <v:imagedata r:id="rId8" o:title=""/>
            </v:shape>
            <v:shape style="position:absolute;left:1402;top:14400;width:160;height:340" coordorigin="1402,14400" coordsize="160,340" path="m1402,14400l1402,14564,1511,14739,1562,14657,1402,14400xe" filled="true" fillcolor="#8dc63f" stroked="false">
              <v:path arrowok="t"/>
              <v:fill type="solid"/>
            </v:shape>
            <v:shape style="position:absolute;left:1402;top:14657;width:160;height:422" coordorigin="1402,14657" coordsize="160,422" path="m1562,14657l1402,14915,1402,15079,1562,14821,1562,14657xe" filled="true" fillcolor="#6d6e71" stroked="false">
              <v:path arrowok="t"/>
              <v:fill type="solid"/>
            </v:shape>
            <v:shape style="position:absolute;left:1568;top:14400;width:160;height:340" coordorigin="1569,14400" coordsize="160,340" path="m1569,14400l1569,14564,1678,14739,1729,14657,1569,14400xe" filled="true" fillcolor="#8dc63f" stroked="false">
              <v:path arrowok="t"/>
              <v:fill type="solid"/>
            </v:shape>
            <v:shape style="position:absolute;left:1568;top:14657;width:160;height:422" coordorigin="1569,14657" coordsize="160,422" path="m1729,14657l1569,14915,1569,15079,1729,14821,1729,14657xe" filled="true" fillcolor="#6d6e7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115"/>
        <w:ind w:left="1406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color w:val="231F20"/>
          <w:sz w:val="38"/>
        </w:rPr>
        <w:t>Higher</w:t>
      </w:r>
      <w:r>
        <w:rPr>
          <w:rFonts w:ascii="Arial"/>
          <w:b/>
          <w:color w:val="231F20"/>
          <w:spacing w:val="-27"/>
          <w:sz w:val="38"/>
        </w:rPr>
        <w:t> </w:t>
      </w:r>
      <w:r>
        <w:rPr>
          <w:rFonts w:ascii="Arial"/>
          <w:b/>
          <w:color w:val="231F20"/>
          <w:sz w:val="38"/>
        </w:rPr>
        <w:t>Education</w:t>
      </w:r>
    </w:p>
    <w:p>
      <w:pPr>
        <w:spacing w:line="223" w:lineRule="auto" w:before="319"/>
        <w:ind w:left="1406" w:right="245" w:firstLine="0"/>
        <w:jc w:val="left"/>
        <w:rPr>
          <w:rFonts w:ascii="Arial"/>
          <w:b/>
          <w:sz w:val="60"/>
        </w:rPr>
      </w:pPr>
      <w:r>
        <w:rPr>
          <w:rFonts w:ascii="Arial"/>
          <w:b/>
          <w:color w:val="231F20"/>
          <w:spacing w:val="-6"/>
          <w:sz w:val="60"/>
        </w:rPr>
        <w:t>Improving</w:t>
      </w:r>
      <w:r>
        <w:rPr>
          <w:rFonts w:ascii="Arial"/>
          <w:b/>
          <w:color w:val="231F20"/>
          <w:spacing w:val="-33"/>
          <w:sz w:val="60"/>
        </w:rPr>
        <w:t> </w:t>
      </w:r>
      <w:r>
        <w:rPr>
          <w:rFonts w:ascii="Arial"/>
          <w:b/>
          <w:color w:val="231F20"/>
          <w:spacing w:val="-5"/>
          <w:sz w:val="60"/>
        </w:rPr>
        <w:t>Higher</w:t>
      </w:r>
      <w:r>
        <w:rPr>
          <w:rFonts w:ascii="Arial"/>
          <w:b/>
          <w:color w:val="231F20"/>
          <w:spacing w:val="-32"/>
          <w:sz w:val="60"/>
        </w:rPr>
        <w:t> </w:t>
      </w:r>
      <w:r>
        <w:rPr>
          <w:rFonts w:ascii="Arial"/>
          <w:b/>
          <w:color w:val="231F20"/>
          <w:spacing w:val="-5"/>
          <w:sz w:val="60"/>
        </w:rPr>
        <w:t>Education</w:t>
      </w:r>
      <w:r>
        <w:rPr>
          <w:rFonts w:ascii="Arial"/>
          <w:b/>
          <w:color w:val="231F20"/>
          <w:spacing w:val="-164"/>
          <w:sz w:val="60"/>
        </w:rPr>
        <w:t> </w:t>
      </w:r>
      <w:r>
        <w:rPr>
          <w:rFonts w:ascii="Arial"/>
          <w:b/>
          <w:color w:val="231F20"/>
          <w:sz w:val="60"/>
        </w:rPr>
        <w:t>in</w:t>
      </w:r>
      <w:r>
        <w:rPr>
          <w:rFonts w:ascii="Arial"/>
          <w:b/>
          <w:color w:val="231F20"/>
          <w:spacing w:val="-24"/>
          <w:sz w:val="60"/>
        </w:rPr>
        <w:t> </w:t>
      </w:r>
      <w:r>
        <w:rPr>
          <w:rFonts w:ascii="Arial"/>
          <w:b/>
          <w:color w:val="231F20"/>
          <w:sz w:val="60"/>
        </w:rPr>
        <w:t>the</w:t>
      </w:r>
      <w:r>
        <w:rPr>
          <w:rFonts w:ascii="Arial"/>
          <w:b/>
          <w:color w:val="231F20"/>
          <w:spacing w:val="-23"/>
          <w:sz w:val="60"/>
        </w:rPr>
        <w:t> </w:t>
      </w:r>
      <w:r>
        <w:rPr>
          <w:rFonts w:ascii="Arial"/>
          <w:b/>
          <w:color w:val="231F20"/>
          <w:sz w:val="60"/>
        </w:rPr>
        <w:t>Slovak</w:t>
      </w:r>
      <w:r>
        <w:rPr>
          <w:rFonts w:ascii="Arial"/>
          <w:b/>
          <w:color w:val="231F20"/>
          <w:spacing w:val="-23"/>
          <w:sz w:val="60"/>
        </w:rPr>
        <w:t> </w:t>
      </w:r>
      <w:r>
        <w:rPr>
          <w:rFonts w:ascii="Arial"/>
          <w:b/>
          <w:color w:val="231F20"/>
          <w:sz w:val="60"/>
        </w:rPr>
        <w:t>Republic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</w:rPr>
      </w:pPr>
      <w:r>
        <w:rPr/>
        <w:pict>
          <v:shape style="position:absolute;margin-left:91.850006pt;margin-top:13.749721pt;width:84.15pt;height:23.35pt;mso-position-horizontal-relative:page;mso-position-vertical-relative:paragraph;z-index:-15728640;mso-wrap-distance-left:0;mso-wrap-distance-right:0" coordorigin="1837,275" coordsize="1683,467" path="m2302,507l2291,435,2260,372,2235,346,2235,509,2223,576,2189,631,2137,668,2070,681,2004,667,1951,630,1917,575,1905,507,1917,440,1951,385,2003,348,2069,335,2136,349,2188,386,2222,441,2235,509,2235,346,2223,335,2211,322,2147,290,2070,278,1994,290,1929,323,1880,373,1848,436,1837,509,1848,581,1879,644,1928,694,1992,726,2069,738,2146,726,2210,693,2222,681,2260,643,2291,580,2302,509,2302,507xm2673,675l2405,675,2405,535,2642,535,2642,477,2405,477,2405,341,2670,341,2670,283,2340,283,2340,341,2340,477,2340,535,2340,675,2340,733,2673,733,2673,675xm3095,662l3053,619,3022,646,2991,665,2956,677,2916,681,2851,668,2800,630,2766,575,2754,507,2766,440,2800,385,2851,348,2916,335,2955,339,2989,351,3020,369,3050,394,3092,346,3057,317,3018,294,2972,280,2916,275,2841,287,2778,320,2730,371,2699,435,2688,509,2699,583,2730,647,2778,697,2841,729,2914,741,2971,735,3018,719,3059,694,3095,662xm3519,507l3508,435,3476,373,3451,350,3451,509,3439,575,3405,627,3350,662,3280,674,3183,674,3183,342,3280,342,3350,355,3405,389,3439,442,3451,509,3451,350,3443,342,3425,325,3359,294,3280,283,3118,283,3118,733,3280,733,3359,722,3425,691,3443,674,3476,642,3508,580,3519,507xe" filled="true" fillcolor="#6d6e71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Arial"/>
        </w:rPr>
        <w:sectPr>
          <w:footerReference w:type="default" r:id="rId5"/>
          <w:type w:val="continuous"/>
          <w:pgSz w:w="11910" w:h="15880"/>
          <w:pgMar w:footer="0" w:top="1500" w:bottom="280" w:left="1200" w:right="1199"/>
          <w:pgNumType w:start="1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5880"/>
          <w:pgMar w:header="0" w:footer="0" w:top="1500" w:bottom="280" w:left="1200" w:right="1199"/>
        </w:sectPr>
      </w:pPr>
    </w:p>
    <w:p>
      <w:pPr>
        <w:spacing w:before="61"/>
        <w:ind w:left="3669" w:right="3669" w:firstLine="0"/>
        <w:jc w:val="center"/>
        <w:rPr>
          <w:sz w:val="28"/>
        </w:rPr>
      </w:pPr>
      <w:r>
        <w:rPr>
          <w:color w:val="231F20"/>
          <w:sz w:val="28"/>
        </w:rPr>
        <w:t>Higher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Education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4"/>
        </w:rPr>
      </w:pPr>
    </w:p>
    <w:p>
      <w:pPr>
        <w:spacing w:line="235" w:lineRule="auto" w:before="0"/>
        <w:ind w:left="1253" w:right="0" w:hanging="994"/>
        <w:jc w:val="left"/>
        <w:rPr>
          <w:rFonts w:ascii="Arial"/>
          <w:b/>
          <w:sz w:val="66"/>
        </w:rPr>
      </w:pPr>
      <w:r>
        <w:rPr>
          <w:rFonts w:ascii="Arial"/>
          <w:b/>
          <w:color w:val="231F20"/>
          <w:sz w:val="66"/>
        </w:rPr>
        <w:t>Improving</w:t>
      </w:r>
      <w:r>
        <w:rPr>
          <w:rFonts w:ascii="Arial"/>
          <w:b/>
          <w:color w:val="231F20"/>
          <w:spacing w:val="-22"/>
          <w:sz w:val="66"/>
        </w:rPr>
        <w:t> </w:t>
      </w:r>
      <w:r>
        <w:rPr>
          <w:rFonts w:ascii="Arial"/>
          <w:b/>
          <w:color w:val="231F20"/>
          <w:sz w:val="66"/>
        </w:rPr>
        <w:t>Higher</w:t>
      </w:r>
      <w:r>
        <w:rPr>
          <w:rFonts w:ascii="Arial"/>
          <w:b/>
          <w:color w:val="231F20"/>
          <w:spacing w:val="-21"/>
          <w:sz w:val="66"/>
        </w:rPr>
        <w:t> </w:t>
      </w:r>
      <w:r>
        <w:rPr>
          <w:rFonts w:ascii="Arial"/>
          <w:b/>
          <w:color w:val="231F20"/>
          <w:sz w:val="66"/>
        </w:rPr>
        <w:t>Education</w:t>
      </w:r>
      <w:r>
        <w:rPr>
          <w:rFonts w:ascii="Arial"/>
          <w:b/>
          <w:color w:val="231F20"/>
          <w:spacing w:val="-181"/>
          <w:sz w:val="66"/>
        </w:rPr>
        <w:t> </w:t>
      </w:r>
      <w:r>
        <w:rPr>
          <w:rFonts w:ascii="Arial"/>
          <w:b/>
          <w:color w:val="231F20"/>
          <w:sz w:val="66"/>
        </w:rPr>
        <w:t>in</w:t>
      </w:r>
      <w:r>
        <w:rPr>
          <w:rFonts w:ascii="Arial"/>
          <w:b/>
          <w:color w:val="231F20"/>
          <w:spacing w:val="-16"/>
          <w:sz w:val="66"/>
        </w:rPr>
        <w:t> </w:t>
      </w:r>
      <w:r>
        <w:rPr>
          <w:rFonts w:ascii="Arial"/>
          <w:b/>
          <w:color w:val="231F20"/>
          <w:sz w:val="66"/>
        </w:rPr>
        <w:t>the</w:t>
      </w:r>
      <w:r>
        <w:rPr>
          <w:rFonts w:ascii="Arial"/>
          <w:b/>
          <w:color w:val="231F20"/>
          <w:spacing w:val="-15"/>
          <w:sz w:val="66"/>
        </w:rPr>
        <w:t> </w:t>
      </w:r>
      <w:r>
        <w:rPr>
          <w:rFonts w:ascii="Arial"/>
          <w:b/>
          <w:color w:val="231F20"/>
          <w:sz w:val="66"/>
        </w:rPr>
        <w:t>Slovak</w:t>
      </w:r>
      <w:r>
        <w:rPr>
          <w:rFonts w:ascii="Arial"/>
          <w:b/>
          <w:color w:val="231F20"/>
          <w:spacing w:val="-14"/>
          <w:sz w:val="66"/>
        </w:rPr>
        <w:t> </w:t>
      </w:r>
      <w:r>
        <w:rPr>
          <w:rFonts w:ascii="Arial"/>
          <w:b/>
          <w:color w:val="231F20"/>
          <w:sz w:val="66"/>
        </w:rPr>
        <w:t>Republic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9"/>
        </w:rPr>
      </w:pPr>
      <w:r>
        <w:rPr/>
        <w:pict>
          <v:group style="position:absolute;margin-left:226.772827pt;margin-top:12.947769pt;width:52.4pt;height:33.9pt;mso-position-horizontal-relative:page;mso-position-vertical-relative:paragraph;z-index:-15726592;mso-wrap-distance-left:0;mso-wrap-distance-right:0" coordorigin="4535,259" coordsize="1048,678">
            <v:shape style="position:absolute;left:4535;top:258;width:678;height:678" type="#_x0000_t75" stroked="false">
              <v:imagedata r:id="rId9" o:title=""/>
            </v:shape>
            <v:shape style="position:absolute;left:5257;top:258;width:160;height:339" coordorigin="5257,259" coordsize="160,339" path="m5257,259l5257,422,5366,598,5417,516,5257,259xe" filled="true" fillcolor="#8dc63f" stroked="false">
              <v:path arrowok="t"/>
              <v:fill type="solid"/>
            </v:shape>
            <v:shape style="position:absolute;left:5257;top:515;width:160;height:421" coordorigin="5257,516" coordsize="160,421" path="m5417,516l5257,773,5257,936,5417,679,5417,516xe" filled="true" fillcolor="#6d6e71" stroked="false">
              <v:path arrowok="t"/>
              <v:fill type="solid"/>
            </v:shape>
            <v:shape style="position:absolute;left:5423;top:258;width:160;height:339" coordorigin="5423,259" coordsize="160,339" path="m5423,259l5423,422,5532,598,5583,516,5423,259xe" filled="true" fillcolor="#8dc63f" stroked="false">
              <v:path arrowok="t"/>
              <v:fill type="solid"/>
            </v:shape>
            <v:shape style="position:absolute;left:5423;top:515;width:160;height:421" coordorigin="5423,516" coordsize="160,421" path="m5583,516l5423,773,5423,936,5583,679,5583,516xe" filled="true" fillcolor="#6d6e71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84.547028pt;margin-top:18.245285pt;width:84pt;height:23.3pt;mso-position-horizontal-relative:page;mso-position-vertical-relative:paragraph;z-index:-15726080;mso-wrap-distance-left:0;mso-wrap-distance-right:0" coordorigin="5691,365" coordsize="1680,466" path="m6156,597l6145,525,6113,462,6088,436,6088,598,6076,665,6042,720,5990,757,5924,770,5857,757,5805,719,5771,664,5759,597,5771,530,5804,475,5856,438,5923,425,5989,438,6041,476,6075,531,6088,598,6088,436,6077,425,6064,412,6000,380,5924,368,5847,380,5783,413,5734,463,5702,526,5691,598,5702,670,5733,733,5782,783,5846,816,5923,827,5999,815,6064,782,6075,770,6113,732,6144,669,6156,597xm6525,765l6258,765,6258,625,6495,625,6495,567,6258,567,6258,431,6522,431,6522,373,6193,373,6193,431,6193,567,6193,625,6193,765,6193,823,6525,823,6525,765xm6947,751l6905,709,6874,735,6843,754,6808,766,6768,770,6703,757,6652,720,6618,664,6606,597,6618,529,6652,475,6703,438,6768,425,6806,429,6841,441,6872,459,6901,483,6944,436,6909,407,6870,384,6824,370,6768,365,6693,377,6630,410,6582,461,6551,525,6540,598,6551,672,6582,736,6630,786,6693,819,6766,830,6822,824,6870,808,6910,783,6947,751xm7370,597l7359,525,7327,463,7302,440,7302,598,7290,664,7256,717,7202,751,7131,763,7034,763,7034,432,7131,432,7202,445,7256,479,7290,532,7302,598,7302,440,7294,432,7276,415,7210,384,7131,373,6969,373,6969,822,7131,822,7210,811,7276,780,7294,763,7327,731,7359,669,7370,597xe" filled="true" fillcolor="#6d6e71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3"/>
        </w:rPr>
      </w:pPr>
    </w:p>
    <w:p>
      <w:pPr>
        <w:pStyle w:val="BodyText"/>
        <w:spacing w:line="120" w:lineRule="exact"/>
        <w:ind w:left="3335"/>
        <w:rPr>
          <w:rFonts w:ascii="Arial"/>
          <w:sz w:val="12"/>
        </w:rPr>
      </w:pPr>
      <w:r>
        <w:rPr>
          <w:rFonts w:ascii="Arial"/>
          <w:position w:val="-1"/>
          <w:sz w:val="12"/>
        </w:rPr>
        <w:drawing>
          <wp:inline distT="0" distB="0" distL="0" distR="0">
            <wp:extent cx="1799568" cy="76200"/>
            <wp:effectExtent l="0" t="0" r="0" b="0"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6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2"/>
        </w:rPr>
      </w:r>
    </w:p>
    <w:p>
      <w:pPr>
        <w:spacing w:after="0" w:line="120" w:lineRule="exact"/>
        <w:rPr>
          <w:rFonts w:ascii="Arial"/>
          <w:sz w:val="12"/>
        </w:rPr>
        <w:sectPr>
          <w:pgSz w:w="11910" w:h="15880"/>
          <w:pgMar w:header="0" w:footer="0" w:top="980" w:bottom="280" w:left="1200" w:right="120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line="312" w:lineRule="auto" w:before="95"/>
        <w:ind w:left="103" w:right="102" w:firstLine="0"/>
        <w:jc w:val="both"/>
        <w:rPr>
          <w:sz w:val="18"/>
        </w:rPr>
      </w:pPr>
      <w:r>
        <w:rPr>
          <w:color w:val="231F20"/>
          <w:sz w:val="18"/>
        </w:rPr>
        <w:t>The project “Improving Higher Education in the Slovak Republic” was co-funded by the European Union via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Structural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Reform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Support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Programme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(REFORM/IM2020/004).</w:t>
      </w:r>
    </w:p>
    <w:p>
      <w:pPr>
        <w:pStyle w:val="BodyText"/>
        <w:spacing w:before="9"/>
        <w:rPr>
          <w:sz w:val="15"/>
        </w:rPr>
      </w:pPr>
    </w:p>
    <w:p>
      <w:pPr>
        <w:spacing w:line="312" w:lineRule="auto" w:before="0"/>
        <w:ind w:left="103" w:right="101" w:firstLine="0"/>
        <w:jc w:val="both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publication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produced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financial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assistance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European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Union.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views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expressed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herein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way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taken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reflect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official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opinion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European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Union.</w:t>
      </w:r>
    </w:p>
    <w:p>
      <w:pPr>
        <w:pStyle w:val="BodyText"/>
        <w:spacing w:before="9"/>
        <w:rPr>
          <w:sz w:val="15"/>
        </w:rPr>
      </w:pPr>
    </w:p>
    <w:p>
      <w:pPr>
        <w:spacing w:line="312" w:lineRule="auto" w:before="0"/>
        <w:ind w:left="103" w:right="101" w:firstLine="0"/>
        <w:jc w:val="both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document,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map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included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herein,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without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prejudice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status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sovereignty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over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any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territory,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delimitation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international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frontiers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boundaries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name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territory,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area.</w:t>
      </w:r>
    </w:p>
    <w:p>
      <w:pPr>
        <w:pStyle w:val="BodyText"/>
        <w:spacing w:before="9"/>
        <w:rPr>
          <w:sz w:val="15"/>
        </w:rPr>
      </w:pPr>
    </w:p>
    <w:p>
      <w:pPr>
        <w:spacing w:line="312" w:lineRule="auto" w:before="1"/>
        <w:ind w:left="103" w:right="101" w:firstLine="0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statistical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data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Israel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supplied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responsibility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relevant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Israeli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authorities.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1"/>
          <w:sz w:val="18"/>
        </w:rPr>
        <w:t>such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data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by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OECD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without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prejudice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status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Golan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Heights,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East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Jerusalem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Israeli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settlements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West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Bank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terms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international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law.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03" w:right="0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Note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by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Turkey</w:t>
      </w:r>
    </w:p>
    <w:p>
      <w:pPr>
        <w:spacing w:line="312" w:lineRule="auto" w:before="63"/>
        <w:ind w:left="103" w:right="101" w:firstLine="0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reference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“Cyprus”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southern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Island.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single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authority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representing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Turkish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Greek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Cypriot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people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Island.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Turkey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recognises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Turkish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Republic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Northern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Cyprus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(TRNC).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Until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lasting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equitable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solution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found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context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United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Nations,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Turkey</w:t>
      </w:r>
      <w:r>
        <w:rPr>
          <w:color w:val="231F20"/>
          <w:spacing w:val="-48"/>
          <w:sz w:val="18"/>
        </w:rPr>
        <w:t> </w:t>
      </w:r>
      <w:r>
        <w:rPr>
          <w:color w:val="231F20"/>
          <w:sz w:val="18"/>
        </w:rPr>
        <w:t>shall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preserve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position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concerning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“Cyprus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issue”.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03" w:right="0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Note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by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all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European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Member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States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OECD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European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Union</w:t>
      </w:r>
    </w:p>
    <w:p>
      <w:pPr>
        <w:spacing w:line="312" w:lineRule="auto" w:before="63"/>
        <w:ind w:left="103" w:right="101" w:firstLine="0"/>
        <w:jc w:val="both"/>
        <w:rPr>
          <w:sz w:val="18"/>
        </w:rPr>
      </w:pPr>
      <w:r>
        <w:rPr>
          <w:color w:val="231F20"/>
          <w:sz w:val="18"/>
        </w:rPr>
        <w:t>The Republic of Cyprus is recognised by all members of the United Nations with the exception of Turkey. The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information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this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document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relates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area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under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effective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Government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Republic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Cyprus.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196854pt;margin-top:7.714353pt;width:464.9pt;height:45pt;mso-position-horizontal-relative:page;mso-position-vertical-relative:paragraph;z-index:-15725568;mso-wrap-distance-left:0;mso-wrap-distance-right:0" type="#_x0000_t202" filled="true" fillcolor="#ededee" stroked="false">
            <v:textbox inset="0,0,0,0">
              <w:txbxContent>
                <w:p>
                  <w:pPr>
                    <w:spacing w:before="126"/>
                    <w:ind w:left="1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16"/>
                    </w:rPr>
                    <w:t>Please</w:t>
                  </w:r>
                  <w:r>
                    <w:rPr>
                      <w:rFonts w:ascii="Arial"/>
                      <w:b/>
                      <w:color w:val="231F20"/>
                      <w:spacing w:val="-1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cite</w:t>
                  </w:r>
                  <w:r>
                    <w:rPr>
                      <w:rFonts w:ascii="Arial"/>
                      <w:b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this</w:t>
                  </w:r>
                  <w:r>
                    <w:rPr>
                      <w:rFonts w:ascii="Arial"/>
                      <w:b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publication</w:t>
                  </w:r>
                  <w:r>
                    <w:rPr>
                      <w:rFonts w:ascii="Arial"/>
                      <w:b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as:</w:t>
                  </w:r>
                </w:p>
                <w:p>
                  <w:pPr>
                    <w:spacing w:before="36"/>
                    <w:ind w:left="1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sz w:val="16"/>
                    </w:rPr>
                    <w:t>OECD</w:t>
                  </w:r>
                  <w:r>
                    <w:rPr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sz w:val="16"/>
                    </w:rPr>
                    <w:t>(2021),</w:t>
                  </w:r>
                  <w:r>
                    <w:rPr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pacing w:val="-1"/>
                      <w:sz w:val="16"/>
                    </w:rPr>
                    <w:t>Improving</w:t>
                  </w:r>
                  <w:r>
                    <w:rPr>
                      <w:rFonts w:ascii="Arial"/>
                      <w:i/>
                      <w:color w:val="231F20"/>
                      <w:spacing w:val="-14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pacing w:val="-1"/>
                      <w:sz w:val="16"/>
                    </w:rPr>
                    <w:t>Higher</w:t>
                  </w:r>
                  <w:r>
                    <w:rPr>
                      <w:rFonts w:ascii="Arial"/>
                      <w:i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pacing w:val="-1"/>
                      <w:sz w:val="16"/>
                    </w:rPr>
                    <w:t>Education</w:t>
                  </w:r>
                  <w:r>
                    <w:rPr>
                      <w:rFonts w:ascii="Arial"/>
                      <w:i/>
                      <w:color w:val="231F20"/>
                      <w:spacing w:val="-14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16"/>
                    </w:rPr>
                    <w:t>in</w:t>
                  </w:r>
                  <w:r>
                    <w:rPr>
                      <w:rFonts w:ascii="Arial"/>
                      <w:i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16"/>
                    </w:rPr>
                    <w:t>the</w:t>
                  </w:r>
                  <w:r>
                    <w:rPr>
                      <w:rFonts w:ascii="Arial"/>
                      <w:i/>
                      <w:color w:val="231F20"/>
                      <w:spacing w:val="-13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16"/>
                    </w:rPr>
                    <w:t>Slovak</w:t>
                  </w:r>
                  <w:r>
                    <w:rPr>
                      <w:rFonts w:ascii="Arial"/>
                      <w:i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16"/>
                    </w:rPr>
                    <w:t>Republic</w:t>
                  </w:r>
                  <w:r>
                    <w:rPr>
                      <w:color w:val="231F20"/>
                      <w:sz w:val="16"/>
                    </w:rPr>
                    <w:t>,</w:t>
                  </w:r>
                  <w:r>
                    <w:rPr>
                      <w:color w:val="231F20"/>
                      <w:spacing w:val="-13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Higher</w:t>
                  </w:r>
                  <w:r>
                    <w:rPr>
                      <w:color w:val="231F20"/>
                      <w:spacing w:val="-1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Education,</w:t>
                  </w:r>
                  <w:r>
                    <w:rPr>
                      <w:color w:val="231F20"/>
                      <w:spacing w:val="-13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OECD</w:t>
                  </w:r>
                  <w:r>
                    <w:rPr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Publishing,</w:t>
                  </w:r>
                  <w:r>
                    <w:rPr>
                      <w:color w:val="231F20"/>
                      <w:spacing w:val="-13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Paris,</w:t>
                  </w:r>
                </w:p>
                <w:p>
                  <w:pPr>
                    <w:spacing w:before="36"/>
                    <w:ind w:left="120" w:right="0" w:firstLine="0"/>
                    <w:jc w:val="left"/>
                    <w:rPr>
                      <w:sz w:val="16"/>
                    </w:rPr>
                  </w:pPr>
                  <w:hyperlink r:id="rId11"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https://doi.org/10.1787/259e23ba-en</w:t>
                    </w:r>
                  </w:hyperlink>
                  <w:r>
                    <w:rPr>
                      <w:color w:val="231F20"/>
                      <w:sz w:val="16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spacing w:before="95"/>
        <w:ind w:left="103" w:right="0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ISBN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978-92-64-81992-4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(print)</w:t>
      </w:r>
    </w:p>
    <w:p>
      <w:pPr>
        <w:spacing w:before="29"/>
        <w:ind w:left="103" w:right="0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ISBN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1"/>
          <w:sz w:val="14"/>
        </w:rPr>
        <w:t>978-92-64-69925-0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(pdf)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83" w:lineRule="auto" w:before="0"/>
        <w:ind w:left="103" w:right="7984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Higher</w:t>
      </w:r>
      <w:r>
        <w:rPr>
          <w:color w:val="231F20"/>
          <w:spacing w:val="36"/>
          <w:sz w:val="14"/>
        </w:rPr>
        <w:t> </w:t>
      </w:r>
      <w:r>
        <w:rPr>
          <w:color w:val="231F20"/>
          <w:sz w:val="14"/>
        </w:rPr>
        <w:t>Education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1"/>
          <w:sz w:val="14"/>
        </w:rPr>
        <w:t>ISSN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2616-9169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(print)</w:t>
      </w:r>
    </w:p>
    <w:p>
      <w:pPr>
        <w:spacing w:before="0"/>
        <w:ind w:left="103" w:right="0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ISSN</w:t>
      </w:r>
      <w:r>
        <w:rPr>
          <w:color w:val="231F20"/>
          <w:spacing w:val="-13"/>
          <w:sz w:val="14"/>
        </w:rPr>
        <w:t> </w:t>
      </w:r>
      <w:r>
        <w:rPr>
          <w:color w:val="231F20"/>
          <w:spacing w:val="-1"/>
          <w:sz w:val="14"/>
        </w:rPr>
        <w:t>2616-9177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(online)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103" w:right="0" w:firstLine="0"/>
        <w:jc w:val="left"/>
        <w:rPr>
          <w:sz w:val="14"/>
        </w:rPr>
      </w:pPr>
      <w:r>
        <w:rPr>
          <w:rFonts w:ascii="Arial" w:hAnsi="Arial"/>
          <w:b/>
          <w:color w:val="231F20"/>
          <w:spacing w:val="-1"/>
          <w:sz w:val="14"/>
        </w:rPr>
        <w:t>Photo</w:t>
      </w:r>
      <w:r>
        <w:rPr>
          <w:rFonts w:ascii="Arial" w:hAnsi="Arial"/>
          <w:b/>
          <w:color w:val="231F20"/>
          <w:spacing w:val="-12"/>
          <w:sz w:val="14"/>
        </w:rPr>
        <w:t> </w:t>
      </w:r>
      <w:r>
        <w:rPr>
          <w:rFonts w:ascii="Arial" w:hAnsi="Arial"/>
          <w:b/>
          <w:color w:val="231F20"/>
          <w:spacing w:val="-1"/>
          <w:sz w:val="14"/>
        </w:rPr>
        <w:t>credits:</w:t>
      </w:r>
      <w:r>
        <w:rPr>
          <w:rFonts w:ascii="Arial" w:hAnsi="Arial"/>
          <w:b/>
          <w:color w:val="231F20"/>
          <w:spacing w:val="-11"/>
          <w:sz w:val="14"/>
        </w:rPr>
        <w:t> </w:t>
      </w:r>
      <w:r>
        <w:rPr>
          <w:color w:val="231F20"/>
          <w:spacing w:val="-1"/>
          <w:sz w:val="14"/>
        </w:rPr>
        <w:t>Cover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©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1"/>
          <w:sz w:val="14"/>
        </w:rPr>
        <w:t>elettaria/Shutterstock.com.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03" w:right="0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Corrigenda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to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publications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1"/>
          <w:sz w:val="14"/>
        </w:rPr>
        <w:t>may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be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1"/>
          <w:sz w:val="14"/>
        </w:rPr>
        <w:t>found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on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1"/>
          <w:sz w:val="14"/>
        </w:rPr>
        <w:t>line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1"/>
          <w:sz w:val="14"/>
        </w:rPr>
        <w:t>at:</w:t>
      </w:r>
      <w:r>
        <w:rPr>
          <w:color w:val="231F20"/>
          <w:spacing w:val="-12"/>
          <w:sz w:val="14"/>
        </w:rPr>
        <w:t> </w:t>
      </w:r>
      <w:hyperlink r:id="rId12">
        <w:r>
          <w:rPr>
            <w:rFonts w:ascii="Arial"/>
            <w:i/>
            <w:color w:val="231F20"/>
            <w:spacing w:val="-1"/>
            <w:sz w:val="14"/>
          </w:rPr>
          <w:t>www.oecd.org/about/publishing/corrigenda.htm</w:t>
        </w:r>
      </w:hyperlink>
      <w:r>
        <w:rPr>
          <w:color w:val="231F20"/>
          <w:spacing w:val="-1"/>
          <w:sz w:val="14"/>
        </w:rPr>
        <w:t>.</w:t>
      </w:r>
    </w:p>
    <w:p>
      <w:pPr>
        <w:spacing w:before="91"/>
        <w:ind w:left="104" w:right="0" w:firstLine="0"/>
        <w:jc w:val="left"/>
        <w:rPr>
          <w:sz w:val="16"/>
        </w:rPr>
      </w:pPr>
      <w:r>
        <w:rPr/>
        <w:pict>
          <v:shape style="position:absolute;margin-left:65.196854pt;margin-top:18.333876pt;width:464.9pt;height:.1pt;mso-position-horizontal-relative:page;mso-position-vertical-relative:paragraph;z-index:-15725056;mso-wrap-distance-left:0;mso-wrap-distance-right:0" coordorigin="1304,367" coordsize="9298,0" path="m1304,367l10602,36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pacing w:val="-1"/>
          <w:sz w:val="16"/>
        </w:rPr>
        <w:t>©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1"/>
          <w:sz w:val="16"/>
        </w:rPr>
        <w:t>OECD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2021</w:t>
      </w:r>
    </w:p>
    <w:p>
      <w:pPr>
        <w:spacing w:before="68" w:after="87"/>
        <w:ind w:left="103" w:right="0" w:firstLine="0"/>
        <w:jc w:val="left"/>
        <w:rPr>
          <w:sz w:val="12"/>
        </w:rPr>
      </w:pPr>
      <w:r>
        <w:rPr>
          <w:color w:val="231F20"/>
          <w:spacing w:val="-1"/>
          <w:sz w:val="12"/>
        </w:rPr>
        <w:t>The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use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1"/>
          <w:sz w:val="12"/>
        </w:rPr>
        <w:t>of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1"/>
          <w:sz w:val="12"/>
        </w:rPr>
        <w:t>this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1"/>
          <w:sz w:val="12"/>
        </w:rPr>
        <w:t>work,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1"/>
          <w:sz w:val="12"/>
        </w:rPr>
        <w:t>whether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1"/>
          <w:sz w:val="12"/>
        </w:rPr>
        <w:t>digital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or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print,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is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1"/>
          <w:sz w:val="12"/>
        </w:rPr>
        <w:t>governed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by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1"/>
          <w:sz w:val="12"/>
        </w:rPr>
        <w:t>the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Terms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and</w:t>
      </w:r>
      <w:r>
        <w:rPr>
          <w:color w:val="231F20"/>
          <w:spacing w:val="-14"/>
          <w:sz w:val="12"/>
        </w:rPr>
        <w:t> </w:t>
      </w:r>
      <w:r>
        <w:rPr>
          <w:color w:val="231F20"/>
          <w:spacing w:val="-1"/>
          <w:sz w:val="12"/>
        </w:rPr>
        <w:t>Conditions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14"/>
          <w:sz w:val="12"/>
        </w:rPr>
        <w:t> </w:t>
      </w:r>
      <w:r>
        <w:rPr>
          <w:color w:val="231F20"/>
          <w:sz w:val="12"/>
        </w:rPr>
        <w:t>be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found</w:t>
      </w:r>
      <w:r>
        <w:rPr>
          <w:color w:val="231F20"/>
          <w:spacing w:val="-14"/>
          <w:sz w:val="12"/>
        </w:rPr>
        <w:t> </w:t>
      </w:r>
      <w:r>
        <w:rPr>
          <w:color w:val="231F20"/>
          <w:sz w:val="12"/>
        </w:rPr>
        <w:t>at</w:t>
      </w:r>
      <w:r>
        <w:rPr>
          <w:color w:val="231F20"/>
          <w:spacing w:val="-15"/>
          <w:sz w:val="12"/>
        </w:rPr>
        <w:t> </w:t>
      </w:r>
      <w:hyperlink r:id="rId13">
        <w:r>
          <w:rPr>
            <w:rFonts w:ascii="Arial"/>
            <w:i/>
            <w:color w:val="231F20"/>
            <w:sz w:val="12"/>
          </w:rPr>
          <w:t>http://www.oecd.org/termsandconditions</w:t>
        </w:r>
      </w:hyperlink>
      <w:r>
        <w:rPr>
          <w:color w:val="231F20"/>
          <w:sz w:val="12"/>
        </w:rPr>
        <w:t>.</w:t>
      </w:r>
    </w:p>
    <w:p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  <w:pict>
          <v:group style="width:464.9pt;height:.5pt;mso-position-horizontal-relative:char;mso-position-vertical-relative:line" coordorigin="0,0" coordsize="9298,10">
            <v:line style="position:absolute" from="9298,5" to="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5880"/>
          <w:pgMar w:header="0" w:footer="0" w:top="1500" w:bottom="280" w:left="1200" w:right="1200"/>
        </w:sectPr>
      </w:pPr>
    </w:p>
    <w:p>
      <w:pPr>
        <w:pStyle w:val="Heading1"/>
      </w:pPr>
      <w:bookmarkStart w:name="Foreword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4E81BD"/>
          <w:w w:val="90"/>
        </w:rPr>
        <w:t>Foreword</w:t>
      </w:r>
    </w:p>
    <w:p>
      <w:pPr>
        <w:pStyle w:val="BodyText"/>
        <w:rPr>
          <w:rFonts w:ascii="Arial"/>
          <w:b/>
          <w:sz w:val="82"/>
        </w:rPr>
      </w:pPr>
    </w:p>
    <w:p>
      <w:pPr>
        <w:pStyle w:val="BodyText"/>
        <w:spacing w:before="7"/>
        <w:rPr>
          <w:rFonts w:ascii="Arial"/>
          <w:b/>
          <w:sz w:val="95"/>
        </w:rPr>
      </w:pPr>
    </w:p>
    <w:p>
      <w:pPr>
        <w:pStyle w:val="BodyText"/>
        <w:spacing w:line="271" w:lineRule="auto" w:before="1"/>
        <w:ind w:left="183" w:right="303"/>
        <w:jc w:val="both"/>
      </w:pP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plays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crucial</w:t>
      </w:r>
      <w:r>
        <w:rPr>
          <w:spacing w:val="-8"/>
        </w:rPr>
        <w:t> </w:t>
      </w:r>
      <w:r>
        <w:rPr/>
        <w:t>role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around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world.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equips</w:t>
      </w:r>
      <w:r>
        <w:rPr>
          <w:spacing w:val="-8"/>
        </w:rPr>
        <w:t> </w:t>
      </w:r>
      <w:r>
        <w:rPr/>
        <w:t>learners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skills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lead</w:t>
      </w:r>
      <w:r>
        <w:rPr>
          <w:spacing w:val="1"/>
        </w:rPr>
        <w:t> </w:t>
      </w:r>
      <w:r>
        <w:rPr/>
        <w:t>productive working lives and sparks the knowledge creation and innovation that fosters economic growth</w:t>
      </w:r>
      <w:r>
        <w:rPr>
          <w:spacing w:val="1"/>
        </w:rPr>
        <w:t> </w:t>
      </w:r>
      <w:r>
        <w:rPr/>
        <w:t>and social progress. Moreover, long-term trends such as globalisation, digitalisation and demographic</w:t>
      </w:r>
      <w:r>
        <w:rPr>
          <w:spacing w:val="1"/>
        </w:rPr>
        <w:t> </w:t>
      </w:r>
      <w:r>
        <w:rPr/>
        <w:t>change, as well as shocks such as the coronavirus (COVID-19) pandemic, transform economies and</w:t>
      </w:r>
      <w:r>
        <w:rPr>
          <w:spacing w:val="1"/>
        </w:rPr>
        <w:t> </w:t>
      </w:r>
      <w:r>
        <w:rPr/>
        <w:t>societies,</w:t>
      </w:r>
      <w:r>
        <w:rPr>
          <w:spacing w:val="-4"/>
        </w:rPr>
        <w:t> </w:t>
      </w:r>
      <w:r>
        <w:rPr/>
        <w:t>putting</w:t>
      </w:r>
      <w:r>
        <w:rPr>
          <w:spacing w:val="-3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systems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evolve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respond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needs.</w:t>
      </w:r>
    </w:p>
    <w:p>
      <w:pPr>
        <w:pStyle w:val="BodyText"/>
        <w:spacing w:line="271" w:lineRule="auto" w:before="122"/>
        <w:ind w:left="183" w:right="304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Slovak</w:t>
      </w:r>
      <w:r>
        <w:rPr>
          <w:spacing w:val="-9"/>
        </w:rPr>
        <w:t> </w:t>
      </w:r>
      <w:r>
        <w:rPr>
          <w:spacing w:val="-1"/>
        </w:rPr>
        <w:t>Republic,</w:t>
      </w:r>
      <w:r>
        <w:rPr>
          <w:spacing w:val="-13"/>
        </w:rPr>
        <w:t> </w:t>
      </w:r>
      <w:r>
        <w:rPr>
          <w:spacing w:val="-1"/>
        </w:rPr>
        <w:t>fast</w:t>
      </w:r>
      <w:r>
        <w:rPr>
          <w:spacing w:val="-10"/>
        </w:rPr>
        <w:t> </w:t>
      </w:r>
      <w:r>
        <w:rPr/>
        <w:t>growth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participation</w:t>
      </w:r>
      <w:r>
        <w:rPr>
          <w:spacing w:val="-1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early</w:t>
      </w:r>
      <w:r>
        <w:rPr>
          <w:spacing w:val="-14"/>
        </w:rPr>
        <w:t> </w:t>
      </w:r>
      <w:r>
        <w:rPr/>
        <w:t>1990s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led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rising</w:t>
      </w:r>
      <w:r>
        <w:rPr>
          <w:spacing w:val="1"/>
        </w:rPr>
        <w:t> </w:t>
      </w:r>
      <w:r>
        <w:rPr/>
        <w:t>share of young adults with a higher education qualification. However, student enrolment has declined</w:t>
      </w:r>
      <w:r>
        <w:rPr>
          <w:spacing w:val="1"/>
        </w:rPr>
        <w:t> </w:t>
      </w:r>
      <w:r>
        <w:rPr/>
        <w:t>significantly in the past decade, and the country has found it difficult to make its higher education system</w:t>
      </w:r>
      <w:r>
        <w:rPr>
          <w:spacing w:val="1"/>
        </w:rPr>
        <w:t> </w:t>
      </w:r>
      <w:r>
        <w:rPr/>
        <w:t>attractive to domestic and international students. While Slovak graduates do better in the labour market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11"/>
        </w:rPr>
        <w:t> </w:t>
      </w:r>
      <w:r>
        <w:rPr>
          <w:spacing w:val="-1"/>
        </w:rPr>
        <w:t>their</w:t>
      </w:r>
      <w:r>
        <w:rPr>
          <w:spacing w:val="-12"/>
        </w:rPr>
        <w:t> </w:t>
      </w:r>
      <w:r>
        <w:rPr>
          <w:spacing w:val="-1"/>
        </w:rPr>
        <w:t>counterparts</w:t>
      </w:r>
      <w:r>
        <w:rPr>
          <w:spacing w:val="-9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qualification,</w:t>
      </w:r>
      <w:r>
        <w:rPr>
          <w:spacing w:val="-10"/>
        </w:rPr>
        <w:t> </w:t>
      </w:r>
      <w:r>
        <w:rPr/>
        <w:t>they</w:t>
      </w:r>
      <w:r>
        <w:rPr>
          <w:spacing w:val="-13"/>
        </w:rPr>
        <w:t> </w:t>
      </w:r>
      <w:r>
        <w:rPr/>
        <w:t>often</w:t>
      </w:r>
      <w:r>
        <w:rPr>
          <w:spacing w:val="-13"/>
        </w:rPr>
        <w:t> </w:t>
      </w:r>
      <w:r>
        <w:rPr/>
        <w:t>experience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mismatch</w:t>
      </w:r>
      <w:r>
        <w:rPr>
          <w:spacing w:val="-13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qualifications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neighbouring</w:t>
      </w:r>
      <w:r>
        <w:rPr>
          <w:spacing w:val="-4"/>
        </w:rPr>
        <w:t> </w:t>
      </w:r>
      <w:r>
        <w:rPr/>
        <w:t>countries,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many</w:t>
      </w:r>
      <w:r>
        <w:rPr>
          <w:spacing w:val="-7"/>
        </w:rPr>
        <w:t> </w:t>
      </w:r>
      <w:r>
        <w:rPr/>
        <w:t>institutions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weakly</w:t>
      </w:r>
      <w:r>
        <w:rPr>
          <w:spacing w:val="-8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line="271" w:lineRule="auto" w:before="120"/>
        <w:ind w:left="183" w:right="306"/>
        <w:jc w:val="both"/>
      </w:pPr>
      <w:r>
        <w:rPr/>
        <w:t>Slovak policy makers have outlined ambitious goals for higher education and initiated policy reforms in</w:t>
      </w:r>
      <w:r>
        <w:rPr>
          <w:spacing w:val="1"/>
        </w:rPr>
        <w:t> </w:t>
      </w:r>
      <w:r>
        <w:rPr/>
        <w:t>recent</w:t>
      </w:r>
      <w:r>
        <w:rPr>
          <w:spacing w:val="-4"/>
        </w:rPr>
        <w:t> </w:t>
      </w:r>
      <w:r>
        <w:rPr/>
        <w:t>years,</w:t>
      </w:r>
      <w:r>
        <w:rPr>
          <w:spacing w:val="-7"/>
        </w:rPr>
        <w:t> </w:t>
      </w:r>
      <w:r>
        <w:rPr/>
        <w:t>most</w:t>
      </w:r>
      <w:r>
        <w:rPr>
          <w:spacing w:val="-8"/>
        </w:rPr>
        <w:t> </w:t>
      </w:r>
      <w:r>
        <w:rPr/>
        <w:t>notably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quality</w:t>
      </w:r>
      <w:r>
        <w:rPr>
          <w:spacing w:val="-9"/>
        </w:rPr>
        <w:t> </w:t>
      </w:r>
      <w:r>
        <w:rPr/>
        <w:t>assurance.</w:t>
      </w:r>
      <w:r>
        <w:rPr>
          <w:spacing w:val="-6"/>
        </w:rPr>
        <w:t> </w:t>
      </w:r>
      <w:r>
        <w:rPr/>
        <w:t>Nonetheless,</w:t>
      </w:r>
      <w:r>
        <w:rPr>
          <w:spacing w:val="-7"/>
        </w:rPr>
        <w:t> </w:t>
      </w:r>
      <w:r>
        <w:rPr/>
        <w:t>Slovak</w:t>
      </w:r>
      <w:r>
        <w:rPr>
          <w:spacing w:val="-5"/>
        </w:rPr>
        <w:t> </w:t>
      </w:r>
      <w:r>
        <w:rPr/>
        <w:t>higher</w:t>
      </w:r>
      <w:r>
        <w:rPr>
          <w:spacing w:val="-5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stakeholders</w:t>
      </w:r>
      <w:r>
        <w:rPr>
          <w:spacing w:val="-4"/>
        </w:rPr>
        <w:t> </w:t>
      </w:r>
      <w:r>
        <w:rPr/>
        <w:t>have</w:t>
      </w:r>
      <w:r>
        <w:rPr>
          <w:spacing w:val="1"/>
        </w:rPr>
        <w:t> </w:t>
      </w:r>
      <w:r>
        <w:rPr/>
        <w:t>not reached broad agreement on the problems their higher education system faces, its causes, and the</w:t>
      </w:r>
      <w:r>
        <w:rPr>
          <w:spacing w:val="1"/>
        </w:rPr>
        <w:t> </w:t>
      </w:r>
      <w:r>
        <w:rPr/>
        <w:t>actions that should be taken to improve its performance. As a result, work remains to be done to carefully</w:t>
      </w:r>
      <w:r>
        <w:rPr>
          <w:spacing w:val="-53"/>
        </w:rPr>
        <w:t> </w:t>
      </w:r>
      <w:r>
        <w:rPr/>
        <w:t>identify, design and implement reforms that can significantly change higher education practices and</w:t>
      </w:r>
      <w:r>
        <w:rPr>
          <w:spacing w:val="1"/>
        </w:rPr>
        <w:t> </w:t>
      </w:r>
      <w:r>
        <w:rPr/>
        <w:t>outcomes,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 governance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funding</w:t>
      </w:r>
      <w:r>
        <w:rPr>
          <w:spacing w:val="-2"/>
        </w:rPr>
        <w:t> </w:t>
      </w:r>
      <w:r>
        <w:rPr/>
        <w:t>reforms.</w:t>
      </w:r>
    </w:p>
    <w:p>
      <w:pPr>
        <w:pStyle w:val="BodyText"/>
        <w:spacing w:line="271" w:lineRule="auto" w:before="121"/>
        <w:ind w:left="183" w:right="305"/>
        <w:jc w:val="both"/>
      </w:pPr>
      <w:r>
        <w:rPr/>
        <w:t>The</w:t>
      </w:r>
      <w:r>
        <w:rPr>
          <w:spacing w:val="-10"/>
        </w:rPr>
        <w:t> </w:t>
      </w:r>
      <w:r>
        <w:rPr/>
        <w:t>project</w:t>
      </w:r>
      <w:r>
        <w:rPr>
          <w:spacing w:val="-9"/>
        </w:rPr>
        <w:t> </w:t>
      </w:r>
      <w:r>
        <w:rPr/>
        <w:t>“Improving</w:t>
      </w:r>
      <w:r>
        <w:rPr>
          <w:spacing w:val="-10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Slovak</w:t>
      </w:r>
      <w:r>
        <w:rPr>
          <w:spacing w:val="-7"/>
        </w:rPr>
        <w:t> </w:t>
      </w:r>
      <w:r>
        <w:rPr/>
        <w:t>Republic”</w:t>
      </w:r>
      <w:r>
        <w:rPr>
          <w:spacing w:val="-9"/>
        </w:rPr>
        <w:t> </w:t>
      </w:r>
      <w:r>
        <w:rPr/>
        <w:t>offers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perspective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the Slovak higher education system and provides an action plan focused on governance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funding</w:t>
      </w:r>
      <w:r>
        <w:rPr>
          <w:spacing w:val="-14"/>
        </w:rPr>
        <w:t> </w:t>
      </w:r>
      <w:r>
        <w:rPr>
          <w:spacing w:val="-1"/>
        </w:rPr>
        <w:t>reforms,</w:t>
      </w:r>
      <w:r>
        <w:rPr>
          <w:spacing w:val="-10"/>
        </w:rPr>
        <w:t> </w:t>
      </w:r>
      <w:r>
        <w:rPr>
          <w:spacing w:val="-1"/>
        </w:rPr>
        <w:t>placing</w:t>
      </w:r>
      <w:r>
        <w:rPr>
          <w:spacing w:val="-13"/>
        </w:rPr>
        <w:t> </w:t>
      </w:r>
      <w:r>
        <w:rPr>
          <w:spacing w:val="-1"/>
        </w:rPr>
        <w:t>special</w:t>
      </w:r>
      <w:r>
        <w:rPr>
          <w:spacing w:val="-14"/>
        </w:rPr>
        <w:t> </w:t>
      </w:r>
      <w:r>
        <w:rPr>
          <w:spacing w:val="-1"/>
        </w:rPr>
        <w:t>emphasis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implementation</w:t>
      </w:r>
      <w:r>
        <w:rPr>
          <w:spacing w:val="-11"/>
        </w:rPr>
        <w:t> </w:t>
      </w:r>
      <w:r>
        <w:rPr>
          <w:spacing w:val="-1"/>
        </w:rPr>
        <w:t>planning.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unfolded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parallel</w:t>
      </w:r>
      <w:r>
        <w:rPr>
          <w:spacing w:val="1"/>
        </w:rPr>
        <w:t> </w:t>
      </w:r>
      <w:r>
        <w:rPr/>
        <w:t>with new policy plans for higher education – a proposed reform of the Act on Higher Education that would</w:t>
      </w:r>
      <w:r>
        <w:rPr>
          <w:spacing w:val="-53"/>
        </w:rPr>
        <w:t> </w:t>
      </w:r>
      <w:r>
        <w:rPr/>
        <w:t>make changes to institutional governance and new funding proposed</w:t>
      </w:r>
      <w:r>
        <w:rPr>
          <w:spacing w:val="1"/>
        </w:rPr>
        <w:t> </w:t>
      </w:r>
      <w:r>
        <w:rPr/>
        <w:t>in the national recovery and</w:t>
      </w:r>
      <w:r>
        <w:rPr>
          <w:spacing w:val="1"/>
        </w:rPr>
        <w:t> </w:t>
      </w:r>
      <w:r>
        <w:rPr/>
        <w:t>resilience plan submitted to the European Commission – and seeks to provide actionable input that can</w:t>
      </w:r>
      <w:r>
        <w:rPr>
          <w:spacing w:val="1"/>
        </w:rPr>
        <w:t> </w:t>
      </w:r>
      <w:r>
        <w:rPr/>
        <w:t>inform</w:t>
      </w:r>
      <w:r>
        <w:rPr>
          <w:spacing w:val="3"/>
        </w:rPr>
        <w:t> </w:t>
      </w:r>
      <w:r>
        <w:rPr/>
        <w:t>these</w:t>
      </w:r>
      <w:r>
        <w:rPr>
          <w:spacing w:val="-1"/>
        </w:rPr>
        <w:t> </w:t>
      </w:r>
      <w:r>
        <w:rPr/>
        <w:t>plans.</w:t>
      </w:r>
    </w:p>
    <w:p>
      <w:pPr>
        <w:pStyle w:val="BodyText"/>
        <w:spacing w:line="271" w:lineRule="auto" w:before="120"/>
        <w:ind w:left="183" w:right="305"/>
        <w:jc w:val="both"/>
      </w:pP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builds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/>
        <w:t>detailed</w:t>
      </w:r>
      <w:r>
        <w:rPr>
          <w:spacing w:val="56"/>
        </w:rPr>
        <w:t> </w:t>
      </w:r>
      <w:r>
        <w:rPr/>
        <w:t>comparative</w:t>
      </w:r>
      <w:r>
        <w:rPr>
          <w:spacing w:val="55"/>
        </w:rPr>
        <w:t> </w:t>
      </w:r>
      <w:r>
        <w:rPr/>
        <w:t>analysis,</w:t>
      </w:r>
      <w:r>
        <w:rPr>
          <w:spacing w:val="56"/>
        </w:rPr>
        <w:t> </w:t>
      </w:r>
      <w:r>
        <w:rPr/>
        <w:t>recent</w:t>
      </w:r>
      <w:r>
        <w:rPr>
          <w:spacing w:val="55"/>
        </w:rPr>
        <w:t> </w:t>
      </w:r>
      <w:r>
        <w:rPr/>
        <w:t>studies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higher</w:t>
      </w:r>
      <w:r>
        <w:rPr>
          <w:spacing w:val="56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Slovak</w:t>
      </w:r>
      <w:r>
        <w:rPr>
          <w:spacing w:val="3"/>
        </w:rPr>
        <w:t> </w:t>
      </w:r>
      <w:r>
        <w:rPr>
          <w:spacing w:val="-1"/>
        </w:rPr>
        <w:t>Republic</w:t>
      </w:r>
      <w:r>
        <w:rPr>
          <w:spacing w:val="-12"/>
        </w:rPr>
        <w:t> </w:t>
      </w:r>
      <w:r>
        <w:rPr>
          <w:spacing w:val="-1"/>
        </w:rPr>
        <w:t>conducted</w:t>
      </w:r>
      <w:r>
        <w:rPr>
          <w:spacing w:val="-9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national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international</w:t>
      </w:r>
      <w:r>
        <w:rPr>
          <w:spacing w:val="-14"/>
        </w:rPr>
        <w:t> </w:t>
      </w:r>
      <w:r>
        <w:rPr>
          <w:spacing w:val="-1"/>
        </w:rPr>
        <w:t>organisations,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engagement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wide</w:t>
      </w:r>
      <w:r>
        <w:rPr>
          <w:spacing w:val="-13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stakeholders and an international peer-learning webinar on higher education governance and funding.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meetings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makers,</w:t>
      </w:r>
      <w:r>
        <w:rPr>
          <w:spacing w:val="1"/>
        </w:rPr>
        <w:t> </w:t>
      </w:r>
      <w:r>
        <w:rPr/>
        <w:t>including,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Sport,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>
          <w:spacing w:val="-1"/>
        </w:rPr>
        <w:t>Accreditation</w:t>
      </w:r>
      <w:r>
        <w:rPr>
          <w:spacing w:val="-11"/>
        </w:rPr>
        <w:t> </w:t>
      </w:r>
      <w:r>
        <w:rPr>
          <w:spacing w:val="-1"/>
        </w:rPr>
        <w:t>Agency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Higher</w:t>
      </w:r>
      <w:r>
        <w:rPr>
          <w:spacing w:val="-10"/>
        </w:rPr>
        <w:t> </w:t>
      </w:r>
      <w:r>
        <w:rPr>
          <w:spacing w:val="-1"/>
        </w:rPr>
        <w:t>Education,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Institute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Educational</w:t>
      </w:r>
      <w:r>
        <w:rPr>
          <w:spacing w:val="-12"/>
        </w:rPr>
        <w:t> </w:t>
      </w:r>
      <w:r>
        <w:rPr/>
        <w:t>Policies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Agency.</w:t>
      </w:r>
    </w:p>
    <w:p>
      <w:pPr>
        <w:pStyle w:val="BodyText"/>
        <w:spacing w:line="271" w:lineRule="auto" w:before="123"/>
        <w:ind w:left="183" w:right="300"/>
        <w:jc w:val="both"/>
      </w:pPr>
      <w:r>
        <w:rPr/>
        <w:t>The project is a collaboration between the European Commission’s Directorate-General for Structural</w:t>
      </w:r>
      <w:r>
        <w:rPr>
          <w:spacing w:val="1"/>
        </w:rPr>
        <w:t> </w:t>
      </w:r>
      <w:r>
        <w:rPr/>
        <w:t>Reform Support, the Institute for Strategies and Analysis in the Office of the Government of the Slovak</w:t>
      </w:r>
      <w:r>
        <w:rPr>
          <w:spacing w:val="1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OECD’s</w:t>
      </w:r>
      <w:r>
        <w:rPr>
          <w:spacing w:val="4"/>
        </w:rPr>
        <w:t> </w:t>
      </w:r>
      <w:r>
        <w:rPr/>
        <w:t>Directorate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Skills.</w:t>
      </w:r>
    </w:p>
    <w:p>
      <w:pPr>
        <w:spacing w:after="0" w:line="271" w:lineRule="auto"/>
        <w:jc w:val="both"/>
        <w:sectPr>
          <w:headerReference w:type="default" r:id="rId14"/>
          <w:footerReference w:type="default" r:id="rId15"/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6"/>
          <w:footerReference w:type="even" r:id="rId17"/>
          <w:pgSz w:w="11910" w:h="15880"/>
          <w:pgMar w:header="0" w:footer="0" w:top="1500" w:bottom="280" w:left="1120" w:right="1000"/>
        </w:sectPr>
      </w:pPr>
    </w:p>
    <w:p>
      <w:pPr>
        <w:pStyle w:val="Heading1"/>
      </w:pPr>
      <w:bookmarkStart w:name="Acknowledgements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4E81BD"/>
          <w:w w:val="90"/>
        </w:rPr>
        <w:t>Acknowledgements</w:t>
      </w:r>
    </w:p>
    <w:p>
      <w:pPr>
        <w:pStyle w:val="BodyText"/>
        <w:rPr>
          <w:rFonts w:ascii="Arial"/>
          <w:b/>
          <w:sz w:val="82"/>
        </w:rPr>
      </w:pPr>
    </w:p>
    <w:p>
      <w:pPr>
        <w:pStyle w:val="BodyText"/>
        <w:spacing w:before="7"/>
        <w:rPr>
          <w:rFonts w:ascii="Arial"/>
          <w:b/>
          <w:sz w:val="95"/>
        </w:rPr>
      </w:pPr>
    </w:p>
    <w:p>
      <w:pPr>
        <w:pStyle w:val="BodyText"/>
        <w:spacing w:line="271" w:lineRule="auto" w:before="1"/>
        <w:ind w:left="183" w:right="311"/>
        <w:jc w:val="both"/>
      </w:pPr>
      <w:r>
        <w:rPr/>
        <w:t>This</w:t>
      </w:r>
      <w:r>
        <w:rPr>
          <w:spacing w:val="-12"/>
        </w:rPr>
        <w:t> </w:t>
      </w:r>
      <w:r>
        <w:rPr/>
        <w:t>publication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part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OECD</w:t>
      </w:r>
      <w:r>
        <w:rPr>
          <w:spacing w:val="-12"/>
        </w:rPr>
        <w:t> </w:t>
      </w:r>
      <w:r>
        <w:rPr/>
        <w:t>programme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work</w:t>
      </w:r>
      <w:r>
        <w:rPr>
          <w:spacing w:val="-10"/>
        </w:rPr>
        <w:t> </w:t>
      </w:r>
      <w:r>
        <w:rPr/>
        <w:t>on</w:t>
      </w:r>
      <w:r>
        <w:rPr>
          <w:spacing w:val="-13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13"/>
        </w:rPr>
        <w:t> </w:t>
      </w:r>
      <w:r>
        <w:rPr/>
        <w:t>policy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produced</w:t>
      </w:r>
      <w:r>
        <w:rPr>
          <w:spacing w:val="-10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European</w:t>
      </w:r>
      <w:r>
        <w:rPr>
          <w:spacing w:val="1"/>
        </w:rPr>
        <w:t> </w:t>
      </w:r>
      <w:r>
        <w:rPr/>
        <w:t>Union.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The</w:t>
      </w:r>
      <w:r>
        <w:rPr>
          <w:spacing w:val="-10"/>
        </w:rPr>
        <w:t> </w:t>
      </w:r>
      <w:r>
        <w:rPr/>
        <w:t>OECD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grateful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support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Agota</w:t>
      </w:r>
      <w:r>
        <w:rPr>
          <w:spacing w:val="-7"/>
        </w:rPr>
        <w:t> </w:t>
      </w:r>
      <w:r>
        <w:rPr/>
        <w:t>Kovács</w:t>
      </w:r>
      <w:r>
        <w:rPr>
          <w:spacing w:val="-5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European</w:t>
      </w:r>
      <w:r>
        <w:rPr>
          <w:spacing w:val="-8"/>
        </w:rPr>
        <w:t> </w:t>
      </w:r>
      <w:r>
        <w:rPr/>
        <w:t>Commission’s</w:t>
      </w:r>
      <w:r>
        <w:rPr>
          <w:spacing w:val="-5"/>
        </w:rPr>
        <w:t> </w:t>
      </w:r>
      <w:r>
        <w:rPr/>
        <w:t>Directorate-General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Structural</w:t>
      </w:r>
      <w:r>
        <w:rPr>
          <w:spacing w:val="-13"/>
        </w:rPr>
        <w:t> </w:t>
      </w:r>
      <w:r>
        <w:rPr>
          <w:spacing w:val="-1"/>
        </w:rPr>
        <w:t>Reform</w:t>
      </w:r>
      <w:r>
        <w:rPr>
          <w:spacing w:val="-10"/>
        </w:rPr>
        <w:t> </w:t>
      </w:r>
      <w:r>
        <w:rPr>
          <w:spacing w:val="-1"/>
        </w:rPr>
        <w:t>Support</w:t>
      </w:r>
      <w:r>
        <w:rPr>
          <w:spacing w:val="-12"/>
        </w:rPr>
        <w:t> </w:t>
      </w:r>
      <w:r>
        <w:rPr>
          <w:spacing w:val="-1"/>
        </w:rPr>
        <w:t>(DG</w:t>
      </w:r>
      <w:r>
        <w:rPr>
          <w:spacing w:val="-8"/>
        </w:rPr>
        <w:t> </w:t>
      </w:r>
      <w:r>
        <w:rPr/>
        <w:t>REFORM)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Veronika</w:t>
      </w:r>
      <w:r>
        <w:rPr>
          <w:spacing w:val="-2"/>
        </w:rPr>
        <w:t> </w:t>
      </w:r>
      <w:r>
        <w:rPr/>
        <w:t>Rybánska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Natália</w:t>
      </w:r>
      <w:r>
        <w:rPr>
          <w:spacing w:val="-2"/>
        </w:rPr>
        <w:t> </w:t>
      </w:r>
      <w:r>
        <w:rPr/>
        <w:t>Cedzová</w:t>
      </w:r>
      <w:r>
        <w:rPr>
          <w:spacing w:val="-12"/>
        </w:rPr>
        <w:t> </w:t>
      </w: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Institute</w:t>
      </w:r>
      <w:r>
        <w:rPr>
          <w:spacing w:val="-53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Strategies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Analysis</w:t>
      </w:r>
      <w:r>
        <w:rPr>
          <w:spacing w:val="-11"/>
        </w:rPr>
        <w:t> </w:t>
      </w:r>
      <w:r>
        <w:rPr>
          <w:spacing w:val="-1"/>
        </w:rPr>
        <w:t>(ISA)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Government</w:t>
      </w:r>
      <w:r>
        <w:rPr>
          <w:spacing w:val="-12"/>
        </w:rPr>
        <w:t> </w:t>
      </w:r>
      <w:r>
        <w:rPr>
          <w:spacing w:val="-1"/>
        </w:rPr>
        <w:t>Office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Slovak</w:t>
      </w:r>
      <w:r>
        <w:rPr>
          <w:spacing w:val="-9"/>
        </w:rPr>
        <w:t> </w:t>
      </w:r>
      <w:r>
        <w:rPr/>
        <w:t>Republic.</w:t>
      </w:r>
      <w:r>
        <w:rPr>
          <w:spacing w:val="-13"/>
        </w:rPr>
        <w:t> </w:t>
      </w:r>
      <w:r>
        <w:rPr/>
        <w:t>Together</w:t>
      </w:r>
      <w:r>
        <w:rPr>
          <w:spacing w:val="-10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OECD</w:t>
      </w:r>
      <w:r>
        <w:rPr>
          <w:spacing w:val="1"/>
        </w:rPr>
        <w:t> </w:t>
      </w:r>
      <w:r>
        <w:rPr/>
        <w:t>team, the DG REFORM and ISA team formed the advisory group for the project “Improving Higher</w:t>
      </w:r>
      <w:r>
        <w:rPr>
          <w:spacing w:val="1"/>
        </w:rPr>
        <w:t> </w:t>
      </w:r>
      <w:r>
        <w:rPr/>
        <w:t>Education in the Slovak Republic”, setting the direction for the project and providing regular advice on the</w:t>
      </w:r>
      <w:r>
        <w:rPr>
          <w:spacing w:val="-53"/>
        </w:rPr>
        <w:t> </w:t>
      </w:r>
      <w:r>
        <w:rPr/>
        <w:t>project’s activities and outputs. We are grateful for the ISA team to have hosted a pre-project meeting in</w:t>
      </w:r>
      <w:r>
        <w:rPr>
          <w:spacing w:val="1"/>
        </w:rPr>
        <w:t> </w:t>
      </w:r>
      <w:r>
        <w:rPr/>
        <w:t>Bratislava and then accommodated the switch to fully remote project activities as a result of the ongoing</w:t>
      </w:r>
      <w:r>
        <w:rPr>
          <w:spacing w:val="1"/>
        </w:rPr>
        <w:t> </w:t>
      </w:r>
      <w:r>
        <w:rPr/>
        <w:t>coronavirus</w:t>
      </w:r>
      <w:r>
        <w:rPr>
          <w:spacing w:val="-1"/>
        </w:rPr>
        <w:t> </w:t>
      </w:r>
      <w:r>
        <w:rPr/>
        <w:t>(COVID-19) pandemic.</w:t>
      </w:r>
    </w:p>
    <w:p>
      <w:pPr>
        <w:pStyle w:val="BodyText"/>
        <w:spacing w:line="271" w:lineRule="auto" w:before="120"/>
        <w:ind w:left="183" w:right="299"/>
        <w:jc w:val="both"/>
      </w:pPr>
      <w:r>
        <w:rPr>
          <w:spacing w:val="6"/>
          <w:w w:val="99"/>
        </w:rPr>
        <w:t>W</w:t>
      </w:r>
      <w:r>
        <w:rPr>
          <w:spacing w:val="-3"/>
          <w:w w:val="99"/>
        </w:rPr>
        <w:t>a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th</w:t>
      </w:r>
      <w:r>
        <w:rPr>
          <w:spacing w:val="-1"/>
          <w:w w:val="99"/>
        </w:rPr>
        <w:t>an</w:t>
      </w:r>
      <w:r>
        <w:rPr>
          <w:spacing w:val="2"/>
          <w:w w:val="99"/>
        </w:rPr>
        <w:t>k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go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9"/>
        </w:rPr>
        <w:t> </w:t>
      </w:r>
      <w:r>
        <w:rPr>
          <w:spacing w:val="4"/>
          <w:w w:val="99"/>
        </w:rPr>
        <w:t>m</w:t>
      </w:r>
      <w:r>
        <w:rPr>
          <w:spacing w:val="-3"/>
          <w:w w:val="99"/>
        </w:rPr>
        <w:t>e</w:t>
      </w:r>
      <w:r>
        <w:rPr>
          <w:spacing w:val="4"/>
          <w:w w:val="99"/>
        </w:rPr>
        <w:t>m</w:t>
      </w:r>
      <w:r>
        <w:rPr>
          <w:spacing w:val="-1"/>
          <w:w w:val="99"/>
        </w:rPr>
        <w:t>be</w:t>
      </w:r>
      <w:r>
        <w:rPr>
          <w:spacing w:val="-2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the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l</w:t>
      </w:r>
      <w:r>
        <w:rPr>
          <w:spacing w:val="-1"/>
          <w:w w:val="99"/>
        </w:rPr>
        <w:t>o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k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wo</w:t>
      </w:r>
      <w:r>
        <w:rPr>
          <w:w w:val="99"/>
        </w:rPr>
        <w:t>r</w:t>
      </w:r>
      <w:r>
        <w:rPr>
          <w:spacing w:val="3"/>
          <w:w w:val="99"/>
        </w:rPr>
        <w:t>k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n</w:t>
      </w:r>
      <w:r>
        <w:rPr>
          <w:w w:val="99"/>
        </w:rPr>
        <w:t>g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9"/>
        </w:rPr>
        <w:t>grou</w:t>
      </w:r>
      <w:r>
        <w:rPr>
          <w:spacing w:val="1"/>
          <w:w w:val="99"/>
        </w:rPr>
        <w:t>p</w:t>
      </w:r>
      <w:r>
        <w:rPr>
          <w:w w:val="99"/>
        </w:rPr>
        <w:t>:</w:t>
      </w:r>
      <w:r>
        <w:rPr/>
        <w:t> </w:t>
      </w:r>
      <w:r>
        <w:rPr>
          <w:spacing w:val="-11"/>
        </w:rPr>
        <w:t> </w:t>
      </w:r>
      <w:r>
        <w:rPr>
          <w:spacing w:val="1"/>
          <w:w w:val="99"/>
        </w:rPr>
        <w:t>J</w:t>
      </w:r>
      <w:r>
        <w:rPr>
          <w:spacing w:val="-1"/>
          <w:w w:val="99"/>
        </w:rPr>
        <w:t>o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f</w:t>
      </w:r>
      <w:r>
        <w:rPr>
          <w:spacing w:val="7"/>
        </w:rPr>
        <w:t> </w:t>
      </w:r>
      <w:r>
        <w:rPr>
          <w:spacing w:val="1"/>
          <w:w w:val="99"/>
        </w:rPr>
        <w:t>J</w:t>
      </w:r>
      <w:r>
        <w:rPr>
          <w:spacing w:val="-1"/>
          <w:w w:val="99"/>
        </w:rPr>
        <w:t>u</w:t>
      </w:r>
      <w:r>
        <w:rPr>
          <w:spacing w:val="-2"/>
          <w:w w:val="99"/>
        </w:rPr>
        <w:t>r</w:t>
      </w:r>
      <w:r>
        <w:rPr>
          <w:spacing w:val="3"/>
          <w:w w:val="99"/>
        </w:rPr>
        <w:t>k</w:t>
      </w:r>
      <w:r>
        <w:rPr>
          <w:spacing w:val="-1"/>
          <w:w w:val="99"/>
        </w:rPr>
        <w:t>o</w:t>
      </w:r>
      <w:r>
        <w:rPr>
          <w:w w:val="99"/>
        </w:rPr>
        <w:t>v</w:t>
      </w:r>
      <w:r>
        <w:rPr>
          <w:spacing w:val="-2"/>
          <w:w w:val="99"/>
        </w:rPr>
        <w:t>i</w:t>
      </w:r>
      <w:r>
        <w:rPr>
          <w:spacing w:val="1"/>
          <w:w w:val="49"/>
        </w:rPr>
        <w:t>č</w:t>
      </w:r>
      <w:r>
        <w:rPr>
          <w:w w:val="99"/>
        </w:rPr>
        <w:t>,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ce</w:t>
      </w:r>
      <w:r>
        <w:rPr>
          <w:w w:val="99"/>
        </w:rPr>
        <w:t>l</w:t>
      </w:r>
      <w:r>
        <w:rPr/>
        <w:t> </w:t>
      </w:r>
      <w:r>
        <w:rPr>
          <w:spacing w:val="3"/>
          <w:w w:val="99"/>
        </w:rPr>
        <w:t>V</w:t>
      </w:r>
      <w:r>
        <w:rPr>
          <w:spacing w:val="-4"/>
          <w:w w:val="99"/>
        </w:rPr>
        <w:t>y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o</w:t>
      </w:r>
      <w:r>
        <w:rPr>
          <w:w w:val="99"/>
        </w:rPr>
        <w:t>c</w:t>
      </w:r>
      <w:r>
        <w:rPr>
          <w:spacing w:val="5"/>
          <w:w w:val="99"/>
        </w:rPr>
        <w:t>k</w:t>
      </w:r>
      <w:r>
        <w:rPr>
          <w:w w:val="99"/>
        </w:rPr>
        <w:t>ý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9"/>
        </w:rPr>
        <w:t>an</w:t>
      </w:r>
      <w:r>
        <w:rPr>
          <w:w w:val="99"/>
        </w:rPr>
        <w:t>d </w:t>
      </w:r>
      <w:r>
        <w:rPr/>
        <w:t>Peter Ondreička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Research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Sport;</w:t>
      </w:r>
      <w:r>
        <w:rPr>
          <w:spacing w:val="55"/>
        </w:rPr>
        <w:t> </w:t>
      </w:r>
      <w:r>
        <w:rPr/>
        <w:t>Renata Hall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Robert Redhammer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Slovak</w:t>
      </w:r>
      <w:r>
        <w:rPr>
          <w:spacing w:val="56"/>
        </w:rPr>
        <w:t> </w:t>
      </w:r>
      <w:r>
        <w:rPr/>
        <w:t>Accreditation</w:t>
      </w:r>
      <w:r>
        <w:rPr>
          <w:spacing w:val="55"/>
        </w:rPr>
        <w:t> </w:t>
      </w:r>
      <w:r>
        <w:rPr/>
        <w:t>Agency</w:t>
      </w:r>
      <w:r>
        <w:rPr>
          <w:spacing w:val="56"/>
        </w:rPr>
        <w:t> </w:t>
      </w:r>
      <w:r>
        <w:rPr/>
        <w:t>for</w:t>
      </w:r>
      <w:r>
        <w:rPr>
          <w:spacing w:val="55"/>
        </w:rPr>
        <w:t> </w:t>
      </w:r>
      <w:r>
        <w:rPr/>
        <w:t>Higher</w:t>
      </w:r>
      <w:r>
        <w:rPr>
          <w:spacing w:val="56"/>
        </w:rPr>
        <w:t> </w:t>
      </w:r>
      <w:r>
        <w:rPr/>
        <w:t>Education;</w:t>
      </w:r>
      <w:r>
        <w:rPr>
          <w:spacing w:val="55"/>
        </w:rPr>
        <w:t> </w:t>
      </w:r>
      <w:r>
        <w:rPr/>
        <w:t>Pavol Galáš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Jan Tomán from the Institute for Educational Policies; Barbara Pavlíková and Andrea Uhrínová from the</w:t>
      </w:r>
      <w:r>
        <w:rPr>
          <w:spacing w:val="1"/>
        </w:rPr>
        <w:t> </w:t>
      </w:r>
      <w:r>
        <w:rPr/>
        <w:t>Research Agency. Working group members participated in regular project meetings, providing key input</w:t>
      </w:r>
      <w:r>
        <w:rPr>
          <w:spacing w:val="1"/>
        </w:rPr>
        <w:t> </w:t>
      </w:r>
      <w:r>
        <w:rPr/>
        <w:t>on national higher education policy developments and feedback on the OECD’s proposals and written</w:t>
      </w:r>
      <w:r>
        <w:rPr>
          <w:spacing w:val="1"/>
        </w:rPr>
        <w:t> </w:t>
      </w:r>
      <w:r>
        <w:rPr/>
        <w:t>outputs. We are grateful as well for the many stakeholders who shared their time and insights during the</w:t>
      </w:r>
      <w:r>
        <w:rPr>
          <w:spacing w:val="1"/>
        </w:rPr>
        <w:t> </w:t>
      </w:r>
      <w:r>
        <w:rPr>
          <w:spacing w:val="-1"/>
        </w:rPr>
        <w:t>project’s</w:t>
      </w:r>
      <w:r>
        <w:rPr>
          <w:spacing w:val="-13"/>
        </w:rPr>
        <w:t> </w:t>
      </w:r>
      <w:r>
        <w:rPr>
          <w:spacing w:val="-1"/>
        </w:rPr>
        <w:t>interviews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roundtable</w:t>
      </w:r>
      <w:r>
        <w:rPr>
          <w:spacing w:val="-12"/>
        </w:rPr>
        <w:t> </w:t>
      </w:r>
      <w:r>
        <w:rPr>
          <w:spacing w:val="-1"/>
        </w:rPr>
        <w:t>discussions</w:t>
      </w:r>
      <w:r>
        <w:rPr>
          <w:spacing w:val="-13"/>
        </w:rPr>
        <w:t> </w:t>
      </w:r>
      <w:r>
        <w:rPr>
          <w:spacing w:val="-1"/>
        </w:rPr>
        <w:t>(a</w:t>
      </w:r>
      <w:r>
        <w:rPr>
          <w:spacing w:val="-11"/>
        </w:rPr>
        <w:t> </w:t>
      </w:r>
      <w:r>
        <w:rPr>
          <w:spacing w:val="-1"/>
        </w:rPr>
        <w:t>list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participating</w:t>
      </w:r>
      <w:r>
        <w:rPr>
          <w:spacing w:val="-14"/>
        </w:rPr>
        <w:t> </w:t>
      </w:r>
      <w:r>
        <w:rPr/>
        <w:t>organisations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included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Annex B),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100</w:t>
      </w:r>
      <w:r>
        <w:rPr>
          <w:spacing w:val="-4"/>
        </w:rPr>
        <w:t> </w:t>
      </w:r>
      <w:r>
        <w:rPr/>
        <w:t>stakeholders</w:t>
      </w:r>
      <w:r>
        <w:rPr>
          <w:spacing w:val="-9"/>
        </w:rPr>
        <w:t> </w:t>
      </w:r>
      <w:r>
        <w:rPr/>
        <w:t>who</w:t>
      </w:r>
      <w:r>
        <w:rPr>
          <w:spacing w:val="-10"/>
        </w:rPr>
        <w:t> </w:t>
      </w:r>
      <w:r>
        <w:rPr/>
        <w:t>attended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peer-learning</w:t>
      </w:r>
      <w:r>
        <w:rPr>
          <w:spacing w:val="-9"/>
        </w:rPr>
        <w:t> </w:t>
      </w:r>
      <w:r>
        <w:rPr/>
        <w:t>webinar</w:t>
      </w:r>
      <w:r>
        <w:rPr>
          <w:spacing w:val="-9"/>
        </w:rPr>
        <w:t> </w:t>
      </w:r>
      <w:r>
        <w:rPr/>
        <w:t>organised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</w:t>
      </w:r>
      <w:r>
        <w:rPr>
          <w:spacing w:val="1"/>
        </w:rPr>
        <w:t> </w:t>
      </w:r>
      <w:r>
        <w:rPr/>
        <w:t>team on funding and governance. The stakeholders’ insights and opinions provided the OECD team with</w:t>
      </w:r>
      <w:r>
        <w:rPr>
          <w:spacing w:val="1"/>
        </w:rPr>
        <w:t> </w:t>
      </w:r>
      <w:r>
        <w:rPr/>
        <w:t>important information that contributed to the interpretation of published data and research and to the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of recommended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actions</w:t>
      </w:r>
      <w:r>
        <w:rPr>
          <w:spacing w:val="-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this report.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We are also grateful to the international experts and practitioners who took the time to share their</w:t>
      </w:r>
      <w:r>
        <w:rPr>
          <w:spacing w:val="1"/>
        </w:rPr>
        <w:t> </w:t>
      </w:r>
      <w:r>
        <w:rPr/>
        <w:t>experience with governance and funding reforms with the OECD team and the Slovak stakeholders who</w:t>
      </w:r>
      <w:r>
        <w:rPr>
          <w:spacing w:val="1"/>
        </w:rPr>
        <w:t> </w:t>
      </w:r>
      <w:r>
        <w:rPr/>
        <w:t>participated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peer-learning</w:t>
      </w:r>
      <w:r>
        <w:rPr>
          <w:spacing w:val="-6"/>
        </w:rPr>
        <w:t> </w:t>
      </w:r>
      <w:r>
        <w:rPr/>
        <w:t>webinar.</w:t>
      </w:r>
      <w:r>
        <w:rPr>
          <w:spacing w:val="-5"/>
        </w:rPr>
        <w:t> </w:t>
      </w:r>
      <w:r>
        <w:rPr/>
        <w:t>International</w:t>
      </w:r>
      <w:r>
        <w:rPr>
          <w:spacing w:val="-9"/>
        </w:rPr>
        <w:t> </w:t>
      </w:r>
      <w:r>
        <w:rPr/>
        <w:t>experts</w:t>
      </w:r>
      <w:r>
        <w:rPr>
          <w:spacing w:val="-4"/>
        </w:rPr>
        <w:t> </w:t>
      </w:r>
      <w:r>
        <w:rPr/>
        <w:t>who</w:t>
      </w:r>
      <w:r>
        <w:rPr>
          <w:spacing w:val="-8"/>
        </w:rPr>
        <w:t> </w:t>
      </w:r>
      <w:r>
        <w:rPr/>
        <w:t>contributed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Andreas Zehetner</w:t>
      </w:r>
      <w:r>
        <w:rPr>
          <w:spacing w:val="1"/>
        </w:rPr>
        <w:t> </w:t>
      </w:r>
      <w:r>
        <w:rPr/>
        <w:t>(University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Austria,</w:t>
      </w:r>
      <w:r>
        <w:rPr>
          <w:spacing w:val="1"/>
        </w:rPr>
        <w:t> </w:t>
      </w:r>
      <w:r>
        <w:rPr/>
        <w:t>Austria);</w:t>
      </w:r>
      <w:r>
        <w:rPr>
          <w:spacing w:val="1"/>
        </w:rPr>
        <w:t> </w:t>
      </w:r>
      <w:r>
        <w:rPr/>
        <w:t>Ken Thomasson</w:t>
      </w:r>
      <w:r>
        <w:rPr>
          <w:spacing w:val="1"/>
        </w:rPr>
        <w:t> </w:t>
      </w:r>
      <w:r>
        <w:rPr/>
        <w:t>(Ministry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Higher</w:t>
      </w:r>
      <w:r>
        <w:rPr>
          <w:spacing w:val="56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Science,</w:t>
      </w:r>
      <w:r>
        <w:rPr>
          <w:spacing w:val="56"/>
        </w:rPr>
        <w:t> </w:t>
      </w:r>
      <w:r>
        <w:rPr/>
        <w:t>Denmark);</w:t>
      </w:r>
      <w:r>
        <w:rPr>
          <w:spacing w:val="56"/>
        </w:rPr>
        <w:t> </w:t>
      </w:r>
      <w:r>
        <w:rPr/>
        <w:t>Tomi</w:t>
      </w:r>
      <w:r>
        <w:rPr>
          <w:spacing w:val="56"/>
        </w:rPr>
        <w:t> </w:t>
      </w:r>
      <w:r>
        <w:rPr/>
        <w:t>Halonen,   Anita Lehikoinen   and</w:t>
      </w:r>
      <w:r>
        <w:rPr>
          <w:spacing w:val="1"/>
        </w:rPr>
        <w:t> </w:t>
      </w:r>
      <w:r>
        <w:rPr/>
        <w:t>Birgitta Vuorinen (Ministry of Education and Culture, Finland); Petri Suomala (Aalto University, Finland),</w:t>
      </w:r>
      <w:r>
        <w:rPr>
          <w:spacing w:val="1"/>
        </w:rPr>
        <w:t> </w:t>
      </w:r>
      <w:r>
        <w:rPr/>
        <w:t>Tim Conlon (Higher Education Authority, Ireland), Ana Costa Freitas (University of Évora, Portugal),</w:t>
      </w:r>
      <w:r>
        <w:rPr>
          <w:spacing w:val="1"/>
        </w:rPr>
        <w:t> </w:t>
      </w:r>
      <w:r>
        <w:rPr/>
        <w:t>António</w:t>
      </w:r>
      <w:r>
        <w:rPr>
          <w:spacing w:val="1"/>
        </w:rPr>
        <w:t> </w:t>
      </w:r>
      <w:r>
        <w:rPr/>
        <w:t>Cunha</w:t>
      </w:r>
      <w:r>
        <w:rPr>
          <w:spacing w:val="1"/>
        </w:rPr>
        <w:t> </w:t>
      </w:r>
      <w:r>
        <w:rPr/>
        <w:t>(University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Minho,</w:t>
      </w:r>
      <w:r>
        <w:rPr>
          <w:spacing w:val="1"/>
        </w:rPr>
        <w:t> </w:t>
      </w:r>
      <w:r>
        <w:rPr/>
        <w:t>Portugal),</w:t>
      </w:r>
      <w:r>
        <w:rPr>
          <w:spacing w:val="1"/>
        </w:rPr>
        <w:t> </w:t>
      </w:r>
      <w:r>
        <w:rPr/>
        <w:t>Pedro</w:t>
      </w:r>
      <w:r>
        <w:rPr>
          <w:spacing w:val="1"/>
        </w:rPr>
        <w:t> </w:t>
      </w:r>
      <w:r>
        <w:rPr/>
        <w:t>Teixeira</w:t>
      </w:r>
      <w:r>
        <w:rPr>
          <w:spacing w:val="1"/>
        </w:rPr>
        <w:t> </w:t>
      </w:r>
      <w:r>
        <w:rPr/>
        <w:t>(University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Porto,</w:t>
      </w:r>
      <w:r>
        <w:rPr>
          <w:spacing w:val="1"/>
        </w:rPr>
        <w:t> </w:t>
      </w:r>
      <w:r>
        <w:rPr/>
        <w:t>Portuga),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Christina</w:t>
      </w:r>
      <w:r>
        <w:rPr>
          <w:spacing w:val="-5"/>
        </w:rPr>
        <w:t> </w:t>
      </w:r>
      <w:r>
        <w:rPr/>
        <w:t>Whitfield</w:t>
      </w:r>
      <w:r>
        <w:rPr>
          <w:spacing w:val="-2"/>
        </w:rPr>
        <w:t> </w:t>
      </w:r>
      <w:r>
        <w:rPr/>
        <w:t>(State</w:t>
      </w:r>
      <w:r>
        <w:rPr>
          <w:spacing w:val="-3"/>
        </w:rPr>
        <w:t> </w:t>
      </w:r>
      <w:r>
        <w:rPr/>
        <w:t>Higher Education Executive Officers</w:t>
      </w:r>
      <w:r>
        <w:rPr>
          <w:spacing w:val="-1"/>
        </w:rPr>
        <w:t> </w:t>
      </w:r>
      <w:r>
        <w:rPr/>
        <w:t>Association,</w:t>
      </w:r>
      <w:r>
        <w:rPr>
          <w:spacing w:val="-2"/>
        </w:rPr>
        <w:t> </w:t>
      </w:r>
      <w:r>
        <w:rPr/>
        <w:t>United</w:t>
      </w:r>
      <w:r>
        <w:rPr>
          <w:spacing w:val="-2"/>
        </w:rPr>
        <w:t> </w:t>
      </w:r>
      <w:r>
        <w:rPr/>
        <w:t>States).</w:t>
      </w:r>
    </w:p>
    <w:p>
      <w:pPr>
        <w:pStyle w:val="BodyText"/>
        <w:spacing w:line="271" w:lineRule="auto" w:before="122"/>
        <w:ind w:left="183" w:right="300"/>
        <w:jc w:val="both"/>
      </w:pPr>
      <w:r>
        <w:rPr/>
        <w:t>This report was prepared by the OECD’s Higher Education Policy team in the Directorate for Education</w:t>
      </w:r>
      <w:r>
        <w:rPr>
          <w:spacing w:val="1"/>
        </w:rPr>
        <w:t> </w:t>
      </w:r>
      <w:r>
        <w:rPr/>
        <w:t>and Skills with contributions from external experts (Miroslav Stefanik, Slovak Academy of Sciences,</w:t>
      </w:r>
      <w:r>
        <w:rPr>
          <w:spacing w:val="1"/>
        </w:rPr>
        <w:t> </w:t>
      </w:r>
      <w:r>
        <w:rPr/>
        <w:t>independent local expert for the project; Jonathan Medow, Oliver Sheldrick and Aleš Vlk, independent</w:t>
      </w:r>
      <w:r>
        <w:rPr>
          <w:spacing w:val="1"/>
        </w:rPr>
        <w:t> </w:t>
      </w:r>
      <w:r>
        <w:rPr/>
        <w:t>higher education consultants). Patricia Mangeol was the project leader responsible for co-ordinating the</w:t>
      </w:r>
      <w:r>
        <w:rPr>
          <w:spacing w:val="1"/>
        </w:rPr>
        <w:t> </w:t>
      </w:r>
      <w:r>
        <w:rPr/>
        <w:t>review. The authors of this report were: Chapter 1 (Introduction), Patricia Mangeol; Chapter 2 (Higher</w:t>
      </w:r>
      <w:r>
        <w:rPr>
          <w:spacing w:val="1"/>
        </w:rPr>
        <w:t> </w:t>
      </w:r>
      <w:r>
        <w:rPr/>
        <w:t>education in the Slovak Republic), Miroslav Stefanik and Patricia Mangeol, with research assistance from</w:t>
      </w:r>
      <w:r>
        <w:rPr>
          <w:spacing w:val="-53"/>
        </w:rPr>
        <w:t> </w:t>
      </w:r>
      <w:r>
        <w:rPr/>
        <w:t>Cléa</w:t>
      </w:r>
      <w:r>
        <w:rPr>
          <w:spacing w:val="-1"/>
        </w:rPr>
        <w:t> </w:t>
      </w:r>
      <w:r>
        <w:rPr/>
        <w:t>Frambourt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Chloé</w:t>
      </w:r>
      <w:r>
        <w:rPr>
          <w:spacing w:val="-1"/>
        </w:rPr>
        <w:t> </w:t>
      </w:r>
      <w:r>
        <w:rPr/>
        <w:t>Michaud;</w:t>
      </w:r>
      <w:r>
        <w:rPr>
          <w:spacing w:val="5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3</w:t>
      </w:r>
      <w:r>
        <w:rPr>
          <w:spacing w:val="52"/>
        </w:rPr>
        <w:t> </w:t>
      </w:r>
      <w:r>
        <w:rPr/>
        <w:t>(An</w:t>
      </w:r>
      <w:r>
        <w:rPr>
          <w:spacing w:val="54"/>
        </w:rPr>
        <w:t> </w:t>
      </w:r>
      <w:r>
        <w:rPr/>
        <w:t>action</w:t>
      </w:r>
      <w:r>
        <w:rPr>
          <w:spacing w:val="52"/>
        </w:rPr>
        <w:t> </w:t>
      </w:r>
      <w:r>
        <w:rPr/>
        <w:t>plan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improve</w:t>
      </w:r>
      <w:r>
        <w:rPr>
          <w:spacing w:val="55"/>
        </w:rPr>
        <w:t> </w:t>
      </w:r>
      <w:r>
        <w:rPr/>
        <w:t>higher</w:t>
      </w:r>
      <w:r>
        <w:rPr>
          <w:spacing w:val="53"/>
        </w:rPr>
        <w:t> </w:t>
      </w:r>
      <w:r>
        <w:rPr/>
        <w:t>education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</w:p>
    <w:p>
      <w:pPr>
        <w:spacing w:after="0" w:line="271" w:lineRule="auto"/>
        <w:jc w:val="both"/>
        <w:sectPr>
          <w:headerReference w:type="default" r:id="rId18"/>
          <w:headerReference w:type="even" r:id="rId19"/>
          <w:footerReference w:type="default" r:id="rId20"/>
          <w:footerReference w:type="even" r:id="rId21"/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5"/>
        <w:jc w:val="both"/>
      </w:pPr>
      <w:r>
        <w:rPr/>
        <w:t>Slovak Republic), Patricia Mangeol with input from Miroslav Stefanik on national data and policies and</w:t>
      </w:r>
      <w:r>
        <w:rPr>
          <w:spacing w:val="1"/>
        </w:rPr>
        <w:t> </w:t>
      </w:r>
      <w:r>
        <w:rPr/>
        <w:t>research assistance from Cléa Frambourt and Chloé Michaud; Annex A (Higher education reforms in</w:t>
      </w:r>
      <w:r>
        <w:rPr>
          <w:spacing w:val="1"/>
        </w:rPr>
        <w:t> </w:t>
      </w:r>
      <w:r>
        <w:rPr/>
        <w:t>Portugal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Finland),</w:t>
      </w:r>
      <w:r>
        <w:rPr>
          <w:spacing w:val="-2"/>
        </w:rPr>
        <w:t> </w:t>
      </w:r>
      <w:r>
        <w:rPr/>
        <w:t>Jonathan Medow,</w:t>
      </w:r>
      <w:r>
        <w:rPr>
          <w:spacing w:val="-2"/>
        </w:rPr>
        <w:t> </w:t>
      </w:r>
      <w:r>
        <w:rPr/>
        <w:t>Oliver Sheldrick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Patricia Mangeol.</w:t>
      </w:r>
    </w:p>
    <w:p>
      <w:pPr>
        <w:pStyle w:val="BodyText"/>
        <w:spacing w:line="271" w:lineRule="auto" w:before="120"/>
        <w:ind w:left="183" w:right="304"/>
        <w:jc w:val="both"/>
      </w:pPr>
      <w:r>
        <w:rPr/>
        <w:t>Shizuka Kato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</w:t>
      </w:r>
      <w:r>
        <w:rPr>
          <w:spacing w:val="55"/>
        </w:rPr>
        <w:t> </w:t>
      </w:r>
      <w:r>
        <w:rPr/>
        <w:t>process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provided</w:t>
      </w:r>
      <w:r>
        <w:rPr>
          <w:spacing w:val="56"/>
        </w:rPr>
        <w:t> </w:t>
      </w:r>
      <w:r>
        <w:rPr/>
        <w:t>input</w:t>
      </w:r>
      <w:r>
        <w:rPr>
          <w:spacing w:val="55"/>
        </w:rPr>
        <w:t> </w:t>
      </w:r>
      <w:r>
        <w:rPr/>
        <w:t>on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draft</w:t>
      </w:r>
      <w:r>
        <w:rPr>
          <w:spacing w:val="56"/>
        </w:rPr>
        <w:t> </w:t>
      </w:r>
      <w:r>
        <w:rPr/>
        <w:t>report.</w:t>
      </w:r>
      <w:r>
        <w:rPr>
          <w:spacing w:val="1"/>
        </w:rPr>
        <w:t> </w:t>
      </w:r>
      <w:r>
        <w:rPr/>
        <w:t>Chloé Michaud,</w:t>
      </w:r>
      <w:r>
        <w:rPr>
          <w:spacing w:val="1"/>
        </w:rPr>
        <w:t> </w:t>
      </w:r>
      <w:r>
        <w:rPr/>
        <w:t>Jonathan Medow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Oliver Sheldrick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drafted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examples.</w:t>
      </w:r>
      <w:r>
        <w:rPr>
          <w:spacing w:val="-1"/>
        </w:rPr>
        <w:t> </w:t>
      </w:r>
      <w:r>
        <w:rPr/>
        <w:t>Aleš</w:t>
      </w:r>
      <w:r>
        <w:rPr>
          <w:spacing w:val="1"/>
        </w:rPr>
        <w:t> </w:t>
      </w:r>
      <w:r>
        <w:rPr/>
        <w:t>Vlk</w:t>
      </w:r>
      <w:r>
        <w:rPr>
          <w:spacing w:val="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advice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draft</w:t>
      </w:r>
      <w:r>
        <w:rPr>
          <w:spacing w:val="-2"/>
        </w:rPr>
        <w:t> </w:t>
      </w:r>
      <w:r>
        <w:rPr/>
        <w:t>report.</w:t>
      </w:r>
    </w:p>
    <w:p>
      <w:pPr>
        <w:pStyle w:val="BodyText"/>
        <w:spacing w:line="271" w:lineRule="auto" w:before="120"/>
        <w:ind w:left="183" w:right="308"/>
        <w:jc w:val="both"/>
      </w:pPr>
      <w:r>
        <w:rPr>
          <w:w w:val="95"/>
        </w:rPr>
        <w:t>The authors also wish to thank colleagues in the OECD for their input and advice, including Luka Boeskens,</w:t>
      </w:r>
      <w:r>
        <w:rPr>
          <w:spacing w:val="1"/>
          <w:w w:val="95"/>
        </w:rPr>
        <w:t> </w:t>
      </w:r>
      <w:r>
        <w:rPr/>
        <w:t>Tomoya</w:t>
      </w:r>
      <w:r>
        <w:rPr>
          <w:spacing w:val="-8"/>
        </w:rPr>
        <w:t> </w:t>
      </w:r>
      <w:r>
        <w:rPr/>
        <w:t>Okubo,</w:t>
      </w:r>
      <w:r>
        <w:rPr>
          <w:spacing w:val="-7"/>
        </w:rPr>
        <w:t> </w:t>
      </w:r>
      <w:r>
        <w:rPr/>
        <w:t>Simon</w:t>
      </w:r>
      <w:r>
        <w:rPr>
          <w:spacing w:val="-8"/>
        </w:rPr>
        <w:t> </w:t>
      </w:r>
      <w:r>
        <w:rPr/>
        <w:t>Roy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Daniel</w:t>
      </w:r>
      <w:r>
        <w:rPr>
          <w:spacing w:val="-7"/>
        </w:rPr>
        <w:t> </w:t>
      </w:r>
      <w:r>
        <w:rPr/>
        <w:t>Sanchez</w:t>
      </w:r>
      <w:r>
        <w:rPr>
          <w:spacing w:val="-7"/>
        </w:rPr>
        <w:t> </w:t>
      </w:r>
      <w:r>
        <w:rPr/>
        <w:t>Serra</w:t>
      </w:r>
      <w:r>
        <w:rPr>
          <w:spacing w:val="-5"/>
        </w:rPr>
        <w:t> </w:t>
      </w:r>
      <w:r>
        <w:rPr/>
        <w:t>(Directorate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Skills),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Ricardo</w:t>
      </w:r>
      <w:r>
        <w:rPr>
          <w:spacing w:val="-53"/>
        </w:rPr>
        <w:t> </w:t>
      </w:r>
      <w:r>
        <w:rPr/>
        <w:t>Espinoza</w:t>
      </w:r>
      <w:r>
        <w:rPr>
          <w:spacing w:val="-2"/>
        </w:rPr>
        <w:t> </w:t>
      </w:r>
      <w:r>
        <w:rPr/>
        <w:t>and Laura</w:t>
      </w:r>
      <w:r>
        <w:rPr>
          <w:spacing w:val="1"/>
        </w:rPr>
        <w:t> </w:t>
      </w:r>
      <w:r>
        <w:rPr/>
        <w:t>Reznikova</w:t>
      </w:r>
      <w:r>
        <w:rPr>
          <w:spacing w:val="1"/>
        </w:rPr>
        <w:t> </w:t>
      </w:r>
      <w:r>
        <w:rPr/>
        <w:t>(OECD</w:t>
      </w:r>
      <w:r>
        <w:rPr>
          <w:spacing w:val="-1"/>
        </w:rPr>
        <w:t> </w:t>
      </w:r>
      <w:r>
        <w:rPr/>
        <w:t>Centre for</w:t>
      </w:r>
      <w:r>
        <w:rPr>
          <w:spacing w:val="-1"/>
        </w:rPr>
        <w:t> </w:t>
      </w:r>
      <w:r>
        <w:rPr/>
        <w:t>Skills).</w:t>
      </w:r>
    </w:p>
    <w:p>
      <w:pPr>
        <w:pStyle w:val="BodyText"/>
        <w:spacing w:line="271" w:lineRule="auto" w:before="121"/>
        <w:ind w:left="183" w:right="305"/>
        <w:jc w:val="both"/>
      </w:pPr>
      <w:r>
        <w:rPr/>
        <w:t>Thomas Weko, team leader and senior analyst of the OECD Higher Education Policy team, provided</w:t>
      </w:r>
      <w:r>
        <w:rPr>
          <w:spacing w:val="1"/>
        </w:rPr>
        <w:t> </w:t>
      </w:r>
      <w:r>
        <w:rPr/>
        <w:t>analytical guidance and advice throughout the project. Paulo Santiago, Head of the Policy Advice and</w:t>
      </w:r>
      <w:r>
        <w:rPr>
          <w:spacing w:val="1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Division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Directorate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Skills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Andreas</w:t>
      </w:r>
      <w:r>
        <w:rPr>
          <w:spacing w:val="4"/>
        </w:rPr>
        <w:t> </w:t>
      </w:r>
      <w:r>
        <w:rPr/>
        <w:t>Schleicher,</w:t>
      </w:r>
      <w:r>
        <w:rPr>
          <w:spacing w:val="-7"/>
        </w:rPr>
        <w:t> </w:t>
      </w:r>
      <w:r>
        <w:rPr/>
        <w:t>Director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3"/>
        </w:rPr>
        <w:t> </w:t>
      </w:r>
      <w:r>
        <w:rPr/>
        <w:t>Directorate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Skills,</w:t>
      </w:r>
      <w:r>
        <w:rPr>
          <w:spacing w:val="-1"/>
        </w:rPr>
        <w:t> </w:t>
      </w:r>
      <w:r>
        <w:rPr/>
        <w:t>reviewed</w:t>
      </w:r>
      <w:r>
        <w:rPr>
          <w:spacing w:val="-3"/>
        </w:rPr>
        <w:t> </w:t>
      </w:r>
      <w:r>
        <w:rPr/>
        <w:t>the publication.</w:t>
      </w:r>
    </w:p>
    <w:p>
      <w:pPr>
        <w:pStyle w:val="BodyText"/>
        <w:spacing w:line="271" w:lineRule="auto" w:before="120"/>
        <w:ind w:left="183" w:right="303"/>
        <w:jc w:val="both"/>
      </w:pPr>
      <w:r>
        <w:rPr/>
        <w:t>Julie Harris edited the report; Cassandra Morley, Stephen Flynn and Cécile Bily provided administrative</w:t>
      </w:r>
      <w:r>
        <w:rPr>
          <w:spacing w:val="1"/>
        </w:rPr>
        <w:t> </w:t>
      </w:r>
      <w:r>
        <w:rPr/>
        <w:t>support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project.</w:t>
      </w:r>
      <w:r>
        <w:rPr>
          <w:spacing w:val="-2"/>
        </w:rPr>
        <w:t> </w:t>
      </w:r>
      <w:r>
        <w:rPr/>
        <w:t>Rachel</w:t>
      </w:r>
      <w:r>
        <w:rPr>
          <w:spacing w:val="1"/>
        </w:rPr>
        <w:t> </w:t>
      </w:r>
      <w:r>
        <w:rPr/>
        <w:t>Linden</w:t>
      </w:r>
      <w:r>
        <w:rPr>
          <w:spacing w:val="-2"/>
        </w:rPr>
        <w:t> </w:t>
      </w:r>
      <w:r>
        <w:rPr/>
        <w:t>assisted 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editorial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processes.</w:t>
      </w:r>
    </w:p>
    <w:p>
      <w:pPr>
        <w:pStyle w:val="BodyText"/>
        <w:spacing w:line="271" w:lineRule="auto" w:before="121"/>
        <w:ind w:left="183" w:right="314"/>
        <w:jc w:val="both"/>
      </w:pPr>
      <w:r>
        <w:rPr/>
        <w:t>While the report draws on data and analysis from the OECD, Slovak data sources and a range of other</w:t>
      </w:r>
      <w:r>
        <w:rPr>
          <w:spacing w:val="1"/>
        </w:rPr>
        <w:t> </w:t>
      </w:r>
      <w:r>
        <w:rPr/>
        <w:t>published</w:t>
      </w:r>
      <w:r>
        <w:rPr>
          <w:spacing w:val="-3"/>
        </w:rPr>
        <w:t> </w:t>
      </w:r>
      <w:r>
        <w:rPr/>
        <w:t>sources,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errors or</w:t>
      </w:r>
      <w:r>
        <w:rPr>
          <w:spacing w:val="-3"/>
        </w:rPr>
        <w:t> </w:t>
      </w:r>
      <w:r>
        <w:rPr/>
        <w:t>misinterpretations</w:t>
      </w:r>
      <w:r>
        <w:rPr>
          <w:spacing w:val="-2"/>
        </w:rPr>
        <w:t> </w:t>
      </w:r>
      <w:r>
        <w:rPr/>
        <w:t>remain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responsibility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OECD</w:t>
      </w:r>
      <w:r>
        <w:rPr>
          <w:spacing w:val="-1"/>
        </w:rPr>
        <w:t> </w:t>
      </w:r>
      <w:r>
        <w:rPr/>
        <w:t>team.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before="163"/>
        <w:ind w:left="183" w:right="0" w:firstLine="0"/>
        <w:jc w:val="left"/>
        <w:rPr>
          <w:rFonts w:ascii="Arial"/>
          <w:b/>
          <w:sz w:val="72"/>
        </w:rPr>
      </w:pPr>
      <w:r>
        <w:rPr>
          <w:rFonts w:ascii="Arial"/>
          <w:b/>
          <w:color w:val="4E81BD"/>
          <w:w w:val="80"/>
          <w:sz w:val="72"/>
        </w:rPr>
        <w:t>Table</w:t>
      </w:r>
      <w:r>
        <w:rPr>
          <w:rFonts w:ascii="Arial"/>
          <w:b/>
          <w:color w:val="4E81BD"/>
          <w:spacing w:val="31"/>
          <w:w w:val="80"/>
          <w:sz w:val="72"/>
        </w:rPr>
        <w:t> </w:t>
      </w:r>
      <w:r>
        <w:rPr>
          <w:rFonts w:ascii="Arial"/>
          <w:b/>
          <w:color w:val="4E81BD"/>
          <w:w w:val="80"/>
          <w:sz w:val="72"/>
        </w:rPr>
        <w:t>of</w:t>
      </w:r>
      <w:r>
        <w:rPr>
          <w:rFonts w:ascii="Arial"/>
          <w:b/>
          <w:color w:val="4E81BD"/>
          <w:spacing w:val="37"/>
          <w:w w:val="80"/>
          <w:sz w:val="72"/>
        </w:rPr>
        <w:t> </w:t>
      </w:r>
      <w:r>
        <w:rPr>
          <w:rFonts w:ascii="Arial"/>
          <w:b/>
          <w:color w:val="4E81BD"/>
          <w:w w:val="80"/>
          <w:sz w:val="72"/>
        </w:rPr>
        <w:t>contents</w:t>
      </w:r>
    </w:p>
    <w:p>
      <w:pPr>
        <w:pStyle w:val="BodyText"/>
        <w:rPr>
          <w:rFonts w:ascii="Arial"/>
          <w:b/>
          <w:sz w:val="82"/>
        </w:rPr>
      </w:pPr>
    </w:p>
    <w:p>
      <w:pPr>
        <w:pStyle w:val="BodyText"/>
        <w:rPr>
          <w:rFonts w:ascii="Arial"/>
          <w:b/>
          <w:sz w:val="101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57" w:val="right" w:leader="none"/>
            </w:tabs>
            <w:spacing w:before="0"/>
          </w:pPr>
          <w:hyperlink w:history="true" w:anchor="_bookmark0">
            <w:r>
              <w:rPr>
                <w:color w:val="4E81BD"/>
                <w:w w:val="90"/>
              </w:rPr>
              <w:t>Foreword</w:t>
              <w:tab/>
              <w:t>3</w:t>
            </w:r>
          </w:hyperlink>
        </w:p>
        <w:p>
          <w:pPr>
            <w:pStyle w:val="TOC1"/>
            <w:tabs>
              <w:tab w:pos="9257" w:val="right" w:leader="none"/>
            </w:tabs>
            <w:spacing w:before="224"/>
          </w:pPr>
          <w:hyperlink w:history="true" w:anchor="_bookmark1">
            <w:r>
              <w:rPr>
                <w:color w:val="4E81BD"/>
                <w:w w:val="90"/>
              </w:rPr>
              <w:t>Acknowledgements</w:t>
              <w:tab/>
              <w:t>5</w:t>
            </w:r>
          </w:hyperlink>
        </w:p>
        <w:p>
          <w:pPr>
            <w:pStyle w:val="TOC1"/>
            <w:tabs>
              <w:tab w:pos="9257" w:val="right" w:leader="none"/>
            </w:tabs>
            <w:spacing w:before="223"/>
          </w:pPr>
          <w:hyperlink w:history="true" w:anchor="_bookmark2">
            <w:r>
              <w:rPr>
                <w:color w:val="4E81BD"/>
                <w:w w:val="90"/>
              </w:rPr>
              <w:t>Executive</w:t>
            </w:r>
            <w:r>
              <w:rPr>
                <w:color w:val="4E81BD"/>
                <w:spacing w:val="-6"/>
                <w:w w:val="90"/>
              </w:rPr>
              <w:t> </w:t>
            </w:r>
            <w:r>
              <w:rPr>
                <w:color w:val="4E81BD"/>
                <w:w w:val="90"/>
              </w:rPr>
              <w:t>summary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5" w:val="left" w:leader="none"/>
              <w:tab w:pos="9257" w:val="right" w:leader="none"/>
            </w:tabs>
            <w:spacing w:line="240" w:lineRule="auto" w:before="223" w:after="0"/>
            <w:ind w:left="374" w:right="0" w:hanging="192"/>
            <w:jc w:val="left"/>
          </w:pPr>
          <w:hyperlink w:history="true" w:anchor="_bookmark3">
            <w:r>
              <w:rPr>
                <w:color w:val="4E81BD"/>
                <w:w w:val="90"/>
              </w:rPr>
              <w:t>Introduction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47" w:after="0"/>
            <w:ind w:left="855" w:right="0" w:hanging="390"/>
            <w:jc w:val="left"/>
          </w:pPr>
          <w:hyperlink w:history="true" w:anchor="_bookmark4">
            <w:r>
              <w:rPr/>
              <w:t>Purpose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scope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1" w:val="left" w:leader="none"/>
              <w:tab w:pos="9254" w:val="right" w:leader="none"/>
            </w:tabs>
            <w:spacing w:line="240" w:lineRule="auto" w:before="29" w:after="0"/>
            <w:ind w:left="850" w:right="0" w:hanging="385"/>
            <w:jc w:val="left"/>
          </w:pPr>
          <w:hyperlink w:history="true" w:anchor="_bookmark5">
            <w:r>
              <w:rPr/>
              <w:t>Working</w:t>
            </w:r>
            <w:r>
              <w:rPr>
                <w:spacing w:val="-5"/>
              </w:rPr>
              <w:t> </w:t>
            </w:r>
            <w:r>
              <w:rPr/>
              <w:t>methods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29" w:after="0"/>
            <w:ind w:left="855" w:right="0" w:hanging="390"/>
            <w:jc w:val="left"/>
          </w:pPr>
          <w:hyperlink w:history="true" w:anchor="_bookmark6">
            <w:r>
              <w:rPr/>
              <w:t>Analytical</w:t>
            </w:r>
            <w:r>
              <w:rPr>
                <w:spacing w:val="-3"/>
              </w:rPr>
              <w:t> </w:t>
            </w:r>
            <w:r>
              <w:rPr/>
              <w:t>approach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32" w:after="0"/>
            <w:ind w:left="855" w:right="0" w:hanging="390"/>
            <w:jc w:val="left"/>
          </w:pPr>
          <w:hyperlink w:history="true" w:anchor="_bookmark9">
            <w:r>
              <w:rPr/>
              <w:t>Structure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report</w:t>
              <w:tab/>
              <w:t>17</w:t>
            </w:r>
          </w:hyperlink>
        </w:p>
        <w:p>
          <w:pPr>
            <w:pStyle w:val="TOC2"/>
            <w:tabs>
              <w:tab w:pos="9254" w:val="right" w:leader="none"/>
            </w:tabs>
            <w:ind w:firstLine="0"/>
          </w:pPr>
          <w:hyperlink w:history="true" w:anchor="_bookmark10">
            <w:r>
              <w:rPr/>
              <w:t>References</w:t>
              <w:tab/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5" w:val="left" w:leader="none"/>
              <w:tab w:pos="9257" w:val="right" w:leader="none"/>
            </w:tabs>
            <w:spacing w:line="240" w:lineRule="auto" w:before="225" w:after="0"/>
            <w:ind w:left="374" w:right="0" w:hanging="192"/>
            <w:jc w:val="left"/>
          </w:pPr>
          <w:hyperlink w:history="true" w:anchor="_bookmark11">
            <w:r>
              <w:rPr>
                <w:color w:val="4E81BD"/>
                <w:w w:val="90"/>
              </w:rPr>
              <w:t>Higher</w:t>
            </w:r>
            <w:r>
              <w:rPr>
                <w:color w:val="4E81BD"/>
                <w:spacing w:val="-8"/>
                <w:w w:val="90"/>
              </w:rPr>
              <w:t> </w:t>
            </w:r>
            <w:r>
              <w:rPr>
                <w:color w:val="4E81BD"/>
                <w:w w:val="90"/>
              </w:rPr>
              <w:t>education</w:t>
            </w:r>
            <w:r>
              <w:rPr>
                <w:color w:val="4E81BD"/>
                <w:spacing w:val="-10"/>
                <w:w w:val="90"/>
              </w:rPr>
              <w:t> </w:t>
            </w:r>
            <w:r>
              <w:rPr>
                <w:color w:val="4E81BD"/>
                <w:w w:val="90"/>
              </w:rPr>
              <w:t>in</w:t>
            </w:r>
            <w:r>
              <w:rPr>
                <w:color w:val="4E81BD"/>
                <w:spacing w:val="-9"/>
                <w:w w:val="90"/>
              </w:rPr>
              <w:t> </w:t>
            </w:r>
            <w:r>
              <w:rPr>
                <w:color w:val="4E81BD"/>
                <w:w w:val="90"/>
              </w:rPr>
              <w:t>the</w:t>
            </w:r>
            <w:r>
              <w:rPr>
                <w:color w:val="4E81BD"/>
                <w:spacing w:val="-10"/>
                <w:w w:val="90"/>
              </w:rPr>
              <w:t> </w:t>
            </w:r>
            <w:r>
              <w:rPr>
                <w:color w:val="4E81BD"/>
                <w:w w:val="90"/>
              </w:rPr>
              <w:t>Slovak</w:t>
            </w:r>
            <w:r>
              <w:rPr>
                <w:color w:val="4E81BD"/>
                <w:spacing w:val="-7"/>
                <w:w w:val="90"/>
              </w:rPr>
              <w:t> </w:t>
            </w:r>
            <w:r>
              <w:rPr>
                <w:color w:val="4E81BD"/>
                <w:w w:val="90"/>
              </w:rPr>
              <w:t>Republic</w:t>
              <w:tab/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4" w:val="left" w:leader="none"/>
              <w:tab w:pos="9254" w:val="right" w:leader="none"/>
            </w:tabs>
            <w:spacing w:line="240" w:lineRule="auto" w:before="49" w:after="0"/>
            <w:ind w:left="853" w:right="0" w:hanging="388"/>
            <w:jc w:val="left"/>
          </w:pPr>
          <w:hyperlink w:history="true" w:anchor="_bookmark12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Slovak</w:t>
            </w:r>
            <w:r>
              <w:rPr>
                <w:spacing w:val="2"/>
              </w:rPr>
              <w:t> </w:t>
            </w:r>
            <w:r>
              <w:rPr/>
              <w:t>Republic’s</w:t>
            </w:r>
            <w:r>
              <w:rPr>
                <w:spacing w:val="1"/>
              </w:rPr>
              <w:t> </w:t>
            </w:r>
            <w:r>
              <w:rPr/>
              <w:t>economy</w:t>
            </w:r>
            <w:r>
              <w:rPr>
                <w:spacing w:val="-5"/>
              </w:rPr>
              <w:t> </w:t>
            </w:r>
            <w:r>
              <w:rPr/>
              <w:t>and labour</w:t>
            </w:r>
            <w:r>
              <w:rPr>
                <w:spacing w:val="-1"/>
              </w:rPr>
              <w:t> </w:t>
            </w:r>
            <w:r>
              <w:rPr/>
              <w:t>market</w:t>
            </w:r>
            <w:r>
              <w:rPr>
                <w:spacing w:val="-2"/>
              </w:rPr>
              <w:t> </w:t>
            </w:r>
            <w:r>
              <w:rPr/>
              <w:t>context</w:t>
              <w:tab/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30" w:after="0"/>
            <w:ind w:left="855" w:right="0" w:hanging="390"/>
            <w:jc w:val="left"/>
          </w:pPr>
          <w:hyperlink w:history="true" w:anchor="_bookmark13">
            <w:r>
              <w:rPr/>
              <w:t>Key</w:t>
            </w:r>
            <w:r>
              <w:rPr>
                <w:spacing w:val="-5"/>
              </w:rPr>
              <w:t> </w:t>
            </w:r>
            <w:r>
              <w:rPr/>
              <w:t>features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Slovak</w:t>
            </w:r>
            <w:r>
              <w:rPr>
                <w:spacing w:val="1"/>
              </w:rPr>
              <w:t> </w:t>
            </w:r>
            <w:r>
              <w:rPr/>
              <w:t>Republic’s</w:t>
            </w:r>
            <w:r>
              <w:rPr>
                <w:spacing w:val="-1"/>
              </w:rPr>
              <w:t> </w:t>
            </w:r>
            <w:r>
              <w:rPr/>
              <w:t>higher</w:t>
            </w:r>
            <w:r>
              <w:rPr>
                <w:spacing w:val="1"/>
              </w:rPr>
              <w:t> </w:t>
            </w:r>
            <w:r>
              <w:rPr/>
              <w:t>education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rFonts w:ascii="Times New Roman" w:hAnsi="Times New Roman"/>
              </w:rPr>
              <w:tab/>
            </w:r>
            <w:r>
              <w:rPr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29" w:after="0"/>
            <w:ind w:left="855" w:right="0" w:hanging="390"/>
            <w:jc w:val="left"/>
          </w:pPr>
          <w:hyperlink w:history="true" w:anchor="_bookmark18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Slovak</w:t>
            </w:r>
            <w:r>
              <w:rPr>
                <w:spacing w:val="-1"/>
              </w:rPr>
              <w:t> </w:t>
            </w:r>
            <w:r>
              <w:rPr/>
              <w:t>higher education</w:t>
              <w:tab/>
              <w:t>27</w:t>
            </w:r>
          </w:hyperlink>
        </w:p>
        <w:p>
          <w:pPr>
            <w:pStyle w:val="TOC2"/>
            <w:tabs>
              <w:tab w:pos="9254" w:val="right" w:leader="none"/>
            </w:tabs>
            <w:spacing w:before="31"/>
            <w:ind w:firstLine="0"/>
          </w:pPr>
          <w:hyperlink w:history="true" w:anchor="_bookmark31">
            <w:r>
              <w:rPr/>
              <w:t>Notes</w:t>
              <w:tab/>
              <w:t>42</w:t>
            </w:r>
          </w:hyperlink>
        </w:p>
        <w:p>
          <w:pPr>
            <w:pStyle w:val="TOC2"/>
            <w:tabs>
              <w:tab w:pos="9254" w:val="right" w:leader="none"/>
            </w:tabs>
            <w:spacing w:before="30"/>
            <w:ind w:firstLine="0"/>
          </w:pPr>
          <w:hyperlink w:history="true" w:anchor="_bookmark32">
            <w:r>
              <w:rPr/>
              <w:t>References</w:t>
              <w:tab/>
              <w:t>43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5" w:val="left" w:leader="none"/>
              <w:tab w:pos="9257" w:val="right" w:leader="none"/>
            </w:tabs>
            <w:spacing w:line="240" w:lineRule="auto" w:before="225" w:after="0"/>
            <w:ind w:left="374" w:right="0" w:hanging="192"/>
            <w:jc w:val="left"/>
          </w:pPr>
          <w:hyperlink w:history="true" w:anchor="_bookmark33">
            <w:r>
              <w:rPr>
                <w:color w:val="4E81BD"/>
                <w:w w:val="80"/>
              </w:rPr>
              <w:t>An</w:t>
            </w:r>
            <w:r>
              <w:rPr>
                <w:color w:val="4E81BD"/>
                <w:spacing w:val="6"/>
                <w:w w:val="80"/>
              </w:rPr>
              <w:t> </w:t>
            </w:r>
            <w:r>
              <w:rPr>
                <w:color w:val="4E81BD"/>
                <w:w w:val="80"/>
              </w:rPr>
              <w:t>action</w:t>
            </w:r>
            <w:r>
              <w:rPr>
                <w:color w:val="4E81BD"/>
                <w:spacing w:val="5"/>
                <w:w w:val="80"/>
              </w:rPr>
              <w:t> </w:t>
            </w:r>
            <w:r>
              <w:rPr>
                <w:color w:val="4E81BD"/>
                <w:w w:val="80"/>
              </w:rPr>
              <w:t>plan</w:t>
            </w:r>
            <w:r>
              <w:rPr>
                <w:color w:val="4E81BD"/>
                <w:spacing w:val="5"/>
                <w:w w:val="80"/>
              </w:rPr>
              <w:t> </w:t>
            </w:r>
            <w:r>
              <w:rPr>
                <w:color w:val="4E81BD"/>
                <w:w w:val="80"/>
              </w:rPr>
              <w:t>to</w:t>
            </w:r>
            <w:r>
              <w:rPr>
                <w:color w:val="4E81BD"/>
                <w:spacing w:val="6"/>
                <w:w w:val="80"/>
              </w:rPr>
              <w:t> </w:t>
            </w:r>
            <w:r>
              <w:rPr>
                <w:color w:val="4E81BD"/>
                <w:w w:val="80"/>
              </w:rPr>
              <w:t>improve</w:t>
            </w:r>
            <w:r>
              <w:rPr>
                <w:color w:val="4E81BD"/>
                <w:spacing w:val="7"/>
                <w:w w:val="80"/>
              </w:rPr>
              <w:t> </w:t>
            </w:r>
            <w:r>
              <w:rPr>
                <w:color w:val="4E81BD"/>
                <w:w w:val="80"/>
              </w:rPr>
              <w:t>higher</w:t>
            </w:r>
            <w:r>
              <w:rPr>
                <w:color w:val="4E81BD"/>
                <w:spacing w:val="8"/>
                <w:w w:val="80"/>
              </w:rPr>
              <w:t> </w:t>
            </w:r>
            <w:r>
              <w:rPr>
                <w:color w:val="4E81BD"/>
                <w:w w:val="80"/>
              </w:rPr>
              <w:t>education</w:t>
            </w:r>
            <w:r>
              <w:rPr>
                <w:color w:val="4E81BD"/>
                <w:spacing w:val="5"/>
                <w:w w:val="80"/>
              </w:rPr>
              <w:t> </w:t>
            </w:r>
            <w:r>
              <w:rPr>
                <w:color w:val="4E81BD"/>
                <w:w w:val="80"/>
              </w:rPr>
              <w:t>in</w:t>
            </w:r>
            <w:r>
              <w:rPr>
                <w:color w:val="4E81BD"/>
                <w:spacing w:val="9"/>
                <w:w w:val="80"/>
              </w:rPr>
              <w:t> </w:t>
            </w:r>
            <w:r>
              <w:rPr>
                <w:color w:val="4E81BD"/>
                <w:w w:val="80"/>
              </w:rPr>
              <w:t>the</w:t>
            </w:r>
            <w:r>
              <w:rPr>
                <w:color w:val="4E81BD"/>
                <w:spacing w:val="6"/>
                <w:w w:val="80"/>
              </w:rPr>
              <w:t> </w:t>
            </w:r>
            <w:r>
              <w:rPr>
                <w:color w:val="4E81BD"/>
                <w:w w:val="80"/>
              </w:rPr>
              <w:t>Slovak</w:t>
            </w:r>
            <w:r>
              <w:rPr>
                <w:color w:val="4E81BD"/>
                <w:spacing w:val="10"/>
                <w:w w:val="80"/>
              </w:rPr>
              <w:t> </w:t>
            </w:r>
            <w:r>
              <w:rPr>
                <w:color w:val="4E81BD"/>
                <w:w w:val="80"/>
              </w:rPr>
              <w:t>Republic</w:t>
              <w:tab/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49" w:after="0"/>
            <w:ind w:left="855" w:right="0" w:hanging="390"/>
            <w:jc w:val="left"/>
          </w:pPr>
          <w:hyperlink w:history="true" w:anchor="_bookmark34">
            <w:r>
              <w:rPr/>
              <w:t>Structure and</w:t>
            </w:r>
            <w:r>
              <w:rPr>
                <w:spacing w:val="1"/>
              </w:rPr>
              <w:t> </w:t>
            </w:r>
            <w:r>
              <w:rPr/>
              <w:t>summary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action</w:t>
            </w:r>
            <w:r>
              <w:rPr>
                <w:spacing w:val="-2"/>
              </w:rPr>
              <w:t> </w:t>
            </w:r>
            <w:r>
              <w:rPr/>
              <w:t>plan</w:t>
              <w:tab/>
              <w:t>48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29" w:after="0"/>
            <w:ind w:left="855" w:right="0" w:hanging="390"/>
            <w:jc w:val="left"/>
          </w:pPr>
          <w:hyperlink w:history="true" w:anchor="_bookmark35">
            <w:r>
              <w:rPr/>
              <w:t>Action</w:t>
            </w:r>
            <w:r>
              <w:rPr>
                <w:spacing w:val="-2"/>
              </w:rPr>
              <w:t> </w:t>
            </w:r>
            <w:r>
              <w:rPr/>
              <w:t>Step</w:t>
            </w:r>
            <w:r>
              <w:rPr>
                <w:spacing w:val="-1"/>
              </w:rPr>
              <w:t> </w:t>
            </w:r>
            <w:r>
              <w:rPr/>
              <w:t>1:</w:t>
            </w:r>
            <w:r>
              <w:rPr>
                <w:spacing w:val="-4"/>
              </w:rPr>
              <w:t> </w:t>
            </w:r>
            <w:r>
              <w:rPr/>
              <w:t>Developing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implementing</w:t>
            </w:r>
            <w:r>
              <w:rPr>
                <w:spacing w:val="-2"/>
              </w:rPr>
              <w:t> </w:t>
            </w:r>
            <w:r>
              <w:rPr/>
              <w:t>a co-ordinated</w:t>
            </w:r>
            <w:r>
              <w:rPr>
                <w:spacing w:val="-3"/>
              </w:rPr>
              <w:t> </w:t>
            </w:r>
            <w:r>
              <w:rPr/>
              <w:t>higher</w:t>
            </w:r>
            <w:r>
              <w:rPr>
                <w:spacing w:val="-3"/>
              </w:rPr>
              <w:t> </w:t>
            </w:r>
            <w:r>
              <w:rPr/>
              <w:t>education</w:t>
            </w:r>
            <w:r>
              <w:rPr>
                <w:spacing w:val="-2"/>
              </w:rPr>
              <w:t> </w:t>
            </w:r>
            <w:r>
              <w:rPr/>
              <w:t>strategy</w:t>
              <w:tab/>
              <w:t>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29" w:after="0"/>
            <w:ind w:left="855" w:right="0" w:hanging="390"/>
            <w:jc w:val="left"/>
          </w:pPr>
          <w:hyperlink w:history="true" w:anchor="_bookmark41">
            <w:r>
              <w:rPr/>
              <w:t>Action</w:t>
            </w:r>
            <w:r>
              <w:rPr>
                <w:spacing w:val="-1"/>
              </w:rPr>
              <w:t> </w:t>
            </w:r>
            <w:r>
              <w:rPr/>
              <w:t>Step</w:t>
            </w:r>
            <w:r>
              <w:rPr>
                <w:spacing w:val="-1"/>
              </w:rPr>
              <w:t> </w:t>
            </w:r>
            <w:r>
              <w:rPr/>
              <w:t>2:</w:t>
            </w:r>
            <w:r>
              <w:rPr>
                <w:spacing w:val="-3"/>
              </w:rPr>
              <w:t> </w:t>
            </w:r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funding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support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reward</w:t>
            </w:r>
            <w:r>
              <w:rPr>
                <w:spacing w:val="-2"/>
              </w:rPr>
              <w:t> </w:t>
            </w:r>
            <w:r>
              <w:rPr/>
              <w:t>higher education</w:t>
            </w:r>
            <w:r>
              <w:rPr>
                <w:spacing w:val="-2"/>
              </w:rPr>
              <w:t> </w:t>
            </w:r>
            <w:r>
              <w:rPr/>
              <w:t>performance</w:t>
              <w:tab/>
              <w:t>71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56" w:val="left" w:leader="none"/>
              <w:tab w:pos="9254" w:val="right" w:leader="none"/>
            </w:tabs>
            <w:spacing w:line="240" w:lineRule="auto" w:before="32" w:after="0"/>
            <w:ind w:left="855" w:right="0" w:hanging="390"/>
            <w:jc w:val="left"/>
          </w:pPr>
          <w:hyperlink w:history="true" w:anchor="_bookmark49">
            <w:r>
              <w:rPr/>
              <w:t>Action</w:t>
            </w:r>
            <w:r>
              <w:rPr>
                <w:spacing w:val="-1"/>
              </w:rPr>
              <w:t> </w:t>
            </w:r>
            <w:r>
              <w:rPr/>
              <w:t>Step 3:</w:t>
            </w:r>
            <w:r>
              <w:rPr>
                <w:spacing w:val="-2"/>
              </w:rPr>
              <w:t> </w:t>
            </w:r>
            <w:r>
              <w:rPr/>
              <w:t>Enabling</w:t>
            </w:r>
            <w:r>
              <w:rPr>
                <w:spacing w:val="-2"/>
              </w:rPr>
              <w:t> </w:t>
            </w:r>
            <w:r>
              <w:rPr/>
              <w:t>responsive</w:t>
            </w:r>
            <w:r>
              <w:rPr>
                <w:spacing w:val="-3"/>
              </w:rPr>
              <w:t> </w:t>
            </w:r>
            <w:r>
              <w:rPr/>
              <w:t>institutional</w:t>
            </w:r>
            <w:r>
              <w:rPr>
                <w:spacing w:val="-3"/>
              </w:rPr>
              <w:t> </w:t>
            </w:r>
            <w:r>
              <w:rPr/>
              <w:t>governance</w:t>
            </w:r>
            <w:r>
              <w:rPr>
                <w:spacing w:val="-1"/>
              </w:rPr>
              <w:t> </w:t>
            </w:r>
            <w:r>
              <w:rPr/>
              <w:t>and management</w:t>
              <w:tab/>
              <w:t>93</w:t>
            </w:r>
          </w:hyperlink>
        </w:p>
        <w:p>
          <w:pPr>
            <w:pStyle w:val="TOC2"/>
            <w:tabs>
              <w:tab w:pos="9254" w:val="right" w:leader="none"/>
            </w:tabs>
            <w:ind w:firstLine="0"/>
          </w:pPr>
          <w:hyperlink w:history="true" w:anchor="_bookmark55">
            <w:r>
              <w:rPr/>
              <w:t>References</w:t>
              <w:tab/>
              <w:t>109</w:t>
            </w:r>
          </w:hyperlink>
        </w:p>
        <w:p>
          <w:pPr>
            <w:pStyle w:val="TOC1"/>
            <w:tabs>
              <w:tab w:pos="9254" w:val="right" w:leader="none"/>
            </w:tabs>
          </w:pPr>
          <w:hyperlink w:history="true" w:anchor="_bookmark56">
            <w:r>
              <w:rPr>
                <w:color w:val="4E81BD"/>
                <w:w w:val="85"/>
              </w:rPr>
              <w:t>Annex</w:t>
            </w:r>
            <w:r>
              <w:rPr>
                <w:color w:val="4E81BD"/>
                <w:spacing w:val="-4"/>
                <w:w w:val="85"/>
              </w:rPr>
              <w:t> </w:t>
            </w:r>
            <w:r>
              <w:rPr>
                <w:color w:val="4E81BD"/>
                <w:w w:val="85"/>
              </w:rPr>
              <w:t>A.</w:t>
            </w:r>
            <w:r>
              <w:rPr>
                <w:color w:val="4E81BD"/>
                <w:spacing w:val="-3"/>
                <w:w w:val="85"/>
              </w:rPr>
              <w:t> </w:t>
            </w:r>
            <w:r>
              <w:rPr>
                <w:color w:val="4E81BD"/>
                <w:w w:val="85"/>
              </w:rPr>
              <w:t>Higher</w:t>
            </w:r>
            <w:r>
              <w:rPr>
                <w:color w:val="4E81BD"/>
                <w:spacing w:val="-4"/>
                <w:w w:val="85"/>
              </w:rPr>
              <w:t> </w:t>
            </w:r>
            <w:r>
              <w:rPr>
                <w:color w:val="4E81BD"/>
                <w:w w:val="85"/>
              </w:rPr>
              <w:t>education</w:t>
            </w:r>
            <w:r>
              <w:rPr>
                <w:color w:val="4E81BD"/>
                <w:spacing w:val="-5"/>
                <w:w w:val="85"/>
              </w:rPr>
              <w:t> </w:t>
            </w:r>
            <w:r>
              <w:rPr>
                <w:color w:val="4E81BD"/>
                <w:w w:val="85"/>
              </w:rPr>
              <w:t>reforms</w:t>
            </w:r>
            <w:r>
              <w:rPr>
                <w:color w:val="4E81BD"/>
                <w:spacing w:val="-4"/>
                <w:w w:val="85"/>
              </w:rPr>
              <w:t> </w:t>
            </w:r>
            <w:r>
              <w:rPr>
                <w:color w:val="4E81BD"/>
                <w:w w:val="85"/>
              </w:rPr>
              <w:t>in</w:t>
            </w:r>
            <w:r>
              <w:rPr>
                <w:color w:val="4E81BD"/>
                <w:spacing w:val="-4"/>
                <w:w w:val="85"/>
              </w:rPr>
              <w:t> </w:t>
            </w:r>
            <w:r>
              <w:rPr>
                <w:color w:val="4E81BD"/>
                <w:w w:val="85"/>
              </w:rPr>
              <w:t>Portugal</w:t>
            </w:r>
            <w:r>
              <w:rPr>
                <w:color w:val="4E81BD"/>
                <w:spacing w:val="-6"/>
                <w:w w:val="85"/>
              </w:rPr>
              <w:t> </w:t>
            </w:r>
            <w:r>
              <w:rPr>
                <w:color w:val="4E81BD"/>
                <w:w w:val="85"/>
              </w:rPr>
              <w:t>and</w:t>
            </w:r>
            <w:r>
              <w:rPr>
                <w:color w:val="4E81BD"/>
                <w:spacing w:val="-6"/>
                <w:w w:val="85"/>
              </w:rPr>
              <w:t> </w:t>
            </w:r>
            <w:r>
              <w:rPr>
                <w:color w:val="4E81BD"/>
                <w:w w:val="85"/>
              </w:rPr>
              <w:t>Finland</w:t>
              <w:tab/>
              <w:t>117</w:t>
            </w:r>
          </w:hyperlink>
        </w:p>
        <w:p>
          <w:pPr>
            <w:pStyle w:val="TOC2"/>
            <w:tabs>
              <w:tab w:pos="9254" w:val="right" w:leader="none"/>
            </w:tabs>
            <w:spacing w:before="49"/>
            <w:ind w:firstLine="0"/>
          </w:pPr>
          <w:hyperlink w:history="true" w:anchor="_bookmark57">
            <w:r>
              <w:rPr/>
              <w:t>Rationale and</w:t>
            </w:r>
            <w:r>
              <w:rPr>
                <w:spacing w:val="1"/>
              </w:rPr>
              <w:t> </w:t>
            </w:r>
            <w:r>
              <w:rPr/>
              <w:t>approach</w:t>
              <w:tab/>
              <w:t>117</w:t>
            </w:r>
          </w:hyperlink>
        </w:p>
        <w:p>
          <w:pPr>
            <w:pStyle w:val="TOC2"/>
            <w:tabs>
              <w:tab w:pos="9254" w:val="right" w:leader="none"/>
            </w:tabs>
            <w:spacing w:before="30"/>
            <w:ind w:firstLine="0"/>
          </w:pPr>
          <w:hyperlink w:history="true" w:anchor="_bookmark59">
            <w:r>
              <w:rPr/>
              <w:t>Portugal:</w:t>
            </w:r>
            <w:r>
              <w:rPr>
                <w:spacing w:val="-2"/>
              </w:rPr>
              <w:t> </w:t>
            </w:r>
            <w:r>
              <w:rPr/>
              <w:t>HEI</w:t>
            </w:r>
            <w:r>
              <w:rPr>
                <w:spacing w:val="-1"/>
              </w:rPr>
              <w:t> </w:t>
            </w:r>
            <w:r>
              <w:rPr/>
              <w:t>governance</w:t>
            </w:r>
            <w:r>
              <w:rPr>
                <w:spacing w:val="-1"/>
              </w:rPr>
              <w:t> </w:t>
            </w:r>
            <w:r>
              <w:rPr/>
              <w:t>reform</w:t>
              <w:tab/>
              <w:t>119</w:t>
            </w:r>
          </w:hyperlink>
        </w:p>
        <w:p>
          <w:pPr>
            <w:pStyle w:val="TOC2"/>
            <w:tabs>
              <w:tab w:pos="9254" w:val="right" w:leader="none"/>
            </w:tabs>
            <w:ind w:firstLine="0"/>
          </w:pPr>
          <w:hyperlink w:history="true" w:anchor="_bookmark65">
            <w:r>
              <w:rPr/>
              <w:t>Finland: Institutional landscape</w:t>
            </w:r>
            <w:r>
              <w:rPr>
                <w:spacing w:val="-2"/>
              </w:rPr>
              <w:t> </w:t>
            </w:r>
            <w:r>
              <w:rPr/>
              <w:t>rationalisation</w:t>
              <w:tab/>
              <w:t>133</w:t>
            </w:r>
          </w:hyperlink>
        </w:p>
        <w:p>
          <w:pPr>
            <w:pStyle w:val="TOC2"/>
            <w:tabs>
              <w:tab w:pos="9254" w:val="right" w:leader="none"/>
            </w:tabs>
            <w:spacing w:before="31"/>
            <w:ind w:firstLine="0"/>
          </w:pPr>
          <w:hyperlink w:history="true" w:anchor="_bookmark71">
            <w:r>
              <w:rPr/>
              <w:t>Conclusions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relevance to</w:t>
            </w:r>
            <w:r>
              <w:rPr>
                <w:spacing w:val="-2"/>
              </w:rPr>
              <w:t> </w:t>
            </w:r>
            <w:r>
              <w:rPr/>
              <w:t>higher</w:t>
            </w:r>
            <w:r>
              <w:rPr>
                <w:spacing w:val="-2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Slovak</w:t>
            </w:r>
            <w:r>
              <w:rPr>
                <w:spacing w:val="8"/>
              </w:rPr>
              <w:t> </w:t>
            </w:r>
            <w:r>
              <w:rPr/>
              <w:t>Republic</w:t>
              <w:tab/>
              <w:t>147</w:t>
            </w:r>
          </w:hyperlink>
        </w:p>
        <w:p>
          <w:pPr>
            <w:pStyle w:val="TOC2"/>
            <w:tabs>
              <w:tab w:pos="9254" w:val="right" w:leader="none"/>
            </w:tabs>
            <w:spacing w:before="30"/>
            <w:ind w:firstLine="0"/>
          </w:pPr>
          <w:hyperlink w:history="true" w:anchor="_bookmark72">
            <w:r>
              <w:rPr/>
              <w:t>References</w:t>
              <w:tab/>
              <w:t>151</w:t>
            </w:r>
          </w:hyperlink>
        </w:p>
        <w:p>
          <w:pPr>
            <w:pStyle w:val="TOC1"/>
            <w:tabs>
              <w:tab w:pos="9254" w:val="right" w:leader="none"/>
            </w:tabs>
          </w:pPr>
          <w:hyperlink w:history="true" w:anchor="_bookmark73">
            <w:r>
              <w:rPr>
                <w:color w:val="4E81BD"/>
                <w:w w:val="85"/>
              </w:rPr>
              <w:t>Annex</w:t>
            </w:r>
            <w:r>
              <w:rPr>
                <w:color w:val="4E81BD"/>
                <w:spacing w:val="-3"/>
                <w:w w:val="85"/>
              </w:rPr>
              <w:t> </w:t>
            </w:r>
            <w:r>
              <w:rPr>
                <w:color w:val="4E81BD"/>
                <w:w w:val="85"/>
              </w:rPr>
              <w:t>B.</w:t>
            </w:r>
            <w:r>
              <w:rPr>
                <w:color w:val="4E81BD"/>
                <w:spacing w:val="-1"/>
                <w:w w:val="85"/>
              </w:rPr>
              <w:t> </w:t>
            </w:r>
            <w:r>
              <w:rPr>
                <w:color w:val="4E81BD"/>
                <w:w w:val="85"/>
              </w:rPr>
              <w:t>Participating</w:t>
            </w:r>
            <w:r>
              <w:rPr>
                <w:color w:val="4E81BD"/>
                <w:spacing w:val="-5"/>
                <w:w w:val="85"/>
              </w:rPr>
              <w:t> </w:t>
            </w:r>
            <w:r>
              <w:rPr>
                <w:color w:val="4E81BD"/>
                <w:w w:val="85"/>
              </w:rPr>
              <w:t>stakeholder</w:t>
            </w:r>
            <w:r>
              <w:rPr>
                <w:color w:val="4E81BD"/>
                <w:spacing w:val="-2"/>
                <w:w w:val="85"/>
              </w:rPr>
              <w:t> </w:t>
            </w:r>
            <w:r>
              <w:rPr>
                <w:color w:val="4E81BD"/>
                <w:w w:val="85"/>
              </w:rPr>
              <w:t>organisations</w:t>
              <w:tab/>
              <w:t>157</w:t>
            </w:r>
          </w:hyperlink>
        </w:p>
      </w:sdtContent>
    </w:sdt>
    <w:p>
      <w:pPr>
        <w:spacing w:after="0"/>
        <w:sectPr>
          <w:headerReference w:type="default" r:id="rId22"/>
          <w:headerReference w:type="even" r:id="rId23"/>
          <w:footerReference w:type="default" r:id="rId24"/>
          <w:footerReference w:type="even" r:id="rId25"/>
          <w:pgSz w:w="11910" w:h="15880"/>
          <w:pgMar w:header="734" w:footer="731" w:top="1140" w:bottom="920" w:left="1120" w:right="1000"/>
          <w:pgNumType w:start="7"/>
        </w:sectPr>
      </w:pPr>
    </w:p>
    <w:p>
      <w:pPr>
        <w:pStyle w:val="BodyText"/>
        <w:spacing w:before="7"/>
        <w:rPr>
          <w:rFonts w:ascii="Microsoft Sans Serif"/>
          <w:sz w:val="11"/>
        </w:rPr>
      </w:pPr>
    </w:p>
    <w:tbl>
      <w:tblPr>
        <w:tblW w:w="0" w:type="auto"/>
        <w:jc w:val="left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2"/>
        <w:gridCol w:w="394"/>
      </w:tblGrid>
      <w:tr>
        <w:trPr>
          <w:trHeight w:val="340" w:hRule="atLeast"/>
        </w:trPr>
        <w:tc>
          <w:tcPr>
            <w:tcW w:w="8782" w:type="dxa"/>
          </w:tcPr>
          <w:p>
            <w:pPr>
              <w:pStyle w:val="TableParagraph"/>
              <w:spacing w:line="275" w:lineRule="exact" w:before="0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E81BD"/>
                <w:w w:val="90"/>
                <w:sz w:val="24"/>
              </w:rPr>
              <w:t>Tables</w:t>
            </w:r>
          </w:p>
        </w:tc>
        <w:tc>
          <w:tcPr>
            <w:tcW w:w="39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59"/>
              <w:ind w:left="50"/>
              <w:rPr>
                <w:sz w:val="18"/>
              </w:rPr>
            </w:pPr>
            <w:hyperlink w:history="true" w:anchor="_bookmark17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2.1.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government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agencies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that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play a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role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59"/>
              <w:ind w:right="48"/>
              <w:jc w:val="right"/>
              <w:rPr>
                <w:sz w:val="18"/>
              </w:rPr>
            </w:pPr>
            <w:hyperlink w:history="true" w:anchor="_bookmark17">
              <w:r>
                <w:rPr>
                  <w:sz w:val="18"/>
                </w:rPr>
                <w:t>25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19">
              <w:r>
                <w:rPr>
                  <w:sz w:val="18"/>
                </w:rPr>
                <w:t>Table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2.2.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Trends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tertiary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attainment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rates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25-34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year-olds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by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gender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(2009,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2019)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19">
              <w:r>
                <w:rPr>
                  <w:sz w:val="18"/>
                </w:rPr>
                <w:t>27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25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2.3.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Employment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rates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graduates,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by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attainment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age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25">
              <w:r>
                <w:rPr>
                  <w:sz w:val="18"/>
                </w:rPr>
                <w:t>35</w:t>
              </w:r>
            </w:hyperlink>
          </w:p>
        </w:tc>
      </w:tr>
      <w:tr>
        <w:trPr>
          <w:trHeight w:val="440" w:hRule="atLeast"/>
        </w:trPr>
        <w:tc>
          <w:tcPr>
            <w:tcW w:w="8782" w:type="dxa"/>
          </w:tcPr>
          <w:p>
            <w:pPr>
              <w:pStyle w:val="TableParagraph"/>
              <w:spacing w:before="2"/>
              <w:ind w:left="50"/>
              <w:rPr>
                <w:sz w:val="18"/>
              </w:rPr>
            </w:pPr>
            <w:hyperlink w:history="true" w:anchor="_bookmark26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2.4.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Employment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rates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young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adults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who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have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recently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completed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education,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by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educational</w:t>
              </w:r>
            </w:hyperlink>
          </w:p>
          <w:p>
            <w:pPr>
              <w:pStyle w:val="TableParagraph"/>
              <w:spacing w:line="197" w:lineRule="exact" w:before="14"/>
              <w:ind w:left="50"/>
              <w:rPr>
                <w:sz w:val="18"/>
              </w:rPr>
            </w:pPr>
            <w:hyperlink w:history="true" w:anchor="_bookmark26">
              <w:r>
                <w:rPr>
                  <w:sz w:val="18"/>
                </w:rPr>
                <w:t>attainment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years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since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graduation,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1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(2018)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spacing w:line="197" w:lineRule="exact" w:before="0"/>
              <w:ind w:right="48"/>
              <w:jc w:val="right"/>
              <w:rPr>
                <w:sz w:val="18"/>
              </w:rPr>
            </w:pPr>
            <w:hyperlink w:history="true" w:anchor="_bookmark26">
              <w:r>
                <w:rPr>
                  <w:sz w:val="18"/>
                </w:rPr>
                <w:t>35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27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2.5.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Relative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earnings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workers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3"/>
                  <w:sz w:val="18"/>
                </w:rPr>
                <w:t> </w:t>
              </w:r>
              <w:r>
                <w:rPr>
                  <w:sz w:val="18"/>
                </w:rPr>
                <w:t>Republic,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by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educational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attainment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(2018)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27">
              <w:r>
                <w:rPr>
                  <w:sz w:val="18"/>
                </w:rPr>
                <w:t>36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2"/>
              <w:ind w:left="50"/>
              <w:rPr>
                <w:sz w:val="18"/>
              </w:rPr>
            </w:pPr>
            <w:hyperlink w:history="true" w:anchor="_bookmark29">
              <w:r>
                <w:rPr>
                  <w:sz w:val="18"/>
                </w:rPr>
                <w:t>Table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2.6.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Quantity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impact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scientific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production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selected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countries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(2018)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2"/>
              <w:ind w:right="48"/>
              <w:jc w:val="right"/>
              <w:rPr>
                <w:sz w:val="18"/>
              </w:rPr>
            </w:pPr>
            <w:hyperlink w:history="true" w:anchor="_bookmark29">
              <w:r>
                <w:rPr>
                  <w:sz w:val="18"/>
                </w:rPr>
                <w:t>39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40">
              <w:r>
                <w:rPr>
                  <w:sz w:val="18"/>
                </w:rPr>
                <w:t>Table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3.1.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TEF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metrics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aligned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with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aspects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quality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40">
              <w:r>
                <w:rPr>
                  <w:sz w:val="18"/>
                </w:rPr>
                <w:t>65</w:t>
              </w:r>
            </w:hyperlink>
          </w:p>
        </w:tc>
      </w:tr>
      <w:tr>
        <w:trPr>
          <w:trHeight w:val="439" w:hRule="atLeast"/>
        </w:trPr>
        <w:tc>
          <w:tcPr>
            <w:tcW w:w="8782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hyperlink w:history="true" w:anchor="_bookmark44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3.2.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Total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expenditure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educational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institutions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per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full-time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equivalent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student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for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core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educational</w:t>
              </w:r>
            </w:hyperlink>
          </w:p>
          <w:p>
            <w:pPr>
              <w:pStyle w:val="TableParagraph"/>
              <w:spacing w:line="197" w:lineRule="exact" w:before="11"/>
              <w:ind w:left="50"/>
              <w:rPr>
                <w:sz w:val="18"/>
              </w:rPr>
            </w:pPr>
            <w:hyperlink w:history="true" w:anchor="_bookmark44">
              <w:r>
                <w:rPr>
                  <w:sz w:val="18"/>
                </w:rPr>
                <w:t>services,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ancillary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services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R&amp;D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(2017)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7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spacing w:line="197" w:lineRule="exact" w:before="0"/>
              <w:ind w:right="48"/>
              <w:jc w:val="right"/>
              <w:rPr>
                <w:sz w:val="18"/>
              </w:rPr>
            </w:pPr>
            <w:hyperlink w:history="true" w:anchor="_bookmark44">
              <w:r>
                <w:rPr>
                  <w:sz w:val="18"/>
                </w:rPr>
                <w:t>73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45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3.3.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Allocation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public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contributions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to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public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HEIs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5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(2020)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45">
              <w:r>
                <w:rPr>
                  <w:sz w:val="18"/>
                </w:rPr>
                <w:t>74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48">
              <w:r>
                <w:rPr>
                  <w:sz w:val="18"/>
                </w:rPr>
                <w:t>Table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3.4.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Bijzonder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Onderzoeksfonds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(BOF)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funding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indicators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allocation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48">
              <w:r>
                <w:rPr>
                  <w:sz w:val="18"/>
                </w:rPr>
                <w:t>84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2"/>
              <w:ind w:left="50"/>
              <w:rPr>
                <w:sz w:val="18"/>
              </w:rPr>
            </w:pPr>
            <w:hyperlink w:history="true" w:anchor="_bookmark50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3.5.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Institutional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autonomy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select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European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countries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(2016)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2"/>
              <w:ind w:right="48"/>
              <w:jc w:val="right"/>
              <w:rPr>
                <w:sz w:val="18"/>
              </w:rPr>
            </w:pPr>
            <w:hyperlink w:history="true" w:anchor="_bookmark50">
              <w:r>
                <w:rPr>
                  <w:sz w:val="18"/>
                </w:rPr>
                <w:t>93</w:t>
              </w:r>
            </w:hyperlink>
          </w:p>
        </w:tc>
      </w:tr>
      <w:tr>
        <w:trPr>
          <w:trHeight w:val="221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53">
              <w:r>
                <w:rPr>
                  <w:sz w:val="18"/>
                </w:rPr>
                <w:t>Table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3.6.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governance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bodies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pre-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post-Universities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Act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Finland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(2009)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53">
              <w:r>
                <w:rPr>
                  <w:sz w:val="18"/>
                </w:rPr>
                <w:t>102</w:t>
              </w:r>
            </w:hyperlink>
          </w:p>
        </w:tc>
      </w:tr>
      <w:tr>
        <w:trPr>
          <w:trHeight w:val="347" w:hRule="atLeast"/>
        </w:trPr>
        <w:tc>
          <w:tcPr>
            <w:tcW w:w="8782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hyperlink w:history="true" w:anchor="_bookmark54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3.7.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governance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bodies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pre-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post-RJIES</w:t>
              </w:r>
              <w:r>
                <w:rPr>
                  <w:spacing w:val="-6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Portugal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(2007)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hyperlink w:history="true" w:anchor="_bookmark54">
              <w:r>
                <w:rPr>
                  <w:sz w:val="18"/>
                </w:rPr>
                <w:t>103</w:t>
              </w:r>
            </w:hyperlink>
          </w:p>
        </w:tc>
      </w:tr>
      <w:tr>
        <w:trPr>
          <w:trHeight w:val="346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130"/>
              <w:ind w:left="50"/>
              <w:rPr>
                <w:sz w:val="18"/>
              </w:rPr>
            </w:pPr>
            <w:hyperlink w:history="true" w:anchor="_bookmark58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A.1.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Key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indicators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for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Finland,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Portugal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4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(2017–19)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130"/>
              <w:ind w:right="48"/>
              <w:jc w:val="right"/>
              <w:rPr>
                <w:sz w:val="18"/>
              </w:rPr>
            </w:pPr>
            <w:hyperlink w:history="true" w:anchor="_bookmark58">
              <w:r>
                <w:rPr>
                  <w:sz w:val="18"/>
                </w:rPr>
                <w:t>118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60">
              <w:r>
                <w:rPr>
                  <w:sz w:val="18"/>
                </w:rPr>
                <w:t>Table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A.2.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governance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bodies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pre-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post-RJIES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(2007)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Portugal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60">
              <w:r>
                <w:rPr>
                  <w:sz w:val="18"/>
                </w:rPr>
                <w:t>124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2"/>
              <w:ind w:left="50"/>
              <w:rPr>
                <w:sz w:val="18"/>
              </w:rPr>
            </w:pPr>
            <w:hyperlink w:history="true" w:anchor="_bookmark63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A.3.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EUA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Autonomy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Tool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ranking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Finland,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Portugal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2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(2017)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2"/>
              <w:ind w:right="48"/>
              <w:jc w:val="right"/>
              <w:rPr>
                <w:sz w:val="18"/>
              </w:rPr>
            </w:pPr>
            <w:hyperlink w:history="true" w:anchor="_bookmark63">
              <w:r>
                <w:rPr>
                  <w:sz w:val="18"/>
                </w:rPr>
                <w:t>128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66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A.4.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Finnish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public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funding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allocation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model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(2020)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66">
              <w:r>
                <w:rPr>
                  <w:sz w:val="18"/>
                </w:rPr>
                <w:t>134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68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A.5.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Aalto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tenure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track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time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allocations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68">
              <w:r>
                <w:rPr>
                  <w:sz w:val="18"/>
                </w:rPr>
                <w:t>142</w:t>
              </w:r>
            </w:hyperlink>
          </w:p>
        </w:tc>
      </w:tr>
      <w:tr>
        <w:trPr>
          <w:trHeight w:val="316" w:hRule="atLeast"/>
        </w:trPr>
        <w:tc>
          <w:tcPr>
            <w:tcW w:w="8782" w:type="dxa"/>
          </w:tcPr>
          <w:p>
            <w:pPr>
              <w:pStyle w:val="TableParagraph"/>
              <w:spacing w:before="2"/>
              <w:ind w:left="50"/>
              <w:rPr>
                <w:sz w:val="18"/>
              </w:rPr>
            </w:pPr>
            <w:hyperlink w:history="true" w:anchor="_bookmark69">
              <w:r>
                <w:rPr>
                  <w:sz w:val="18"/>
                </w:rPr>
                <w:t>Table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A.6.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governance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bodies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pre-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post-Universities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Act,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2009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hyperlink w:history="true" w:anchor="_bookmark69">
              <w:r>
                <w:rPr>
                  <w:sz w:val="18"/>
                </w:rPr>
                <w:t>143</w:t>
              </w:r>
            </w:hyperlink>
          </w:p>
        </w:tc>
      </w:tr>
      <w:tr>
        <w:trPr>
          <w:trHeight w:val="447" w:hRule="atLeast"/>
        </w:trPr>
        <w:tc>
          <w:tcPr>
            <w:tcW w:w="8782" w:type="dxa"/>
          </w:tcPr>
          <w:p>
            <w:pPr>
              <w:pStyle w:val="TableParagraph"/>
              <w:spacing w:before="105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E81BD"/>
                <w:w w:val="90"/>
                <w:sz w:val="24"/>
              </w:rPr>
              <w:t>Figures</w:t>
            </w:r>
          </w:p>
        </w:tc>
        <w:tc>
          <w:tcPr>
            <w:tcW w:w="39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6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60"/>
              <w:ind w:left="50"/>
              <w:rPr>
                <w:sz w:val="18"/>
              </w:rPr>
            </w:pPr>
            <w:hyperlink w:history="true" w:anchor="_bookmark7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1.1.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Factors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affecting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outcomes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for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graduates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employers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60"/>
              <w:ind w:right="48"/>
              <w:jc w:val="right"/>
              <w:rPr>
                <w:sz w:val="18"/>
              </w:rPr>
            </w:pPr>
            <w:hyperlink w:history="true" w:anchor="_bookmark7">
              <w:r>
                <w:rPr>
                  <w:sz w:val="18"/>
                </w:rPr>
                <w:t>15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8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1.2.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Executive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capacity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2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compared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to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OECD/EU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countries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(2020)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8">
              <w:r>
                <w:rPr>
                  <w:sz w:val="18"/>
                </w:rPr>
                <w:t>17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2"/>
              <w:ind w:left="50"/>
              <w:rPr>
                <w:sz w:val="18"/>
              </w:rPr>
            </w:pPr>
            <w:hyperlink w:history="true" w:anchor="_bookmark14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2.1.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Number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students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HEIs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 higher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system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(1991-2020)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2"/>
              <w:ind w:right="48"/>
              <w:jc w:val="right"/>
              <w:rPr>
                <w:sz w:val="18"/>
              </w:rPr>
            </w:pPr>
            <w:hyperlink w:history="true" w:anchor="_bookmark14">
              <w:r>
                <w:rPr>
                  <w:sz w:val="18"/>
                </w:rPr>
                <w:t>22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15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2.2.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Overview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HEIs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(2019)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15">
              <w:r>
                <w:rPr>
                  <w:sz w:val="18"/>
                </w:rPr>
                <w:t>23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16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2.3.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Regional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distribution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HEIs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number</w:t>
              </w:r>
              <w:r>
                <w:rPr>
                  <w:spacing w:val="-7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students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16">
              <w:r>
                <w:rPr>
                  <w:sz w:val="18"/>
                </w:rPr>
                <w:t>23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3"/>
              <w:ind w:left="50"/>
              <w:rPr>
                <w:sz w:val="18"/>
              </w:rPr>
            </w:pPr>
            <w:hyperlink w:history="true" w:anchor="_bookmark20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2.4.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application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process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national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level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(2010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3"/>
              <w:ind w:right="48"/>
              <w:jc w:val="right"/>
              <w:rPr>
                <w:sz w:val="18"/>
              </w:rPr>
            </w:pPr>
            <w:hyperlink w:history="true" w:anchor="_bookmark20">
              <w:r>
                <w:rPr>
                  <w:sz w:val="18"/>
                </w:rPr>
                <w:t>28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21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2.5.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University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application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process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at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HEI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level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 Republic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(2019)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21">
              <w:r>
                <w:rPr>
                  <w:sz w:val="18"/>
                </w:rPr>
                <w:t>29</w:t>
              </w:r>
            </w:hyperlink>
          </w:p>
        </w:tc>
      </w:tr>
      <w:tr>
        <w:trPr>
          <w:trHeight w:val="439" w:hRule="atLeast"/>
        </w:trPr>
        <w:tc>
          <w:tcPr>
            <w:tcW w:w="8782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hyperlink w:history="true" w:anchor="_bookmark22">
              <w:r>
                <w:rPr>
                  <w:sz w:val="18"/>
                </w:rPr>
                <w:t>Figure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2.6.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Share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25-34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year-olds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with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tertiary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OECD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countries,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by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level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tertiary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</w:hyperlink>
          </w:p>
          <w:p>
            <w:pPr>
              <w:pStyle w:val="TableParagraph"/>
              <w:spacing w:line="197" w:lineRule="exact" w:before="11"/>
              <w:ind w:left="50"/>
              <w:rPr>
                <w:sz w:val="18"/>
              </w:rPr>
            </w:pPr>
            <w:hyperlink w:history="true" w:anchor="_bookmark22">
              <w:r>
                <w:rPr>
                  <w:sz w:val="18"/>
                </w:rPr>
                <w:t>(2019)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7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spacing w:line="197" w:lineRule="exact" w:before="0"/>
              <w:ind w:right="48"/>
              <w:jc w:val="right"/>
              <w:rPr>
                <w:sz w:val="18"/>
              </w:rPr>
            </w:pPr>
            <w:hyperlink w:history="true" w:anchor="_bookmark22">
              <w:r>
                <w:rPr>
                  <w:sz w:val="18"/>
                </w:rPr>
                <w:t>30</w:t>
              </w:r>
            </w:hyperlink>
          </w:p>
        </w:tc>
      </w:tr>
      <w:tr>
        <w:trPr>
          <w:trHeight w:val="440" w:hRule="atLeast"/>
        </w:trPr>
        <w:tc>
          <w:tcPr>
            <w:tcW w:w="8782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hyperlink w:history="true" w:anchor="_bookmark23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2.7.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Cross-country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variation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job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automatability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percentage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jobs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at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risk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significant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change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</w:hyperlink>
          </w:p>
          <w:p>
            <w:pPr>
              <w:pStyle w:val="TableParagraph"/>
              <w:spacing w:line="196" w:lineRule="exact" w:before="13"/>
              <w:ind w:left="50"/>
              <w:rPr>
                <w:sz w:val="18"/>
              </w:rPr>
            </w:pPr>
            <w:hyperlink w:history="true" w:anchor="_bookmark23">
              <w:r>
                <w:rPr>
                  <w:sz w:val="18"/>
                </w:rPr>
                <w:t>selected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countries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(2012,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2015)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9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spacing w:line="196" w:lineRule="exact" w:before="0"/>
              <w:ind w:right="48"/>
              <w:jc w:val="right"/>
              <w:rPr>
                <w:sz w:val="18"/>
              </w:rPr>
            </w:pPr>
            <w:hyperlink w:history="true" w:anchor="_bookmark23">
              <w:r>
                <w:rPr>
                  <w:sz w:val="18"/>
                </w:rPr>
                <w:t>33</w:t>
              </w:r>
            </w:hyperlink>
          </w:p>
        </w:tc>
      </w:tr>
      <w:tr>
        <w:trPr>
          <w:trHeight w:val="440" w:hRule="atLeast"/>
        </w:trPr>
        <w:tc>
          <w:tcPr>
            <w:tcW w:w="8782" w:type="dxa"/>
          </w:tcPr>
          <w:p>
            <w:pPr>
              <w:pStyle w:val="TableParagraph"/>
              <w:spacing w:before="2"/>
              <w:ind w:left="50"/>
              <w:rPr>
                <w:sz w:val="18"/>
              </w:rPr>
            </w:pPr>
            <w:hyperlink w:history="true" w:anchor="_bookmark24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2.8.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Key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indicators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for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developing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relevant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skills,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OECD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average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(2012,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2015,</w:t>
              </w:r>
            </w:hyperlink>
          </w:p>
          <w:p>
            <w:pPr>
              <w:pStyle w:val="TableParagraph"/>
              <w:spacing w:line="197" w:lineRule="exact" w:before="14"/>
              <w:ind w:left="50"/>
              <w:rPr>
                <w:sz w:val="18"/>
              </w:rPr>
            </w:pPr>
            <w:hyperlink w:history="true" w:anchor="_bookmark24">
              <w:r>
                <w:rPr>
                  <w:sz w:val="18"/>
                </w:rPr>
                <w:t>2018)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spacing w:line="197" w:lineRule="exact" w:before="0"/>
              <w:ind w:right="48"/>
              <w:jc w:val="right"/>
              <w:rPr>
                <w:sz w:val="18"/>
              </w:rPr>
            </w:pPr>
            <w:hyperlink w:history="true" w:anchor="_bookmark24">
              <w:r>
                <w:rPr>
                  <w:sz w:val="18"/>
                </w:rPr>
                <w:t>34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28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2.9.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Skills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mismatches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2"/>
                  <w:sz w:val="18"/>
                </w:rPr>
                <w:t> </w:t>
              </w:r>
              <w:r>
                <w:rPr>
                  <w:sz w:val="18"/>
                </w:rPr>
                <w:t>Republic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(2018)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28">
              <w:r>
                <w:rPr>
                  <w:sz w:val="18"/>
                </w:rPr>
                <w:t>38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2"/>
              <w:ind w:left="50"/>
              <w:rPr>
                <w:sz w:val="18"/>
              </w:rPr>
            </w:pPr>
            <w:hyperlink w:history="true" w:anchor="_bookmark30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2.10.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Publication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performance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R&amp;D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(2018)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2"/>
              <w:ind w:right="48"/>
              <w:jc w:val="right"/>
              <w:rPr>
                <w:sz w:val="18"/>
              </w:rPr>
            </w:pPr>
            <w:hyperlink w:history="true" w:anchor="_bookmark30">
              <w:r>
                <w:rPr>
                  <w:sz w:val="18"/>
                </w:rPr>
                <w:t>40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42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3.1.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Public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expenditure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per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full-time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student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(2010-17)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42">
              <w:r>
                <w:rPr>
                  <w:sz w:val="18"/>
                </w:rPr>
                <w:t>72</w:t>
              </w:r>
            </w:hyperlink>
          </w:p>
        </w:tc>
      </w:tr>
      <w:tr>
        <w:trPr>
          <w:trHeight w:val="439" w:hRule="atLeast"/>
        </w:trPr>
        <w:tc>
          <w:tcPr>
            <w:tcW w:w="8782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hyperlink w:history="true" w:anchor="_bookmark43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3.2.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Relative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share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public,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private</w:t>
              </w:r>
              <w:r>
                <w:rPr>
                  <w:spacing w:val="1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international</w:t>
              </w:r>
              <w:r>
                <w:rPr>
                  <w:spacing w:val="-7"/>
                  <w:sz w:val="18"/>
                </w:rPr>
                <w:t> </w:t>
              </w:r>
              <w:r>
                <w:rPr>
                  <w:sz w:val="18"/>
                </w:rPr>
                <w:t>expenditure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institutions,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by</w:t>
              </w:r>
            </w:hyperlink>
          </w:p>
          <w:p>
            <w:pPr>
              <w:pStyle w:val="TableParagraph"/>
              <w:spacing w:line="197" w:lineRule="exact" w:before="11"/>
              <w:ind w:left="50"/>
              <w:rPr>
                <w:sz w:val="18"/>
              </w:rPr>
            </w:pPr>
            <w:hyperlink w:history="true" w:anchor="_bookmark43">
              <w:r>
                <w:rPr>
                  <w:sz w:val="18"/>
                </w:rPr>
                <w:t>final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source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funds (2017)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7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spacing w:line="197" w:lineRule="exact" w:before="0"/>
              <w:ind w:right="48"/>
              <w:jc w:val="right"/>
              <w:rPr>
                <w:sz w:val="18"/>
              </w:rPr>
            </w:pPr>
            <w:hyperlink w:history="true" w:anchor="_bookmark43">
              <w:r>
                <w:rPr>
                  <w:sz w:val="18"/>
                </w:rPr>
                <w:t>72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46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3.3.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Human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resources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46">
              <w:r>
                <w:rPr>
                  <w:sz w:val="18"/>
                </w:rPr>
                <w:t>78</w:t>
              </w:r>
            </w:hyperlink>
          </w:p>
        </w:tc>
      </w:tr>
      <w:tr>
        <w:trPr>
          <w:trHeight w:val="347" w:hRule="atLeast"/>
        </w:trPr>
        <w:tc>
          <w:tcPr>
            <w:tcW w:w="8782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hyperlink w:history="true" w:anchor="_bookmark51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3.4.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Governing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bodies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institutions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4"/>
              <w:ind w:right="48"/>
              <w:jc w:val="right"/>
              <w:rPr>
                <w:sz w:val="18"/>
              </w:rPr>
            </w:pPr>
            <w:hyperlink w:history="true" w:anchor="_bookmark51">
              <w:r>
                <w:rPr>
                  <w:sz w:val="18"/>
                </w:rPr>
                <w:t>94</w:t>
              </w:r>
            </w:hyperlink>
          </w:p>
        </w:tc>
      </w:tr>
      <w:tr>
        <w:trPr>
          <w:trHeight w:val="345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130"/>
              <w:ind w:left="50"/>
              <w:rPr>
                <w:sz w:val="18"/>
              </w:rPr>
            </w:pPr>
            <w:hyperlink w:history="true" w:anchor="_bookmark62">
              <w:r>
                <w:rPr>
                  <w:sz w:val="18"/>
                </w:rPr>
                <w:t>Figure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A.1.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Illustrative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goals,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outputs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outcomes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HEI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governance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reform in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Portugal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130"/>
              <w:ind w:right="48"/>
              <w:jc w:val="right"/>
              <w:rPr>
                <w:sz w:val="18"/>
              </w:rPr>
            </w:pPr>
            <w:hyperlink w:history="true" w:anchor="_bookmark62">
              <w:r>
                <w:rPr>
                  <w:sz w:val="18"/>
                </w:rPr>
                <w:t>127</w:t>
              </w:r>
            </w:hyperlink>
          </w:p>
        </w:tc>
      </w:tr>
      <w:tr>
        <w:trPr>
          <w:trHeight w:val="316" w:hRule="atLeast"/>
        </w:trPr>
        <w:tc>
          <w:tcPr>
            <w:tcW w:w="8782" w:type="dxa"/>
          </w:tcPr>
          <w:p>
            <w:pPr>
              <w:pStyle w:val="TableParagraph"/>
              <w:spacing w:before="2"/>
              <w:ind w:left="50"/>
              <w:rPr>
                <w:sz w:val="18"/>
              </w:rPr>
            </w:pPr>
            <w:hyperlink w:history="true" w:anchor="_bookmark70">
              <w:r>
                <w:rPr>
                  <w:sz w:val="18"/>
                </w:rPr>
                <w:t>Figure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A.2.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Illustrative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goals,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outputs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outcomes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HEI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network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rationalisation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reform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Finland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hyperlink w:history="true" w:anchor="_bookmark70">
              <w:r>
                <w:rPr>
                  <w:sz w:val="18"/>
                </w:rPr>
                <w:t>145</w:t>
              </w:r>
            </w:hyperlink>
          </w:p>
        </w:tc>
      </w:tr>
      <w:tr>
        <w:trPr>
          <w:trHeight w:val="447" w:hRule="atLeast"/>
        </w:trPr>
        <w:tc>
          <w:tcPr>
            <w:tcW w:w="8782" w:type="dxa"/>
          </w:tcPr>
          <w:p>
            <w:pPr>
              <w:pStyle w:val="TableParagraph"/>
              <w:spacing w:before="105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E81BD"/>
                <w:w w:val="90"/>
                <w:sz w:val="24"/>
              </w:rPr>
              <w:t>Boxes</w:t>
            </w:r>
          </w:p>
        </w:tc>
        <w:tc>
          <w:tcPr>
            <w:tcW w:w="39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6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60"/>
              <w:ind w:left="50"/>
              <w:rPr>
                <w:sz w:val="18"/>
              </w:rPr>
            </w:pPr>
            <w:hyperlink w:history="true" w:anchor="_bookmark36">
              <w:r>
                <w:rPr>
                  <w:sz w:val="18"/>
                </w:rPr>
                <w:t>Box</w:t>
              </w:r>
              <w:r>
                <w:rPr>
                  <w:spacing w:val="-6"/>
                  <w:sz w:val="18"/>
                </w:rPr>
                <w:t> </w:t>
              </w:r>
              <w:r>
                <w:rPr>
                  <w:sz w:val="18"/>
                </w:rPr>
                <w:t>3.1.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Objectives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proposed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Learning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Slovakia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Strategy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(2016)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60"/>
              <w:ind w:right="48"/>
              <w:jc w:val="right"/>
              <w:rPr>
                <w:sz w:val="18"/>
              </w:rPr>
            </w:pPr>
            <w:hyperlink w:history="true" w:anchor="_bookmark36">
              <w:r>
                <w:rPr>
                  <w:sz w:val="18"/>
                </w:rPr>
                <w:t>51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37">
              <w:r>
                <w:rPr>
                  <w:sz w:val="18"/>
                </w:rPr>
                <w:t>Box</w:t>
              </w:r>
              <w:r>
                <w:rPr>
                  <w:spacing w:val="-6"/>
                  <w:sz w:val="18"/>
                </w:rPr>
                <w:t> </w:t>
              </w:r>
              <w:r>
                <w:rPr>
                  <w:sz w:val="18"/>
                </w:rPr>
                <w:t>3.2.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National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Action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Plan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for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External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Quality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Assurance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HEIs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(2021)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37">
              <w:r>
                <w:rPr>
                  <w:sz w:val="18"/>
                </w:rPr>
                <w:t>54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2"/>
              <w:ind w:left="50"/>
              <w:rPr>
                <w:sz w:val="18"/>
              </w:rPr>
            </w:pPr>
            <w:hyperlink w:history="true" w:anchor="_bookmark38">
              <w:r>
                <w:rPr>
                  <w:sz w:val="18"/>
                </w:rPr>
                <w:t>Box</w:t>
              </w:r>
              <w:r>
                <w:rPr>
                  <w:spacing w:val="-7"/>
                  <w:sz w:val="18"/>
                </w:rPr>
                <w:t> </w:t>
              </w:r>
              <w:r>
                <w:rPr>
                  <w:sz w:val="18"/>
                </w:rPr>
                <w:t>3.3.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reforms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in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the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Republic’s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national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recovery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resilience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plan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(2021)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2"/>
              <w:ind w:right="48"/>
              <w:jc w:val="right"/>
              <w:rPr>
                <w:sz w:val="18"/>
              </w:rPr>
            </w:pPr>
            <w:hyperlink w:history="true" w:anchor="_bookmark38">
              <w:r>
                <w:rPr>
                  <w:sz w:val="18"/>
                </w:rPr>
                <w:t>56</w:t>
              </w:r>
            </w:hyperlink>
          </w:p>
        </w:tc>
      </w:tr>
      <w:tr>
        <w:trPr>
          <w:trHeight w:val="220" w:hRule="atLeast"/>
        </w:trPr>
        <w:tc>
          <w:tcPr>
            <w:tcW w:w="8782" w:type="dxa"/>
          </w:tcPr>
          <w:p>
            <w:pPr>
              <w:pStyle w:val="TableParagraph"/>
              <w:spacing w:line="197" w:lineRule="exact" w:before="4"/>
              <w:ind w:left="50"/>
              <w:rPr>
                <w:sz w:val="18"/>
              </w:rPr>
            </w:pPr>
            <w:hyperlink w:history="true" w:anchor="_bookmark39">
              <w:r>
                <w:rPr>
                  <w:sz w:val="18"/>
                </w:rPr>
                <w:t>Box</w:t>
              </w:r>
              <w:r>
                <w:rPr>
                  <w:spacing w:val="-7"/>
                  <w:sz w:val="18"/>
                </w:rPr>
                <w:t> </w:t>
              </w:r>
              <w:r>
                <w:rPr>
                  <w:sz w:val="18"/>
                </w:rPr>
                <w:t>3.4.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Recent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recommendations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to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reform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Slovak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higher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7" w:lineRule="exact" w:before="4"/>
              <w:ind w:right="48"/>
              <w:jc w:val="right"/>
              <w:rPr>
                <w:sz w:val="18"/>
              </w:rPr>
            </w:pPr>
            <w:hyperlink w:history="true" w:anchor="_bookmark39">
              <w:r>
                <w:rPr>
                  <w:sz w:val="18"/>
                </w:rPr>
                <w:t>57</w:t>
              </w:r>
            </w:hyperlink>
          </w:p>
        </w:tc>
      </w:tr>
      <w:tr>
        <w:trPr>
          <w:trHeight w:val="219" w:hRule="atLeast"/>
        </w:trPr>
        <w:tc>
          <w:tcPr>
            <w:tcW w:w="8782" w:type="dxa"/>
          </w:tcPr>
          <w:p>
            <w:pPr>
              <w:pStyle w:val="TableParagraph"/>
              <w:spacing w:line="196" w:lineRule="exact" w:before="4"/>
              <w:ind w:left="50"/>
              <w:rPr>
                <w:sz w:val="18"/>
              </w:rPr>
            </w:pPr>
            <w:hyperlink w:history="true" w:anchor="_bookmark47">
              <w:r>
                <w:rPr>
                  <w:sz w:val="18"/>
                </w:rPr>
                <w:t>Box</w:t>
              </w:r>
              <w:r>
                <w:rPr>
                  <w:spacing w:val="-7"/>
                  <w:sz w:val="18"/>
                </w:rPr>
                <w:t> </w:t>
              </w:r>
              <w:r>
                <w:rPr>
                  <w:sz w:val="18"/>
                </w:rPr>
                <w:t>3.5.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Practices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supporting</w:t>
              </w:r>
              <w:r>
                <w:rPr>
                  <w:spacing w:val="-5"/>
                  <w:sz w:val="18"/>
                </w:rPr>
                <w:t> </w:t>
              </w:r>
              <w:r>
                <w:rPr>
                  <w:sz w:val="18"/>
                </w:rPr>
                <w:t>labour-market-relevant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education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96" w:lineRule="exact" w:before="4"/>
              <w:ind w:right="48"/>
              <w:jc w:val="right"/>
              <w:rPr>
                <w:sz w:val="18"/>
              </w:rPr>
            </w:pPr>
            <w:hyperlink w:history="true" w:anchor="_bookmark47">
              <w:r>
                <w:rPr>
                  <w:sz w:val="18"/>
                </w:rPr>
                <w:t>81</w:t>
              </w:r>
            </w:hyperlink>
          </w:p>
        </w:tc>
      </w:tr>
      <w:tr>
        <w:trPr>
          <w:trHeight w:val="209" w:hRule="atLeast"/>
        </w:trPr>
        <w:tc>
          <w:tcPr>
            <w:tcW w:w="8782" w:type="dxa"/>
          </w:tcPr>
          <w:p>
            <w:pPr>
              <w:pStyle w:val="TableParagraph"/>
              <w:spacing w:line="187" w:lineRule="exact" w:before="2"/>
              <w:ind w:left="50"/>
              <w:rPr>
                <w:sz w:val="18"/>
              </w:rPr>
            </w:pPr>
            <w:hyperlink w:history="true" w:anchor="_bookmark52">
              <w:r>
                <w:rPr>
                  <w:sz w:val="18"/>
                </w:rPr>
                <w:t>Box</w:t>
              </w:r>
              <w:r>
                <w:rPr>
                  <w:spacing w:val="-6"/>
                  <w:sz w:val="18"/>
                </w:rPr>
                <w:t> </w:t>
              </w:r>
              <w:r>
                <w:rPr>
                  <w:sz w:val="18"/>
                </w:rPr>
                <w:t>3.6.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UAS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Upper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Austria: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An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example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of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public</w:t>
              </w:r>
              <w:r>
                <w:rPr>
                  <w:spacing w:val="-1"/>
                  <w:sz w:val="18"/>
                </w:rPr>
                <w:t> </w:t>
              </w:r>
              <w:r>
                <w:rPr>
                  <w:sz w:val="18"/>
                </w:rPr>
                <w:t>policy</w:t>
              </w:r>
              <w:r>
                <w:rPr>
                  <w:spacing w:val="-3"/>
                  <w:sz w:val="18"/>
                </w:rPr>
                <w:t> </w:t>
              </w:r>
              <w:r>
                <w:rPr>
                  <w:sz w:val="18"/>
                </w:rPr>
                <w:t>and</w:t>
              </w:r>
              <w:r>
                <w:rPr>
                  <w:spacing w:val="-4"/>
                  <w:sz w:val="18"/>
                </w:rPr>
                <w:t> </w:t>
              </w:r>
              <w:r>
                <w:rPr>
                  <w:sz w:val="18"/>
                </w:rPr>
                <w:t>institutional</w:t>
              </w:r>
              <w:r>
                <w:rPr>
                  <w:spacing w:val="-2"/>
                  <w:sz w:val="18"/>
                </w:rPr>
                <w:t> </w:t>
              </w:r>
              <w:r>
                <w:rPr>
                  <w:sz w:val="18"/>
                </w:rPr>
                <w:t>governance</w:t>
              </w:r>
            </w:hyperlink>
          </w:p>
        </w:tc>
        <w:tc>
          <w:tcPr>
            <w:tcW w:w="394" w:type="dxa"/>
          </w:tcPr>
          <w:p>
            <w:pPr>
              <w:pStyle w:val="TableParagraph"/>
              <w:spacing w:line="187" w:lineRule="exact" w:before="2"/>
              <w:ind w:right="48"/>
              <w:jc w:val="right"/>
              <w:rPr>
                <w:sz w:val="18"/>
              </w:rPr>
            </w:pPr>
            <w:hyperlink w:history="true" w:anchor="_bookmark52">
              <w:r>
                <w:rPr>
                  <w:sz w:val="18"/>
                </w:rPr>
                <w:t>98</w:t>
              </w:r>
            </w:hyperlink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Heading1"/>
      </w:pPr>
      <w:bookmarkStart w:name="Executive summary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4E81BD"/>
          <w:w w:val="80"/>
        </w:rPr>
        <w:t>Executive</w:t>
      </w:r>
      <w:r>
        <w:rPr>
          <w:color w:val="4E81BD"/>
          <w:spacing w:val="130"/>
          <w:w w:val="80"/>
        </w:rPr>
        <w:t> </w:t>
      </w:r>
      <w:r>
        <w:rPr>
          <w:color w:val="4E81BD"/>
          <w:w w:val="80"/>
        </w:rPr>
        <w:t>summary</w:t>
      </w:r>
    </w:p>
    <w:p>
      <w:pPr>
        <w:pStyle w:val="BodyText"/>
        <w:rPr>
          <w:rFonts w:ascii="Arial"/>
          <w:b/>
          <w:sz w:val="82"/>
        </w:rPr>
      </w:pPr>
    </w:p>
    <w:p>
      <w:pPr>
        <w:pStyle w:val="BodyText"/>
        <w:spacing w:before="11"/>
        <w:rPr>
          <w:rFonts w:ascii="Arial"/>
          <w:b/>
          <w:sz w:val="95"/>
        </w:rPr>
      </w:pPr>
    </w:p>
    <w:p>
      <w:pPr>
        <w:spacing w:before="0"/>
        <w:ind w:left="183" w:right="0" w:firstLine="0"/>
        <w:jc w:val="left"/>
        <w:rPr>
          <w:rFonts w:ascii="Arial" w:hAnsi="Arial"/>
          <w:b/>
          <w:sz w:val="24"/>
        </w:rPr>
      </w:pPr>
      <w:bookmarkStart w:name="Performance of the Slovak Republic’s hig" w:id="7"/>
      <w:bookmarkEnd w:id="7"/>
      <w:r>
        <w:rPr/>
      </w:r>
      <w:r>
        <w:rPr>
          <w:rFonts w:ascii="Arial" w:hAnsi="Arial"/>
          <w:b/>
          <w:color w:val="4E81BD"/>
          <w:sz w:val="24"/>
        </w:rPr>
        <w:t>Performance</w:t>
      </w:r>
      <w:r>
        <w:rPr>
          <w:rFonts w:ascii="Arial" w:hAnsi="Arial"/>
          <w:b/>
          <w:color w:val="4E81BD"/>
          <w:spacing w:val="-4"/>
          <w:sz w:val="24"/>
        </w:rPr>
        <w:t> </w:t>
      </w:r>
      <w:r>
        <w:rPr>
          <w:rFonts w:ascii="Arial" w:hAnsi="Arial"/>
          <w:b/>
          <w:color w:val="4E81BD"/>
          <w:sz w:val="24"/>
        </w:rPr>
        <w:t>of</w:t>
      </w:r>
      <w:r>
        <w:rPr>
          <w:rFonts w:ascii="Arial" w:hAnsi="Arial"/>
          <w:b/>
          <w:color w:val="4E81BD"/>
          <w:spacing w:val="-3"/>
          <w:sz w:val="24"/>
        </w:rPr>
        <w:t> </w:t>
      </w:r>
      <w:r>
        <w:rPr>
          <w:rFonts w:ascii="Arial" w:hAnsi="Arial"/>
          <w:b/>
          <w:color w:val="4E81BD"/>
          <w:sz w:val="24"/>
        </w:rPr>
        <w:t>the</w:t>
      </w:r>
      <w:r>
        <w:rPr>
          <w:rFonts w:ascii="Arial" w:hAnsi="Arial"/>
          <w:b/>
          <w:color w:val="4E81BD"/>
          <w:spacing w:val="-3"/>
          <w:sz w:val="24"/>
        </w:rPr>
        <w:t> </w:t>
      </w:r>
      <w:r>
        <w:rPr>
          <w:rFonts w:ascii="Arial" w:hAnsi="Arial"/>
          <w:b/>
          <w:color w:val="4E81BD"/>
          <w:sz w:val="24"/>
        </w:rPr>
        <w:t>Slovak</w:t>
      </w:r>
      <w:r>
        <w:rPr>
          <w:rFonts w:ascii="Arial" w:hAnsi="Arial"/>
          <w:b/>
          <w:color w:val="4E81BD"/>
          <w:spacing w:val="-3"/>
          <w:sz w:val="24"/>
        </w:rPr>
        <w:t> </w:t>
      </w:r>
      <w:r>
        <w:rPr>
          <w:rFonts w:ascii="Arial" w:hAnsi="Arial"/>
          <w:b/>
          <w:color w:val="4E81BD"/>
          <w:sz w:val="24"/>
        </w:rPr>
        <w:t>Republic’s</w:t>
      </w:r>
      <w:r>
        <w:rPr>
          <w:rFonts w:ascii="Arial" w:hAnsi="Arial"/>
          <w:b/>
          <w:color w:val="4E81BD"/>
          <w:spacing w:val="-2"/>
          <w:sz w:val="24"/>
        </w:rPr>
        <w:t> </w:t>
      </w:r>
      <w:r>
        <w:rPr>
          <w:rFonts w:ascii="Arial" w:hAnsi="Arial"/>
          <w:b/>
          <w:color w:val="4E81BD"/>
          <w:sz w:val="24"/>
        </w:rPr>
        <w:t>higher</w:t>
      </w:r>
      <w:r>
        <w:rPr>
          <w:rFonts w:ascii="Arial" w:hAnsi="Arial"/>
          <w:b/>
          <w:color w:val="4E81BD"/>
          <w:spacing w:val="-4"/>
          <w:sz w:val="24"/>
        </w:rPr>
        <w:t> </w:t>
      </w:r>
      <w:r>
        <w:rPr>
          <w:rFonts w:ascii="Arial" w:hAnsi="Arial"/>
          <w:b/>
          <w:color w:val="4E81BD"/>
          <w:sz w:val="24"/>
        </w:rPr>
        <w:t>education</w:t>
      </w:r>
      <w:r>
        <w:rPr>
          <w:rFonts w:ascii="Arial" w:hAnsi="Arial"/>
          <w:b/>
          <w:color w:val="4E81BD"/>
          <w:spacing w:val="-3"/>
          <w:sz w:val="24"/>
        </w:rPr>
        <w:t> </w:t>
      </w:r>
      <w:r>
        <w:rPr>
          <w:rFonts w:ascii="Arial" w:hAnsi="Arial"/>
          <w:b/>
          <w:color w:val="4E81BD"/>
          <w:sz w:val="24"/>
        </w:rPr>
        <w:t>system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06"/>
        <w:jc w:val="both"/>
      </w:pPr>
      <w:r>
        <w:rPr/>
        <w:t>The</w:t>
      </w:r>
      <w:r>
        <w:rPr>
          <w:spacing w:val="-13"/>
        </w:rPr>
        <w:t> </w:t>
      </w:r>
      <w:r>
        <w:rPr/>
        <w:t>Slovak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system</w:t>
      </w:r>
      <w:r>
        <w:rPr>
          <w:spacing w:val="-7"/>
        </w:rPr>
        <w:t> </w:t>
      </w:r>
      <w:r>
        <w:rPr/>
        <w:t>experienced</w:t>
      </w:r>
      <w:r>
        <w:rPr>
          <w:spacing w:val="-13"/>
        </w:rPr>
        <w:t> </w:t>
      </w:r>
      <w:r>
        <w:rPr/>
        <w:t>rapid</w:t>
      </w:r>
      <w:r>
        <w:rPr>
          <w:spacing w:val="-9"/>
        </w:rPr>
        <w:t> </w:t>
      </w:r>
      <w:r>
        <w:rPr/>
        <w:t>enrolment</w:t>
      </w:r>
      <w:r>
        <w:rPr>
          <w:spacing w:val="-11"/>
        </w:rPr>
        <w:t> </w:t>
      </w:r>
      <w:r>
        <w:rPr/>
        <w:t>growth</w:t>
      </w:r>
      <w:r>
        <w:rPr>
          <w:spacing w:val="-10"/>
        </w:rPr>
        <w:t> </w:t>
      </w:r>
      <w:r>
        <w:rPr/>
        <w:t>between</w:t>
      </w:r>
      <w:r>
        <w:rPr>
          <w:spacing w:val="-9"/>
        </w:rPr>
        <w:t> </w:t>
      </w:r>
      <w:r>
        <w:rPr/>
        <w:t>1990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2009,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by</w:t>
      </w:r>
      <w:r>
        <w:rPr>
          <w:spacing w:val="1"/>
        </w:rPr>
        <w:t> </w:t>
      </w:r>
      <w:r>
        <w:rPr/>
        <w:t>2019 about 39% of Slovaks aged 25-34 had obtained a higher education qualification, which was more</w:t>
      </w:r>
      <w:r>
        <w:rPr>
          <w:spacing w:val="1"/>
        </w:rPr>
        <w:t> </w:t>
      </w:r>
      <w:r>
        <w:rPr/>
        <w:t>than double that of 2009. Since 2009, the country has seen a steady decline in student enrolment. While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due,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part,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falling</w:t>
      </w:r>
      <w:r>
        <w:rPr>
          <w:spacing w:val="-11"/>
        </w:rPr>
        <w:t> </w:t>
      </w:r>
      <w:r>
        <w:rPr>
          <w:spacing w:val="-1"/>
        </w:rPr>
        <w:t>school-age</w:t>
      </w:r>
      <w:r>
        <w:rPr>
          <w:spacing w:val="-13"/>
        </w:rPr>
        <w:t> </w:t>
      </w:r>
      <w:r>
        <w:rPr>
          <w:spacing w:val="-1"/>
        </w:rPr>
        <w:t>cohorts,</w:t>
      </w:r>
      <w:r>
        <w:rPr>
          <w:spacing w:val="-11"/>
        </w:rPr>
        <w:t> </w:t>
      </w:r>
      <w:r>
        <w:rPr>
          <w:spacing w:val="-1"/>
        </w:rPr>
        <w:t>there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/>
        <w:t>serious</w:t>
      </w:r>
      <w:r>
        <w:rPr>
          <w:spacing w:val="-12"/>
        </w:rPr>
        <w:t> </w:t>
      </w:r>
      <w:r>
        <w:rPr/>
        <w:t>concerns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Slovak</w:t>
      </w:r>
      <w:r>
        <w:rPr>
          <w:spacing w:val="-10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insufficient to</w:t>
      </w:r>
      <w:r>
        <w:rPr>
          <w:spacing w:val="-2"/>
        </w:rPr>
        <w:t> </w:t>
      </w:r>
      <w:r>
        <w:rPr/>
        <w:t>attract</w:t>
      </w:r>
      <w:r>
        <w:rPr>
          <w:spacing w:val="1"/>
        </w:rPr>
        <w:t> </w:t>
      </w:r>
      <w:r>
        <w:rPr/>
        <w:t>young</w:t>
      </w:r>
      <w:r>
        <w:rPr>
          <w:spacing w:val="-2"/>
        </w:rPr>
        <w:t> </w:t>
      </w:r>
      <w:r>
        <w:rPr/>
        <w:t>Slovaks.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Despite a rise in international student enrolment, close to one out of five Slovak learners chooses to</w:t>
      </w:r>
      <w:r>
        <w:rPr>
          <w:spacing w:val="1"/>
        </w:rPr>
        <w:t> </w:t>
      </w:r>
      <w:r>
        <w:rPr/>
        <w:t>undertake higher education abroad, a share second only to Luxembourg in the OECD. While higher</w:t>
      </w:r>
      <w:r>
        <w:rPr>
          <w:spacing w:val="1"/>
        </w:rPr>
        <w:t> </w:t>
      </w:r>
      <w:r>
        <w:rPr>
          <w:spacing w:val="-1"/>
        </w:rPr>
        <w:t>education</w:t>
      </w:r>
      <w:r>
        <w:rPr>
          <w:spacing w:val="-14"/>
        </w:rPr>
        <w:t> </w:t>
      </w:r>
      <w:r>
        <w:rPr>
          <w:spacing w:val="-1"/>
        </w:rPr>
        <w:t>graduates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13"/>
        </w:rPr>
        <w:t> </w:t>
      </w:r>
      <w:r>
        <w:rPr>
          <w:spacing w:val="-1"/>
        </w:rPr>
        <w:t>higher</w:t>
      </w:r>
      <w:r>
        <w:rPr>
          <w:spacing w:val="-15"/>
        </w:rPr>
        <w:t> </w:t>
      </w:r>
      <w:r>
        <w:rPr>
          <w:spacing w:val="-1"/>
        </w:rPr>
        <w:t>employment</w:t>
      </w:r>
      <w:r>
        <w:rPr>
          <w:spacing w:val="-14"/>
        </w:rPr>
        <w:t> </w:t>
      </w:r>
      <w:r>
        <w:rPr>
          <w:spacing w:val="-1"/>
        </w:rPr>
        <w:t>rates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wages</w:t>
      </w:r>
      <w:r>
        <w:rPr>
          <w:spacing w:val="-15"/>
        </w:rPr>
        <w:t> </w:t>
      </w:r>
      <w:r>
        <w:rPr>
          <w:spacing w:val="-1"/>
        </w:rPr>
        <w:t>than</w:t>
      </w:r>
      <w:r>
        <w:rPr>
          <w:spacing w:val="-13"/>
        </w:rPr>
        <w:t> </w:t>
      </w:r>
      <w:r>
        <w:rPr>
          <w:spacing w:val="-1"/>
        </w:rPr>
        <w:t>individuals</w:t>
      </w:r>
      <w:r>
        <w:rPr>
          <w:spacing w:val="-11"/>
        </w:rPr>
        <w:t> </w:t>
      </w:r>
      <w:r>
        <w:rPr>
          <w:spacing w:val="-1"/>
        </w:rPr>
        <w:t>who</w:t>
      </w:r>
      <w:r>
        <w:rPr>
          <w:spacing w:val="-14"/>
        </w:rPr>
        <w:t> </w:t>
      </w:r>
      <w:r>
        <w:rPr/>
        <w:t>have</w:t>
      </w:r>
      <w:r>
        <w:rPr>
          <w:spacing w:val="-13"/>
        </w:rPr>
        <w:t> </w:t>
      </w:r>
      <w:r>
        <w:rPr/>
        <w:t>completed</w:t>
      </w:r>
      <w:r>
        <w:rPr>
          <w:spacing w:val="-13"/>
        </w:rPr>
        <w:t> </w:t>
      </w:r>
      <w:r>
        <w:rPr/>
        <w:t>upper</w:t>
      </w:r>
      <w:r>
        <w:rPr>
          <w:spacing w:val="1"/>
        </w:rPr>
        <w:t> </w:t>
      </w:r>
      <w:r>
        <w:rPr/>
        <w:t>secondary education or less, these employment and earnings premia are lower in the Slovak Republic</w:t>
      </w:r>
      <w:r>
        <w:rPr>
          <w:spacing w:val="1"/>
        </w:rPr>
        <w:t> </w:t>
      </w:r>
      <w:r>
        <w:rPr/>
        <w:t>than on average among OECD countries. Labour market mismatches, especially over-qualification, are</w:t>
      </w:r>
      <w:r>
        <w:rPr>
          <w:spacing w:val="1"/>
        </w:rPr>
        <w:t> </w:t>
      </w:r>
      <w:r>
        <w:rPr/>
        <w:t>common,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part</w:t>
      </w:r>
      <w:r>
        <w:rPr>
          <w:spacing w:val="-4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inability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-2"/>
        </w:rPr>
        <w:t> </w:t>
      </w:r>
      <w:r>
        <w:rPr/>
        <w:t>higher</w:t>
      </w:r>
      <w:r>
        <w:rPr>
          <w:spacing w:val="-4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system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adapt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changing</w:t>
      </w:r>
      <w:r>
        <w:rPr>
          <w:spacing w:val="-6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 labour market</w:t>
      </w:r>
      <w:r>
        <w:rPr>
          <w:spacing w:val="-2"/>
        </w:rPr>
        <w:t> </w:t>
      </w:r>
      <w:r>
        <w:rPr/>
        <w:t>needs.</w:t>
      </w:r>
    </w:p>
    <w:p>
      <w:pPr>
        <w:pStyle w:val="BodyText"/>
        <w:spacing w:line="271" w:lineRule="auto" w:before="120"/>
        <w:ind w:left="183" w:right="302"/>
        <w:jc w:val="both"/>
      </w:pPr>
      <w:r>
        <w:rPr/>
        <w:t>The Slovak Republic has a good basis of skills on which to build as Slovak higher education graduates</w:t>
      </w:r>
      <w:r>
        <w:rPr>
          <w:spacing w:val="1"/>
        </w:rPr>
        <w:t> </w:t>
      </w:r>
      <w:r>
        <w:rPr/>
        <w:t>perform higher than average on the literacy and numeracy assessments of the OECD Survey of Adult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technologically</w:t>
      </w:r>
      <w:r>
        <w:rPr>
          <w:spacing w:val="-16"/>
        </w:rPr>
        <w:t> </w:t>
      </w:r>
      <w:r>
        <w:rPr>
          <w:spacing w:val="-1"/>
        </w:rPr>
        <w:t>rich</w:t>
      </w:r>
      <w:r>
        <w:rPr>
          <w:spacing w:val="-11"/>
        </w:rPr>
        <w:t> </w:t>
      </w:r>
      <w:r>
        <w:rPr>
          <w:spacing w:val="-1"/>
        </w:rPr>
        <w:t>environment.</w:t>
      </w:r>
      <w:r>
        <w:rPr>
          <w:spacing w:val="-13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particular</w:t>
      </w:r>
      <w:r>
        <w:rPr>
          <w:spacing w:val="-12"/>
        </w:rPr>
        <w:t> </w:t>
      </w:r>
      <w:r>
        <w:rPr>
          <w:spacing w:val="-1"/>
        </w:rPr>
        <w:t>problem</w:t>
      </w:r>
      <w:r>
        <w:rPr>
          <w:spacing w:val="-9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expansion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digital</w:t>
      </w:r>
      <w:r>
        <w:rPr>
          <w:spacing w:val="-14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is expected to affect the Slovak economy more than that of other countries: the Slovak Republic is the</w:t>
      </w:r>
      <w:r>
        <w:rPr>
          <w:spacing w:val="1"/>
        </w:rPr>
        <w:t> </w:t>
      </w:r>
      <w:r>
        <w:rPr/>
        <w:t>OECD</w:t>
      </w:r>
      <w:r>
        <w:rPr>
          <w:spacing w:val="-11"/>
        </w:rPr>
        <w:t> </w:t>
      </w:r>
      <w:r>
        <w:rPr/>
        <w:t>country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highest</w:t>
      </w:r>
      <w:r>
        <w:rPr>
          <w:spacing w:val="-11"/>
        </w:rPr>
        <w:t> </w:t>
      </w:r>
      <w:r>
        <w:rPr/>
        <w:t>share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jobs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risk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automation</w:t>
      </w:r>
      <w:r>
        <w:rPr>
          <w:spacing w:val="-11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large</w:t>
      </w:r>
      <w:r>
        <w:rPr>
          <w:spacing w:val="-11"/>
        </w:rPr>
        <w:t> </w:t>
      </w:r>
      <w:r>
        <w:rPr/>
        <w:t>size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its</w:t>
      </w:r>
      <w:r>
        <w:rPr>
          <w:spacing w:val="-13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sector. The higher education system will therefore need to equip graduates with skills for a labour market</w:t>
      </w:r>
      <w:r>
        <w:rPr>
          <w:spacing w:val="-53"/>
        </w:rPr>
        <w:t> </w:t>
      </w:r>
      <w:r>
        <w:rPr/>
        <w:t>in which newly created jobs will more often demand digital skills than those they replace. In addition,</w:t>
      </w:r>
      <w:r>
        <w:rPr>
          <w:spacing w:val="1"/>
        </w:rPr>
        <w:t> </w:t>
      </w:r>
      <w:r>
        <w:rPr/>
        <w:t>transversal skills, those applicable in a wide range of settings, including socio-emotional skills, will be</w:t>
      </w:r>
      <w:r>
        <w:rPr>
          <w:spacing w:val="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young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and workers</w:t>
      </w:r>
      <w:r>
        <w:rPr>
          <w:spacing w:val="1"/>
        </w:rPr>
        <w:t> </w:t>
      </w:r>
      <w:r>
        <w:rPr/>
        <w:t>who</w:t>
      </w:r>
      <w:r>
        <w:rPr>
          <w:spacing w:val="2"/>
        </w:rPr>
        <w:t> </w:t>
      </w:r>
      <w:r>
        <w:rPr/>
        <w:t>will</w:t>
      </w:r>
      <w:r>
        <w:rPr>
          <w:spacing w:val="-1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jobs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careers.</w:t>
      </w:r>
    </w:p>
    <w:p>
      <w:pPr>
        <w:pStyle w:val="BodyText"/>
        <w:spacing w:line="271" w:lineRule="auto" w:before="123"/>
        <w:ind w:left="183" w:right="300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research</w:t>
      </w:r>
      <w:r>
        <w:rPr>
          <w:spacing w:val="-13"/>
        </w:rPr>
        <w:t> </w:t>
      </w:r>
      <w:r>
        <w:rPr>
          <w:spacing w:val="-1"/>
        </w:rPr>
        <w:t>activity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Slovak</w:t>
      </w:r>
      <w:r>
        <w:rPr>
          <w:spacing w:val="5"/>
        </w:rPr>
        <w:t> </w:t>
      </w:r>
      <w:r>
        <w:rPr>
          <w:spacing w:val="-1"/>
        </w:rPr>
        <w:t>Republic’s</w:t>
      </w:r>
      <w:r>
        <w:rPr>
          <w:spacing w:val="-10"/>
        </w:rPr>
        <w:t> </w:t>
      </w:r>
      <w:r>
        <w:rPr>
          <w:spacing w:val="-1"/>
        </w:rPr>
        <w:t>higher</w:t>
      </w:r>
      <w:r>
        <w:rPr>
          <w:spacing w:val="-12"/>
        </w:rPr>
        <w:t> </w:t>
      </w:r>
      <w:r>
        <w:rPr>
          <w:spacing w:val="-1"/>
        </w:rPr>
        <w:t>education</w:t>
      </w:r>
      <w:r>
        <w:rPr>
          <w:spacing w:val="-13"/>
        </w:rPr>
        <w:t> </w:t>
      </w:r>
      <w:r>
        <w:rPr>
          <w:spacing w:val="-1"/>
        </w:rPr>
        <w:t>institutions</w:t>
      </w:r>
      <w:r>
        <w:rPr>
          <w:spacing w:val="-12"/>
        </w:rPr>
        <w:t> </w:t>
      </w:r>
      <w:r>
        <w:rPr/>
        <w:t>(HEIs)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modest,</w:t>
      </w:r>
      <w:r>
        <w:rPr>
          <w:spacing w:val="-13"/>
        </w:rPr>
        <w:t> </w:t>
      </w:r>
      <w:r>
        <w:rPr/>
        <w:t>comparatively</w:t>
      </w:r>
      <w:r>
        <w:rPr>
          <w:spacing w:val="1"/>
        </w:rPr>
        <w:t> </w:t>
      </w:r>
      <w:r>
        <w:rPr/>
        <w:t>speaking. Recent policy changes have given academics greater incentives to focus on the quality of their</w:t>
      </w:r>
      <w:r>
        <w:rPr>
          <w:spacing w:val="-53"/>
        </w:rPr>
        <w:t> </w:t>
      </w:r>
      <w:r>
        <w:rPr/>
        <w:t>research,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quantity.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impediments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Slovak</w:t>
      </w:r>
      <w:r>
        <w:rPr>
          <w:spacing w:val="-2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ranging from ineffective funding application and allocation processes to limited collaboration between</w:t>
      </w:r>
      <w:r>
        <w:rPr>
          <w:spacing w:val="1"/>
        </w:rPr>
        <w:t> </w:t>
      </w:r>
      <w:r>
        <w:rPr/>
        <w:t>academic researchers and the private sector. While the Slovak Republic’s accession to the European</w:t>
      </w:r>
      <w:r>
        <w:rPr>
          <w:spacing w:val="1"/>
        </w:rPr>
        <w:t> </w:t>
      </w:r>
      <w:r>
        <w:rPr>
          <w:spacing w:val="-1"/>
        </w:rPr>
        <w:t>Union</w:t>
      </w:r>
      <w:r>
        <w:rPr>
          <w:spacing w:val="-13"/>
        </w:rPr>
        <w:t> </w:t>
      </w:r>
      <w:r>
        <w:rPr>
          <w:spacing w:val="-1"/>
        </w:rPr>
        <w:t>(EU)</w:t>
      </w:r>
      <w:r>
        <w:rPr>
          <w:spacing w:val="-12"/>
        </w:rPr>
        <w:t> </w:t>
      </w:r>
      <w:r>
        <w:rPr>
          <w:spacing w:val="-1"/>
        </w:rPr>
        <w:t>created</w:t>
      </w:r>
      <w:r>
        <w:rPr>
          <w:spacing w:val="-14"/>
        </w:rPr>
        <w:t> </w:t>
      </w:r>
      <w:r>
        <w:rPr>
          <w:spacing w:val="-1"/>
        </w:rPr>
        <w:t>new</w:t>
      </w:r>
      <w:r>
        <w:rPr>
          <w:spacing w:val="-15"/>
        </w:rPr>
        <w:t> </w:t>
      </w:r>
      <w:r>
        <w:rPr>
          <w:spacing w:val="-1"/>
        </w:rPr>
        <w:t>funding</w:t>
      </w:r>
      <w:r>
        <w:rPr>
          <w:spacing w:val="-12"/>
        </w:rPr>
        <w:t> </w:t>
      </w:r>
      <w:r>
        <w:rPr>
          <w:spacing w:val="-1"/>
        </w:rPr>
        <w:t>opportunities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research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development,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country</w:t>
      </w:r>
      <w:r>
        <w:rPr>
          <w:spacing w:val="-14"/>
        </w:rPr>
        <w:t> </w:t>
      </w:r>
      <w:r>
        <w:rPr/>
        <w:t>has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poor</w:t>
      </w:r>
      <w:r>
        <w:rPr>
          <w:spacing w:val="-11"/>
        </w:rPr>
        <w:t> </w:t>
      </w:r>
      <w:r>
        <w:rPr/>
        <w:t>record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making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those</w:t>
      </w:r>
      <w:r>
        <w:rPr>
          <w:spacing w:val="-1"/>
        </w:rPr>
        <w:t> </w:t>
      </w:r>
      <w:r>
        <w:rPr/>
        <w:t>opportunities.</w:t>
      </w:r>
    </w:p>
    <w:p>
      <w:pPr>
        <w:pStyle w:val="BodyText"/>
        <w:spacing w:before="7"/>
        <w:rPr>
          <w:sz w:val="31"/>
        </w:rPr>
      </w:pPr>
    </w:p>
    <w:p>
      <w:pPr>
        <w:spacing w:before="1"/>
        <w:ind w:left="183" w:right="0" w:firstLine="0"/>
        <w:jc w:val="both"/>
        <w:rPr>
          <w:rFonts w:ascii="Arial" w:hAnsi="Arial"/>
          <w:b/>
          <w:sz w:val="24"/>
        </w:rPr>
      </w:pPr>
      <w:bookmarkStart w:name="Reforming the Slovak Republic’s higher e" w:id="8"/>
      <w:bookmarkEnd w:id="8"/>
      <w:r>
        <w:rPr/>
      </w:r>
      <w:r>
        <w:rPr>
          <w:rFonts w:ascii="Arial" w:hAnsi="Arial"/>
          <w:b/>
          <w:color w:val="4E81BD"/>
          <w:sz w:val="24"/>
        </w:rPr>
        <w:t>Reforming</w:t>
      </w:r>
      <w:r>
        <w:rPr>
          <w:rFonts w:ascii="Arial" w:hAnsi="Arial"/>
          <w:b/>
          <w:color w:val="4E81BD"/>
          <w:spacing w:val="-5"/>
          <w:sz w:val="24"/>
        </w:rPr>
        <w:t> </w:t>
      </w:r>
      <w:r>
        <w:rPr>
          <w:rFonts w:ascii="Arial" w:hAnsi="Arial"/>
          <w:b/>
          <w:color w:val="4E81BD"/>
          <w:sz w:val="24"/>
        </w:rPr>
        <w:t>the</w:t>
      </w:r>
      <w:r>
        <w:rPr>
          <w:rFonts w:ascii="Arial" w:hAnsi="Arial"/>
          <w:b/>
          <w:color w:val="4E81BD"/>
          <w:spacing w:val="-4"/>
          <w:sz w:val="24"/>
        </w:rPr>
        <w:t> </w:t>
      </w:r>
      <w:r>
        <w:rPr>
          <w:rFonts w:ascii="Arial" w:hAnsi="Arial"/>
          <w:b/>
          <w:color w:val="4E81BD"/>
          <w:sz w:val="24"/>
        </w:rPr>
        <w:t>Slovak</w:t>
      </w:r>
      <w:r>
        <w:rPr>
          <w:rFonts w:ascii="Arial" w:hAnsi="Arial"/>
          <w:b/>
          <w:color w:val="4E81BD"/>
          <w:spacing w:val="-3"/>
          <w:sz w:val="24"/>
        </w:rPr>
        <w:t> </w:t>
      </w:r>
      <w:r>
        <w:rPr>
          <w:rFonts w:ascii="Arial" w:hAnsi="Arial"/>
          <w:b/>
          <w:color w:val="4E81BD"/>
          <w:sz w:val="24"/>
        </w:rPr>
        <w:t>Republic’s</w:t>
      </w:r>
      <w:r>
        <w:rPr>
          <w:rFonts w:ascii="Arial" w:hAnsi="Arial"/>
          <w:b/>
          <w:color w:val="4E81BD"/>
          <w:spacing w:val="-3"/>
          <w:sz w:val="24"/>
        </w:rPr>
        <w:t> </w:t>
      </w:r>
      <w:r>
        <w:rPr>
          <w:rFonts w:ascii="Arial" w:hAnsi="Arial"/>
          <w:b/>
          <w:color w:val="4E81BD"/>
          <w:sz w:val="24"/>
        </w:rPr>
        <w:t>higher</w:t>
      </w:r>
      <w:r>
        <w:rPr>
          <w:rFonts w:ascii="Arial" w:hAnsi="Arial"/>
          <w:b/>
          <w:color w:val="4E81BD"/>
          <w:spacing w:val="-5"/>
          <w:sz w:val="24"/>
        </w:rPr>
        <w:t> </w:t>
      </w:r>
      <w:r>
        <w:rPr>
          <w:rFonts w:ascii="Arial" w:hAnsi="Arial"/>
          <w:b/>
          <w:color w:val="4E81BD"/>
          <w:sz w:val="24"/>
        </w:rPr>
        <w:t>education</w:t>
      </w:r>
      <w:r>
        <w:rPr>
          <w:rFonts w:ascii="Arial" w:hAnsi="Arial"/>
          <w:b/>
          <w:color w:val="4E81BD"/>
          <w:spacing w:val="-3"/>
          <w:sz w:val="24"/>
        </w:rPr>
        <w:t> </w:t>
      </w:r>
      <w:r>
        <w:rPr>
          <w:rFonts w:ascii="Arial" w:hAnsi="Arial"/>
          <w:b/>
          <w:color w:val="4E81BD"/>
          <w:sz w:val="24"/>
        </w:rPr>
        <w:t>system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line="271" w:lineRule="auto" w:before="1"/>
        <w:ind w:left="183" w:right="303"/>
        <w:jc w:val="both"/>
      </w:pPr>
      <w:r>
        <w:rPr/>
        <w:t>Higher education system reform is a complex undertaking that requires strong collaboration between</w:t>
      </w:r>
      <w:r>
        <w:rPr>
          <w:spacing w:val="1"/>
        </w:rPr>
        <w:t> </w:t>
      </w:r>
      <w:r>
        <w:rPr/>
        <w:t>national policy makers and autonomous HEIs to be successful. In the Slovak Republic, higher education</w:t>
      </w:r>
      <w:r>
        <w:rPr>
          <w:spacing w:val="1"/>
        </w:rPr>
        <w:t> </w:t>
      </w:r>
      <w:r>
        <w:rPr/>
        <w:t>stakeholders have not reached broad agreement about the problems they face and their causes. They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16"/>
        </w:rPr>
        <w:t> </w:t>
      </w:r>
      <w:r>
        <w:rPr>
          <w:spacing w:val="-1"/>
        </w:rPr>
        <w:t>found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3"/>
        </w:rPr>
        <w:t> </w:t>
      </w:r>
      <w:r>
        <w:rPr>
          <w:spacing w:val="-1"/>
        </w:rPr>
        <w:t>difficult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formulate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shared</w:t>
      </w:r>
      <w:r>
        <w:rPr>
          <w:spacing w:val="-14"/>
        </w:rPr>
        <w:t> </w:t>
      </w:r>
      <w:r>
        <w:rPr>
          <w:spacing w:val="-1"/>
        </w:rPr>
        <w:t>vision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/>
        <w:t>can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translated</w:t>
      </w:r>
      <w:r>
        <w:rPr>
          <w:spacing w:val="-14"/>
        </w:rPr>
        <w:t> </w:t>
      </w:r>
      <w:r>
        <w:rPr/>
        <w:t>into</w:t>
      </w:r>
      <w:r>
        <w:rPr>
          <w:spacing w:val="-15"/>
        </w:rPr>
        <w:t> </w:t>
      </w:r>
      <w:r>
        <w:rPr/>
        <w:t>concrete</w:t>
      </w:r>
      <w:r>
        <w:rPr>
          <w:spacing w:val="-16"/>
        </w:rPr>
        <w:t> </w:t>
      </w:r>
      <w:r>
        <w:rPr/>
        <w:t>policy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institutional</w:t>
      </w:r>
    </w:p>
    <w:p>
      <w:pPr>
        <w:spacing w:after="0" w:line="271" w:lineRule="auto"/>
        <w:jc w:val="both"/>
        <w:sectPr>
          <w:headerReference w:type="default" r:id="rId26"/>
          <w:headerReference w:type="even" r:id="rId27"/>
          <w:footerReference w:type="default" r:id="rId28"/>
          <w:footerReference w:type="even" r:id="rId29"/>
          <w:pgSz w:w="11910" w:h="15880"/>
          <w:pgMar w:header="734" w:footer="731" w:top="1140" w:bottom="920" w:left="1120" w:right="1000"/>
          <w:pgNumType w:start="9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6"/>
        <w:jc w:val="both"/>
      </w:pPr>
      <w:r>
        <w:rPr/>
        <w:t>actions, shape the financing of the system, and result in a model of higher education institutional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that effectively</w:t>
      </w:r>
      <w:r>
        <w:rPr>
          <w:spacing w:val="-5"/>
        </w:rPr>
        <w:t> </w:t>
      </w:r>
      <w:r>
        <w:rPr/>
        <w:t>balances</w:t>
      </w:r>
      <w:r>
        <w:rPr>
          <w:spacing w:val="-1"/>
        </w:rPr>
        <w:t> </w:t>
      </w:r>
      <w:r>
        <w:rPr/>
        <w:t>autonomy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responsiveness.</w:t>
      </w:r>
    </w:p>
    <w:p>
      <w:pPr>
        <w:pStyle w:val="BodyText"/>
        <w:spacing w:line="271" w:lineRule="auto" w:before="118"/>
        <w:ind w:left="183" w:right="302"/>
        <w:jc w:val="both"/>
      </w:pPr>
      <w:r>
        <w:rPr/>
        <w:t>Nonetheless, successive Slovak governments have articulated ambitious reform goals, and they have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reforms.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amending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different</w:t>
      </w:r>
      <w:r>
        <w:rPr>
          <w:spacing w:val="-53"/>
        </w:rPr>
        <w:t> </w:t>
      </w:r>
      <w:r>
        <w:rPr/>
        <w:t>institutional types by mission and introducing performance-related components in the institutional funding</w:t>
      </w:r>
      <w:r>
        <w:rPr>
          <w:spacing w:val="-53"/>
        </w:rPr>
        <w:t> </w:t>
      </w:r>
      <w:r>
        <w:rPr/>
        <w:t>formula.</w:t>
      </w:r>
      <w:r>
        <w:rPr>
          <w:spacing w:val="-8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8"/>
        </w:rPr>
        <w:t> </w:t>
      </w:r>
      <w:r>
        <w:rPr/>
        <w:t>reforms</w:t>
      </w:r>
      <w:r>
        <w:rPr>
          <w:spacing w:val="-4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system’s</w:t>
      </w:r>
      <w:r>
        <w:rPr>
          <w:spacing w:val="-5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has</w:t>
      </w:r>
      <w:r>
        <w:rPr>
          <w:spacing w:val="1"/>
        </w:rPr>
        <w:t> </w:t>
      </w:r>
      <w:r>
        <w:rPr/>
        <w:t>been limited to date. A major reform of quality assurance, passed in 2018 and to be implemented by the</w:t>
      </w:r>
      <w:r>
        <w:rPr>
          <w:spacing w:val="1"/>
        </w:rPr>
        <w:t> </w:t>
      </w:r>
      <w:r>
        <w:rPr/>
        <w:t>end of 2022, requires HEIs to put internal structures and processes in place to assure and improve</w:t>
      </w:r>
      <w:r>
        <w:rPr>
          <w:spacing w:val="1"/>
        </w:rPr>
        <w:t> </w:t>
      </w:r>
      <w:r>
        <w:rPr/>
        <w:t>educational quality. The reform of quality assurance holds significant promise for driving a greater focus</w:t>
      </w:r>
      <w:r>
        <w:rPr>
          <w:spacing w:val="1"/>
        </w:rPr>
        <w:t> </w:t>
      </w:r>
      <w:r>
        <w:rPr/>
        <w:t>on quality in HEIs. However, it will take time to realise its full effects and its impact will depend upon</w:t>
      </w:r>
      <w:r>
        <w:rPr>
          <w:spacing w:val="1"/>
        </w:rPr>
        <w:t> </w:t>
      </w:r>
      <w:r>
        <w:rPr/>
        <w:t>complementary</w:t>
      </w:r>
      <w:r>
        <w:rPr>
          <w:spacing w:val="-5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system’s</w:t>
      </w:r>
      <w:r>
        <w:rPr>
          <w:spacing w:val="-2"/>
        </w:rPr>
        <w:t> </w:t>
      </w:r>
      <w:r>
        <w:rPr/>
        <w:t>financing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governance.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From a financial perspective, the combination of low levels of government investment and fast enrolment</w:t>
      </w:r>
      <w:r>
        <w:rPr>
          <w:spacing w:val="1"/>
        </w:rPr>
        <w:t> </w:t>
      </w:r>
      <w:r>
        <w:rPr/>
        <w:t>growth between 1990-2009 led to substantial under-funding compared to other OECD countries. In the</w:t>
      </w:r>
      <w:r>
        <w:rPr>
          <w:spacing w:val="1"/>
        </w:rPr>
        <w:t> </w:t>
      </w:r>
      <w:r>
        <w:rPr>
          <w:w w:val="95"/>
        </w:rPr>
        <w:t>past</w:t>
      </w:r>
      <w:r>
        <w:rPr>
          <w:spacing w:val="10"/>
          <w:w w:val="95"/>
        </w:rPr>
        <w:t> </w:t>
      </w:r>
      <w:r>
        <w:rPr>
          <w:w w:val="95"/>
        </w:rPr>
        <w:t>decade,</w:t>
      </w:r>
      <w:r>
        <w:rPr>
          <w:spacing w:val="14"/>
          <w:w w:val="95"/>
        </w:rPr>
        <w:t> </w:t>
      </w:r>
      <w:r>
        <w:rPr>
          <w:w w:val="95"/>
        </w:rPr>
        <w:t>per-student</w:t>
      </w:r>
      <w:r>
        <w:rPr>
          <w:spacing w:val="13"/>
          <w:w w:val="95"/>
        </w:rPr>
        <w:t> </w:t>
      </w:r>
      <w:r>
        <w:rPr>
          <w:w w:val="95"/>
        </w:rPr>
        <w:t>funding</w:t>
      </w:r>
      <w:r>
        <w:rPr>
          <w:spacing w:val="14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risen</w:t>
      </w:r>
      <w:r>
        <w:rPr>
          <w:spacing w:val="10"/>
          <w:w w:val="95"/>
        </w:rPr>
        <w:t> </w:t>
      </w:r>
      <w:r>
        <w:rPr>
          <w:w w:val="95"/>
        </w:rPr>
        <w:t>due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falling</w:t>
      </w:r>
      <w:r>
        <w:rPr>
          <w:spacing w:val="11"/>
          <w:w w:val="95"/>
        </w:rPr>
        <w:t> </w:t>
      </w:r>
      <w:r>
        <w:rPr>
          <w:w w:val="95"/>
        </w:rPr>
        <w:t>student</w:t>
      </w:r>
      <w:r>
        <w:rPr>
          <w:spacing w:val="13"/>
          <w:w w:val="95"/>
        </w:rPr>
        <w:t> </w:t>
      </w:r>
      <w:r>
        <w:rPr>
          <w:w w:val="95"/>
        </w:rPr>
        <w:t>numbers</w:t>
      </w:r>
      <w:r>
        <w:rPr>
          <w:spacing w:val="12"/>
          <w:w w:val="95"/>
        </w:rPr>
        <w:t> </w:t>
      </w:r>
      <w:r>
        <w:rPr>
          <w:w w:val="95"/>
        </w:rPr>
        <w:t>but</w:t>
      </w:r>
      <w:r>
        <w:rPr>
          <w:spacing w:val="11"/>
          <w:w w:val="95"/>
        </w:rPr>
        <w:t> </w:t>
      </w:r>
      <w:r>
        <w:rPr>
          <w:w w:val="95"/>
        </w:rPr>
        <w:t>remains</w:t>
      </w:r>
      <w:r>
        <w:rPr>
          <w:spacing w:val="12"/>
          <w:w w:val="95"/>
        </w:rPr>
        <w:t> </w:t>
      </w:r>
      <w:r>
        <w:rPr>
          <w:w w:val="95"/>
        </w:rPr>
        <w:t>at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level</w:t>
      </w:r>
      <w:r>
        <w:rPr>
          <w:spacing w:val="14"/>
          <w:w w:val="95"/>
        </w:rPr>
        <w:t> </w:t>
      </w:r>
      <w:r>
        <w:rPr>
          <w:w w:val="95"/>
        </w:rPr>
        <w:t>insufficient</w:t>
      </w:r>
      <w:r>
        <w:rPr>
          <w:spacing w:val="1"/>
          <w:w w:val="95"/>
        </w:rPr>
        <w:t> </w:t>
      </w:r>
      <w:r>
        <w:rPr/>
        <w:t>to</w:t>
      </w:r>
      <w:r>
        <w:rPr>
          <w:spacing w:val="-7"/>
        </w:rPr>
        <w:t> </w:t>
      </w:r>
      <w:r>
        <w:rPr/>
        <w:t>spur</w:t>
      </w:r>
      <w:r>
        <w:rPr>
          <w:spacing w:val="-6"/>
        </w:rPr>
        <w:t> </w:t>
      </w:r>
      <w:r>
        <w:rPr/>
        <w:t>reform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improvement.</w:t>
      </w:r>
      <w:r>
        <w:rPr>
          <w:spacing w:val="-11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European</w:t>
      </w:r>
      <w:r>
        <w:rPr>
          <w:spacing w:val="-7"/>
        </w:rPr>
        <w:t> </w:t>
      </w:r>
      <w:r>
        <w:rPr/>
        <w:t>Union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growing</w:t>
      </w:r>
      <w:r>
        <w:rPr>
          <w:spacing w:val="-6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funds,</w:t>
      </w:r>
      <w:r>
        <w:rPr>
          <w:spacing w:val="-3"/>
        </w:rPr>
        <w:t> </w:t>
      </w:r>
      <w:r>
        <w:rPr/>
        <w:t>EU</w:t>
      </w:r>
      <w:r>
        <w:rPr>
          <w:spacing w:val="-6"/>
        </w:rPr>
        <w:t> </w:t>
      </w:r>
      <w:r>
        <w:rPr/>
        <w:t>investments</w:t>
      </w:r>
      <w:r>
        <w:rPr>
          <w:spacing w:val="-53"/>
        </w:rPr>
        <w:t> </w:t>
      </w:r>
      <w:r>
        <w:rPr/>
        <w:t>have centred on infrastructure but not on human resources, which are vital to improving the quality of</w:t>
      </w:r>
      <w:r>
        <w:rPr>
          <w:spacing w:val="1"/>
        </w:rPr>
        <w:t> </w:t>
      </w:r>
      <w:r>
        <w:rPr>
          <w:spacing w:val="-1"/>
        </w:rPr>
        <w:t>teaching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research.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addition,</w:t>
      </w:r>
      <w:r>
        <w:rPr>
          <w:spacing w:val="-11"/>
        </w:rPr>
        <w:t> </w:t>
      </w:r>
      <w:r>
        <w:rPr/>
        <w:t>efforts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hold</w:t>
      </w:r>
      <w:r>
        <w:rPr>
          <w:spacing w:val="-8"/>
        </w:rPr>
        <w:t> </w:t>
      </w:r>
      <w:r>
        <w:rPr/>
        <w:t>publicly</w:t>
      </w:r>
      <w:r>
        <w:rPr>
          <w:spacing w:val="-14"/>
        </w:rPr>
        <w:t> </w:t>
      </w:r>
      <w:r>
        <w:rPr/>
        <w:t>funded</w:t>
      </w:r>
      <w:r>
        <w:rPr>
          <w:spacing w:val="-11"/>
        </w:rPr>
        <w:t> </w:t>
      </w:r>
      <w:r>
        <w:rPr/>
        <w:t>institutions</w:t>
      </w:r>
      <w:r>
        <w:rPr>
          <w:spacing w:val="-9"/>
        </w:rPr>
        <w:t> </w:t>
      </w:r>
      <w:r>
        <w:rPr/>
        <w:t>accountable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outcomes</w:t>
      </w:r>
      <w:r>
        <w:rPr>
          <w:spacing w:val="1"/>
        </w:rPr>
        <w:t> </w:t>
      </w:r>
      <w:r>
        <w:rPr/>
        <w:t>they achieve with public spending are relatively recent and have not focused on assessing and improving</w:t>
      </w:r>
      <w:r>
        <w:rPr>
          <w:spacing w:val="-53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teaching.</w:t>
      </w:r>
    </w:p>
    <w:p>
      <w:pPr>
        <w:pStyle w:val="BodyText"/>
        <w:spacing w:line="271" w:lineRule="auto" w:before="123"/>
        <w:ind w:left="183" w:right="305"/>
        <w:jc w:val="both"/>
      </w:pPr>
      <w:r>
        <w:rPr/>
        <w:t>Institutional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autonomy to be effective and responsive to societal needs while protecting academic freedom are widely</w:t>
      </w:r>
      <w:r>
        <w:rPr>
          <w:spacing w:val="-53"/>
        </w:rPr>
        <w:t> </w:t>
      </w:r>
      <w:r>
        <w:rPr/>
        <w:t>agreed principles. However, it is not easy to translate these principles into appropriate structures and</w:t>
      </w:r>
      <w:r>
        <w:rPr>
          <w:spacing w:val="1"/>
        </w:rPr>
        <w:t> </w:t>
      </w:r>
      <w:r>
        <w:rPr/>
        <w:t>processes, and higher education governance and management are the most contested reform areas</w:t>
      </w:r>
      <w:r>
        <w:rPr>
          <w:spacing w:val="1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this report.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Slovak HEIs have a complex governance structure established in law and applicable to all, despite</w:t>
      </w:r>
      <w:r>
        <w:rPr>
          <w:spacing w:val="1"/>
        </w:rPr>
        <w:t> </w:t>
      </w:r>
      <w:r>
        <w:rPr/>
        <w:t>significant heterogeneity in size and focus among institutions. Slovak law establishes a balance of power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HEIs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>
          <w:spacing w:val="-1"/>
        </w:rPr>
        <w:t>academic</w:t>
      </w:r>
      <w:r>
        <w:rPr>
          <w:spacing w:val="-8"/>
        </w:rPr>
        <w:t> </w:t>
      </w:r>
      <w:r>
        <w:rPr>
          <w:spacing w:val="-1"/>
        </w:rPr>
        <w:t>governing</w:t>
      </w:r>
      <w:r>
        <w:rPr>
          <w:spacing w:val="-11"/>
        </w:rPr>
        <w:t> </w:t>
      </w:r>
      <w:r>
        <w:rPr>
          <w:spacing w:val="-1"/>
        </w:rPr>
        <w:t>bodies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responsible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performing</w:t>
      </w:r>
      <w:r>
        <w:rPr>
          <w:spacing w:val="-10"/>
        </w:rPr>
        <w:t> </w:t>
      </w:r>
      <w:r>
        <w:rPr/>
        <w:t>key</w:t>
      </w:r>
      <w:r>
        <w:rPr>
          <w:spacing w:val="-16"/>
        </w:rPr>
        <w:t> </w:t>
      </w:r>
      <w:r>
        <w:rPr/>
        <w:t>managerial</w:t>
      </w:r>
      <w:r>
        <w:rPr>
          <w:spacing w:val="-10"/>
        </w:rPr>
        <w:t> </w:t>
      </w:r>
      <w:r>
        <w:rPr/>
        <w:t>responsibilities</w:t>
      </w:r>
    </w:p>
    <w:p>
      <w:pPr>
        <w:pStyle w:val="ListParagraph"/>
        <w:numPr>
          <w:ilvl w:val="0"/>
          <w:numId w:val="2"/>
        </w:numPr>
        <w:tabs>
          <w:tab w:pos="379" w:val="left" w:leader="none"/>
        </w:tabs>
        <w:spacing w:line="271" w:lineRule="auto" w:before="1" w:after="0"/>
        <w:ind w:left="183" w:right="301" w:firstLine="0"/>
        <w:jc w:val="both"/>
        <w:rPr>
          <w:sz w:val="20"/>
        </w:rPr>
      </w:pPr>
      <w:r>
        <w:rPr>
          <w:sz w:val="20"/>
        </w:rPr>
        <w:t>such as choosing and potentially dismissing the rector or approving the institutional budget – while</w:t>
      </w:r>
      <w:r>
        <w:rPr>
          <w:spacing w:val="1"/>
          <w:sz w:val="20"/>
        </w:rPr>
        <w:t> </w:t>
      </w:r>
      <w:r>
        <w:rPr>
          <w:sz w:val="20"/>
        </w:rPr>
        <w:t>university rectors have limited managerial tools at their disposal. Higher education institutions continue to</w:t>
      </w:r>
      <w:r>
        <w:rPr>
          <w:spacing w:val="-53"/>
          <w:sz w:val="20"/>
        </w:rPr>
        <w:t> </w:t>
      </w:r>
      <w:r>
        <w:rPr>
          <w:sz w:val="20"/>
        </w:rPr>
        <w:t>be weakly engaged with their wider environment, notwithstanding the creation of boards of trustees. This</w:t>
      </w:r>
      <w:r>
        <w:rPr>
          <w:spacing w:val="1"/>
          <w:sz w:val="20"/>
        </w:rPr>
        <w:t> </w:t>
      </w:r>
      <w:r>
        <w:rPr>
          <w:sz w:val="20"/>
        </w:rPr>
        <w:t>creates</w:t>
      </w:r>
      <w:r>
        <w:rPr>
          <w:spacing w:val="-4"/>
          <w:sz w:val="20"/>
        </w:rPr>
        <w:t> </w:t>
      </w:r>
      <w:r>
        <w:rPr>
          <w:sz w:val="20"/>
        </w:rPr>
        <w:t>problems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transparency,</w:t>
      </w:r>
      <w:r>
        <w:rPr>
          <w:spacing w:val="-3"/>
          <w:sz w:val="20"/>
        </w:rPr>
        <w:t> </w:t>
      </w:r>
      <w:r>
        <w:rPr>
          <w:sz w:val="20"/>
        </w:rPr>
        <w:t>accountability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low</w:t>
      </w:r>
      <w:r>
        <w:rPr>
          <w:spacing w:val="-7"/>
          <w:sz w:val="20"/>
        </w:rPr>
        <w:t> </w:t>
      </w:r>
      <w:r>
        <w:rPr>
          <w:sz w:val="20"/>
        </w:rPr>
        <w:t>responsiveness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needs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Slovak</w:t>
      </w:r>
      <w:r>
        <w:rPr>
          <w:spacing w:val="-2"/>
          <w:sz w:val="20"/>
        </w:rPr>
        <w:t> </w:t>
      </w:r>
      <w:r>
        <w:rPr>
          <w:sz w:val="20"/>
        </w:rPr>
        <w:t>citizens.</w:t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An action plan to improve higher educati" w:id="9"/>
      <w:bookmarkEnd w:id="9"/>
      <w:r>
        <w:rPr/>
      </w:r>
      <w:r>
        <w:rPr>
          <w:rFonts w:ascii="Arial"/>
          <w:b/>
          <w:color w:val="4E81BD"/>
          <w:sz w:val="24"/>
        </w:rPr>
        <w:t>An action</w:t>
      </w:r>
      <w:r>
        <w:rPr>
          <w:rFonts w:ascii="Arial"/>
          <w:b/>
          <w:color w:val="4E81BD"/>
          <w:spacing w:val="-1"/>
          <w:sz w:val="24"/>
        </w:rPr>
        <w:t> </w:t>
      </w:r>
      <w:r>
        <w:rPr>
          <w:rFonts w:ascii="Arial"/>
          <w:b/>
          <w:color w:val="4E81BD"/>
          <w:sz w:val="24"/>
        </w:rPr>
        <w:t>plan</w:t>
      </w:r>
      <w:r>
        <w:rPr>
          <w:rFonts w:ascii="Arial"/>
          <w:b/>
          <w:color w:val="4E81BD"/>
          <w:spacing w:val="-1"/>
          <w:sz w:val="24"/>
        </w:rPr>
        <w:t> </w:t>
      </w:r>
      <w:r>
        <w:rPr>
          <w:rFonts w:ascii="Arial"/>
          <w:b/>
          <w:color w:val="4E81BD"/>
          <w:sz w:val="24"/>
        </w:rPr>
        <w:t>to</w:t>
      </w:r>
      <w:r>
        <w:rPr>
          <w:rFonts w:ascii="Arial"/>
          <w:b/>
          <w:color w:val="4E81BD"/>
          <w:spacing w:val="-1"/>
          <w:sz w:val="24"/>
        </w:rPr>
        <w:t> </w:t>
      </w:r>
      <w:r>
        <w:rPr>
          <w:rFonts w:ascii="Arial"/>
          <w:b/>
          <w:color w:val="4E81BD"/>
          <w:sz w:val="24"/>
        </w:rPr>
        <w:t>improve</w:t>
      </w:r>
      <w:r>
        <w:rPr>
          <w:rFonts w:ascii="Arial"/>
          <w:b/>
          <w:color w:val="4E81BD"/>
          <w:spacing w:val="-2"/>
          <w:sz w:val="24"/>
        </w:rPr>
        <w:t> </w:t>
      </w:r>
      <w:r>
        <w:rPr>
          <w:rFonts w:ascii="Arial"/>
          <w:b/>
          <w:color w:val="4E81BD"/>
          <w:sz w:val="24"/>
        </w:rPr>
        <w:t>higher</w:t>
      </w:r>
      <w:r>
        <w:rPr>
          <w:rFonts w:ascii="Arial"/>
          <w:b/>
          <w:color w:val="4E81BD"/>
          <w:spacing w:val="-2"/>
          <w:sz w:val="24"/>
        </w:rPr>
        <w:t> </w:t>
      </w:r>
      <w:r>
        <w:rPr>
          <w:rFonts w:ascii="Arial"/>
          <w:b/>
          <w:color w:val="4E81BD"/>
          <w:sz w:val="24"/>
        </w:rPr>
        <w:t>education</w:t>
      </w:r>
      <w:r>
        <w:rPr>
          <w:rFonts w:ascii="Arial"/>
          <w:b/>
          <w:color w:val="4E81BD"/>
          <w:spacing w:val="-1"/>
          <w:sz w:val="24"/>
        </w:rPr>
        <w:t> </w:t>
      </w:r>
      <w:r>
        <w:rPr>
          <w:rFonts w:ascii="Arial"/>
          <w:b/>
          <w:color w:val="4E81BD"/>
          <w:sz w:val="24"/>
        </w:rPr>
        <w:t>in</w:t>
      </w:r>
      <w:r>
        <w:rPr>
          <w:rFonts w:ascii="Arial"/>
          <w:b/>
          <w:color w:val="4E81BD"/>
          <w:spacing w:val="-1"/>
          <w:sz w:val="24"/>
        </w:rPr>
        <w:t> </w:t>
      </w:r>
      <w:r>
        <w:rPr>
          <w:rFonts w:ascii="Arial"/>
          <w:b/>
          <w:color w:val="4E81BD"/>
          <w:sz w:val="24"/>
        </w:rPr>
        <w:t>the</w:t>
      </w:r>
      <w:r>
        <w:rPr>
          <w:rFonts w:ascii="Arial"/>
          <w:b/>
          <w:color w:val="4E81BD"/>
          <w:spacing w:val="-1"/>
          <w:sz w:val="24"/>
        </w:rPr>
        <w:t> </w:t>
      </w:r>
      <w:r>
        <w:rPr>
          <w:rFonts w:ascii="Arial"/>
          <w:b/>
          <w:color w:val="4E81BD"/>
          <w:sz w:val="24"/>
        </w:rPr>
        <w:t>Slovak</w:t>
      </w:r>
      <w:r>
        <w:rPr>
          <w:rFonts w:ascii="Arial"/>
          <w:b/>
          <w:color w:val="4E81BD"/>
          <w:spacing w:val="-1"/>
          <w:sz w:val="24"/>
        </w:rPr>
        <w:t> </w:t>
      </w:r>
      <w:r>
        <w:rPr>
          <w:rFonts w:ascii="Arial"/>
          <w:b/>
          <w:color w:val="4E81BD"/>
          <w:sz w:val="24"/>
        </w:rPr>
        <w:t>Republic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02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objective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project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assist</w:t>
      </w:r>
      <w:r>
        <w:rPr>
          <w:spacing w:val="-7"/>
        </w:rPr>
        <w:t> </w:t>
      </w:r>
      <w:r>
        <w:rPr>
          <w:spacing w:val="-1"/>
        </w:rPr>
        <w:t>Slovak</w:t>
      </w:r>
      <w:r>
        <w:rPr>
          <w:spacing w:val="-10"/>
        </w:rPr>
        <w:t> </w:t>
      </w:r>
      <w:r>
        <w:rPr>
          <w:spacing w:val="-1"/>
        </w:rPr>
        <w:t>authorities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developing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implementing</w:t>
      </w:r>
      <w:r>
        <w:rPr>
          <w:spacing w:val="-11"/>
        </w:rPr>
        <w:t> </w:t>
      </w:r>
      <w:r>
        <w:rPr/>
        <w:t>higher</w:t>
      </w:r>
      <w:r>
        <w:rPr>
          <w:spacing w:val="-1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funding</w:t>
      </w:r>
      <w:r>
        <w:rPr>
          <w:spacing w:val="-11"/>
        </w:rPr>
        <w:t> </w:t>
      </w:r>
      <w:r>
        <w:rPr/>
        <w:t>reforms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help</w:t>
      </w:r>
      <w:r>
        <w:rPr>
          <w:spacing w:val="-5"/>
        </w:rPr>
        <w:t> </w:t>
      </w:r>
      <w:r>
        <w:rPr/>
        <w:t>improve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nation’s</w:t>
      </w:r>
      <w:r>
        <w:rPr>
          <w:spacing w:val="-10"/>
        </w:rPr>
        <w:t> </w:t>
      </w:r>
      <w:r>
        <w:rPr/>
        <w:t>higher</w:t>
      </w:r>
      <w:r>
        <w:rPr>
          <w:spacing w:val="-11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 action plan provided in this report includes ten actions to be taken between 2021 and 2024. It builds</w:t>
      </w:r>
      <w:r>
        <w:rPr>
          <w:spacing w:val="1"/>
        </w:rPr>
        <w:t> </w:t>
      </w:r>
      <w:r>
        <w:rPr/>
        <w:t>on analysis and advice provided by recent national and international projects, input provided by Slovak</w:t>
      </w:r>
      <w:r>
        <w:rPr>
          <w:spacing w:val="1"/>
        </w:rPr>
        <w:t> </w:t>
      </w:r>
      <w:r>
        <w:rPr/>
        <w:t>stakeholders</w:t>
      </w:r>
      <w:r>
        <w:rPr>
          <w:spacing w:val="-2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rich</w:t>
      </w:r>
      <w:r>
        <w:rPr>
          <w:spacing w:val="-3"/>
        </w:rPr>
        <w:t> </w:t>
      </w:r>
      <w:r>
        <w:rPr/>
        <w:t>body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OECD</w:t>
      </w:r>
      <w:r>
        <w:rPr>
          <w:spacing w:val="-3"/>
        </w:rPr>
        <w:t> </w:t>
      </w:r>
      <w:r>
        <w:rPr/>
        <w:t>countries.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The following table lists the policy actions, suggested timeframes, and organisations that might take</w:t>
      </w:r>
      <w:r>
        <w:rPr>
          <w:spacing w:val="1"/>
        </w:rPr>
        <w:t> </w:t>
      </w:r>
      <w:r>
        <w:rPr/>
        <w:t>responsibility for implementing the actions. It also assigns a broad cost estimate to each action: “low”,</w:t>
      </w:r>
      <w:r>
        <w:rPr>
          <w:spacing w:val="1"/>
        </w:rPr>
        <w:t> </w:t>
      </w:r>
      <w:r>
        <w:rPr/>
        <w:t>“medium”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“high”.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indications should be</w:t>
      </w:r>
      <w:r>
        <w:rPr>
          <w:spacing w:val="-1"/>
        </w:rPr>
        <w:t> </w:t>
      </w:r>
      <w:r>
        <w:rPr/>
        <w:t>interpreted as follows:</w:t>
      </w:r>
    </w:p>
    <w:p>
      <w:pPr>
        <w:pStyle w:val="BodyText"/>
        <w:spacing w:line="273" w:lineRule="auto" w:before="118"/>
        <w:ind w:left="183" w:right="316"/>
        <w:jc w:val="both"/>
      </w:pPr>
      <w:r>
        <w:rPr>
          <w:rFonts w:ascii="Arial"/>
          <w:b/>
        </w:rPr>
        <w:t>Low</w:t>
      </w:r>
      <w:r>
        <w:rPr/>
        <w:t>: Actions that focus on policy processes and can be undertaken by existing bodies or bodies funded</w:t>
      </w:r>
      <w:r>
        <w:rPr>
          <w:spacing w:val="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other actions.</w:t>
      </w:r>
    </w:p>
    <w:p>
      <w:pPr>
        <w:pStyle w:val="BodyText"/>
        <w:spacing w:line="273" w:lineRule="auto" w:before="117"/>
        <w:ind w:left="183" w:right="314"/>
        <w:jc w:val="both"/>
      </w:pPr>
      <w:r>
        <w:rPr>
          <w:rFonts w:ascii="Arial"/>
          <w:b/>
        </w:rPr>
        <w:t>Medium</w:t>
      </w:r>
      <w:r>
        <w:rPr/>
        <w:t>: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scale.</w:t>
      </w:r>
    </w:p>
    <w:p>
      <w:pPr>
        <w:spacing w:after="0" w:line="273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190"/>
        <w:ind w:left="183"/>
        <w:jc w:val="both"/>
      </w:pPr>
      <w:r>
        <w:rPr>
          <w:rFonts w:ascii="Arial"/>
          <w:b/>
        </w:rPr>
        <w:t>High</w:t>
      </w:r>
      <w:r>
        <w:rPr/>
        <w:t>:</w:t>
      </w:r>
      <w:r>
        <w:rPr>
          <w:spacing w:val="-5"/>
        </w:rPr>
        <w:t> </w:t>
      </w:r>
      <w:r>
        <w:rPr/>
        <w:t>Actions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require</w:t>
      </w:r>
      <w:r>
        <w:rPr>
          <w:spacing w:val="-3"/>
        </w:rPr>
        <w:t> </w:t>
      </w:r>
      <w:r>
        <w:rPr/>
        <w:t>substantial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investments.</w:t>
      </w:r>
    </w:p>
    <w:p>
      <w:pPr>
        <w:pStyle w:val="BodyText"/>
        <w:spacing w:line="271" w:lineRule="auto" w:before="152"/>
        <w:ind w:left="183" w:right="301"/>
        <w:jc w:val="both"/>
      </w:pPr>
      <w:r>
        <w:rPr/>
        <w:t>The table aims to provide a starting point for the implementation of the ten policy actions, based upon the</w:t>
      </w:r>
      <w:r>
        <w:rPr>
          <w:spacing w:val="-53"/>
        </w:rPr>
        <w:t> </w:t>
      </w:r>
      <w:r>
        <w:rPr/>
        <w:t>OECD’s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Republic.</w:t>
      </w:r>
      <w:r>
        <w:rPr>
          <w:spacing w:val="1"/>
        </w:rPr>
        <w:t> </w:t>
      </w:r>
      <w:r>
        <w:rPr/>
        <w:t>Timeframes,</w:t>
      </w:r>
      <w:r>
        <w:rPr>
          <w:spacing w:val="1"/>
        </w:rPr>
        <w:t> </w:t>
      </w:r>
      <w:r>
        <w:rPr/>
        <w:t>responsibilities and costs will need to be discussed and refined by the Slovak authorities in close</w:t>
      </w:r>
      <w:r>
        <w:rPr>
          <w:spacing w:val="1"/>
        </w:rPr>
        <w:t> </w:t>
      </w:r>
      <w:r>
        <w:rPr/>
        <w:t>collaboration with</w:t>
      </w:r>
      <w:r>
        <w:rPr>
          <w:spacing w:val="-1"/>
        </w:rPr>
        <w:t> </w:t>
      </w:r>
      <w:r>
        <w:rPr/>
        <w:t>higher education</w:t>
      </w:r>
      <w:r>
        <w:rPr>
          <w:spacing w:val="-2"/>
        </w:rPr>
        <w:t> </w:t>
      </w:r>
      <w:r>
        <w:rPr/>
        <w:t>stakeholders.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76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325" w:hRule="atLeast"/>
        </w:trPr>
        <w:tc>
          <w:tcPr>
            <w:tcW w:w="3277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1217" w:right="119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Policy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action</w:t>
            </w:r>
          </w:p>
        </w:tc>
        <w:tc>
          <w:tcPr>
            <w:tcW w:w="2204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58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timing</w:t>
            </w:r>
          </w:p>
        </w:tc>
        <w:tc>
          <w:tcPr>
            <w:tcW w:w="2617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4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lead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organisation</w:t>
            </w:r>
          </w:p>
        </w:tc>
        <w:tc>
          <w:tcPr>
            <w:tcW w:w="1217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before="73"/>
              <w:ind w:left="15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cost</w:t>
            </w:r>
          </w:p>
        </w:tc>
      </w:tr>
    </w:tbl>
    <w:p>
      <w:pPr>
        <w:spacing w:before="28" w:after="5"/>
        <w:ind w:left="0" w:right="1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Developing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and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implementing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co-ordinated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higher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education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strategy</w:t>
      </w:r>
    </w:p>
    <w:tbl>
      <w:tblPr>
        <w:tblW w:w="0" w:type="auto"/>
        <w:jc w:val="left"/>
        <w:tblInd w:w="176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1567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1.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Establish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small</w:t>
            </w:r>
            <w:r>
              <w:rPr>
                <w:rFonts w:ascii="Microsoft Sans Serif"/>
                <w:spacing w:val="1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multi-stakeholder</w:t>
            </w:r>
            <w:r>
              <w:rPr>
                <w:rFonts w:ascii="Microsoft Sans Serif"/>
                <w:spacing w:val="1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responsible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co-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ordinating the development and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implementation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reforms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Q4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2021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14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Established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by</w:t>
            </w:r>
            <w:r>
              <w:rPr>
                <w:rFonts w:ascii="Microsoft Sans Serif" w:hAns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and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accountable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to</w:t>
            </w:r>
            <w:r>
              <w:rPr>
                <w:rFonts w:ascii="Microsoft Sans Serif" w:hAns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the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Prime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Minister’s</w:t>
            </w:r>
            <w:r>
              <w:rPr>
                <w:rFonts w:ascii="Microsoft Sans Serif" w:hAns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Office</w:t>
            </w:r>
          </w:p>
          <w:p>
            <w:pPr>
              <w:pStyle w:val="TableParagraph"/>
              <w:spacing w:line="242" w:lineRule="auto" w:before="42"/>
              <w:ind w:left="99" w:right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Membership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identified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by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Ministry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Education,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Science,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Research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Sport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(MoE)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</w:t>
            </w:r>
            <w:r>
              <w:rPr>
                <w:rFonts w:ascii="Microsoft Sans Serif"/>
                <w:spacing w:val="28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collaboration</w:t>
            </w:r>
            <w:r>
              <w:rPr>
                <w:rFonts w:ascii="Microsoft Sans Serif"/>
                <w:spacing w:val="29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with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key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agencies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organisations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  <w:tr>
        <w:trPr>
          <w:trHeight w:val="945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2.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Develop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mid-term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vision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strategy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articulating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linkages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between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goals,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actions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monitoring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results</w:t>
            </w:r>
          </w:p>
        </w:tc>
        <w:tc>
          <w:tcPr>
            <w:tcW w:w="2204" w:type="dxa"/>
          </w:tcPr>
          <w:p>
            <w:pPr>
              <w:pStyle w:val="TableParagraph"/>
              <w:spacing w:line="242" w:lineRule="auto"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Q1-Q2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engagement</w:t>
            </w:r>
          </w:p>
          <w:p>
            <w:pPr>
              <w:pStyle w:val="TableParagraph"/>
              <w:spacing w:line="242" w:lineRule="auto" w:before="42"/>
              <w:ind w:left="102" w:right="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Q3 2022: Strategy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presentation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adoption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41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Higher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Education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Task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Force,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reporting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to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the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Prime</w:t>
            </w:r>
            <w:r>
              <w:rPr>
                <w:rFonts w:ascii="Microsoft Sans Serif" w:hAns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Minister’s</w:t>
            </w:r>
            <w:r>
              <w:rPr>
                <w:rFonts w:ascii="Microsoft Sans Serif" w:hAns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90"/>
                <w:sz w:val="18"/>
              </w:rPr>
              <w:t>Office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  <w:tr>
        <w:trPr>
          <w:trHeight w:val="493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3.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Develop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indicators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quality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teaching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research,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strengthen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data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collection</w:t>
            </w:r>
          </w:p>
        </w:tc>
        <w:tc>
          <w:tcPr>
            <w:tcW w:w="2204" w:type="dxa"/>
          </w:tcPr>
          <w:p>
            <w:pPr>
              <w:pStyle w:val="TableParagraph"/>
              <w:spacing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5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Expert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Group,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reporting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to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the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</w:tbl>
    <w:p>
      <w:pPr>
        <w:spacing w:before="28" w:after="5"/>
        <w:ind w:left="2456" w:right="257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Using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funding</w:t>
      </w:r>
      <w:r>
        <w:rPr>
          <w:rFonts w:ascii="Arial"/>
          <w:b/>
          <w:spacing w:val="10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to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support</w:t>
      </w:r>
      <w:r>
        <w:rPr>
          <w:rFonts w:ascii="Arial"/>
          <w:b/>
          <w:spacing w:val="10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and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reward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higher</w:t>
      </w:r>
      <w:r>
        <w:rPr>
          <w:rFonts w:ascii="Arial"/>
          <w:b/>
          <w:spacing w:val="8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education</w:t>
      </w:r>
      <w:r>
        <w:rPr>
          <w:rFonts w:ascii="Arial"/>
          <w:b/>
          <w:spacing w:val="10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performance</w:t>
      </w:r>
    </w:p>
    <w:tbl>
      <w:tblPr>
        <w:tblW w:w="0" w:type="auto"/>
        <w:jc w:val="left"/>
        <w:tblInd w:w="176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1112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4" w:lineRule="auto" w:before="42"/>
              <w:ind w:left="122" w:right="10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4. Map out</w:t>
            </w:r>
            <w:r>
              <w:rPr>
                <w:rFonts w:ascii="Microsoft Sans Serif"/>
                <w:spacing w:val="28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investments</w:t>
            </w:r>
            <w:r>
              <w:rPr>
                <w:rFonts w:ascii="Microsoft Sans Serif"/>
                <w:spacing w:val="29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required to implement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 mid-term higher education strategy, new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funding sources and options for enhancing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higher education funding levels (the funding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envelope)</w:t>
            </w:r>
          </w:p>
        </w:tc>
        <w:tc>
          <w:tcPr>
            <w:tcW w:w="2204" w:type="dxa"/>
          </w:tcPr>
          <w:p>
            <w:pPr>
              <w:pStyle w:val="TableParagraph"/>
              <w:spacing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27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MoE, supported by the Ministry of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Finance and the Higher Education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Task</w:t>
            </w:r>
            <w:r>
              <w:rPr>
                <w:rFonts w:ascii="Microsoft Sans Serif"/>
                <w:spacing w:val="-5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Force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  <w:tr>
        <w:trPr>
          <w:trHeight w:val="700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103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5. Establish an approach and process for the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development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of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institutional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contracts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and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possible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performance</w:t>
            </w:r>
            <w:r>
              <w:rPr>
                <w:rFonts w:ascii="Microsoft Sans Serif"/>
                <w:spacing w:val="-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parameters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Q1-Q2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</w:tcPr>
          <w:p>
            <w:pPr>
              <w:pStyle w:val="TableParagraph"/>
              <w:spacing w:line="244" w:lineRule="auto" w:before="42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Force,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reporting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to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the</w:t>
            </w:r>
            <w:r>
              <w:rPr>
                <w:rFonts w:ascii="Microsoft Sans Serif"/>
                <w:spacing w:val="-3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MoE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line="244" w:lineRule="auto" w:before="42"/>
              <w:ind w:left="99" w:right="41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Medium to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High</w:t>
            </w:r>
          </w:p>
        </w:tc>
      </w:tr>
      <w:tr>
        <w:trPr>
          <w:trHeight w:val="1139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99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6. Use the institutional contracts to allocate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targeted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funding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to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enhance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teaching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and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research</w:t>
            </w:r>
            <w:r>
              <w:rPr>
                <w:rFonts w:ascii="Microsoft Sans Serif"/>
                <w:spacing w:val="-4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quality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Q2-Q3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</w:tcPr>
          <w:p>
            <w:pPr>
              <w:pStyle w:val="TableParagraph"/>
              <w:spacing w:line="235" w:lineRule="auto" w:before="38"/>
              <w:ind w:left="99" w:right="3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Expert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Group,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reporting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to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Education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Task</w:t>
            </w:r>
            <w:r>
              <w:rPr>
                <w:rFonts w:ascii="Microsoft Sans Serif"/>
                <w:spacing w:val="-2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Force</w:t>
            </w:r>
          </w:p>
          <w:p>
            <w:pPr>
              <w:pStyle w:val="TableParagraph"/>
              <w:spacing w:line="242" w:lineRule="auto" w:before="44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implementing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revisions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recommended by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 Education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Task</w:t>
            </w:r>
            <w:r>
              <w:rPr>
                <w:rFonts w:ascii="Microsoft Sans Serif"/>
                <w:spacing w:val="-4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Force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High</w:t>
            </w:r>
          </w:p>
        </w:tc>
      </w:tr>
      <w:tr>
        <w:trPr>
          <w:trHeight w:val="1153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274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7. Consider revisions to the funding formula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 higher education and research allocation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mechanisms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Recommendations</w:t>
            </w:r>
          </w:p>
          <w:p>
            <w:pPr>
              <w:pStyle w:val="TableParagraph"/>
              <w:spacing w:line="242" w:lineRule="auto" w:before="46"/>
              <w:ind w:left="102" w:right="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Q4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Implementation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revisions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to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funding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formula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research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allocation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mechanisms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32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Expert Group, reporting to Higher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Education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Task</w:t>
            </w:r>
            <w:r>
              <w:rPr>
                <w:rFonts w:ascii="Microsoft Sans Serif"/>
                <w:spacing w:val="-2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Force</w:t>
            </w:r>
          </w:p>
          <w:p>
            <w:pPr>
              <w:pStyle w:val="TableParagraph"/>
              <w:spacing w:line="242" w:lineRule="auto" w:before="42"/>
              <w:ind w:left="99" w:right="639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 implementing revisions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recommended by the Higher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</w:tbl>
    <w:p>
      <w:pPr>
        <w:spacing w:before="28" w:after="5"/>
        <w:ind w:left="0" w:right="12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Enabling</w:t>
      </w:r>
      <w:r>
        <w:rPr>
          <w:rFonts w:ascii="Arial"/>
          <w:b/>
          <w:spacing w:val="14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responsive</w:t>
      </w:r>
      <w:r>
        <w:rPr>
          <w:rFonts w:ascii="Arial"/>
          <w:b/>
          <w:spacing w:val="14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institutional</w:t>
      </w:r>
      <w:r>
        <w:rPr>
          <w:rFonts w:ascii="Arial"/>
          <w:b/>
          <w:spacing w:val="13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governance</w:t>
      </w:r>
      <w:r>
        <w:rPr>
          <w:rFonts w:ascii="Arial"/>
          <w:b/>
          <w:spacing w:val="13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and</w:t>
      </w:r>
      <w:r>
        <w:rPr>
          <w:rFonts w:ascii="Arial"/>
          <w:b/>
          <w:spacing w:val="16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management</w:t>
      </w:r>
    </w:p>
    <w:tbl>
      <w:tblPr>
        <w:tblW w:w="0" w:type="auto"/>
        <w:jc w:val="left"/>
        <w:tblInd w:w="176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1192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10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8. Reduce the level of prescription of the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legislation and introduce a small number of key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requirements supporting HEI effectiveness and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openness</w:t>
            </w:r>
          </w:p>
        </w:tc>
        <w:tc>
          <w:tcPr>
            <w:tcW w:w="2204" w:type="dxa"/>
          </w:tcPr>
          <w:p>
            <w:pPr>
              <w:pStyle w:val="TableParagraph"/>
              <w:spacing w:line="242" w:lineRule="auto"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Q1-Q3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engagement</w:t>
            </w:r>
          </w:p>
          <w:p>
            <w:pPr>
              <w:pStyle w:val="TableParagraph"/>
              <w:spacing w:before="43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Q4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Legislation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passed</w:t>
            </w:r>
          </w:p>
          <w:p>
            <w:pPr>
              <w:pStyle w:val="TableParagraph"/>
              <w:spacing w:line="242" w:lineRule="auto" w:before="41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2024: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New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governance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arrangements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place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37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engagement</w:t>
            </w:r>
          </w:p>
          <w:p>
            <w:pPr>
              <w:pStyle w:val="TableParagraph"/>
              <w:spacing w:before="43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legislation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drafting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  <w:tr>
        <w:trPr>
          <w:trHeight w:val="741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103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9. Create incentives for public HEIs to adopt a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new governance </w:t>
            </w:r>
            <w:r>
              <w:rPr>
                <w:rFonts w:ascii="Microsoft Sans Serif"/>
                <w:w w:val="85"/>
                <w:sz w:val="18"/>
              </w:rPr>
              <w:t>structure on an accelerated,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pilot</w:t>
            </w:r>
            <w:r>
              <w:rPr>
                <w:rFonts w:ascii="Microsoft Sans Serif"/>
                <w:spacing w:val="-5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basis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Incentives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designed</w:t>
            </w:r>
          </w:p>
          <w:p>
            <w:pPr>
              <w:pStyle w:val="TableParagraph"/>
              <w:spacing w:line="242" w:lineRule="auto" w:before="46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2023: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New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governance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adopted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by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pilot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HEIs</w:t>
            </w:r>
          </w:p>
        </w:tc>
        <w:tc>
          <w:tcPr>
            <w:tcW w:w="2617" w:type="dxa"/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MoE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  <w:tr>
        <w:trPr>
          <w:trHeight w:val="493" w:hRule="atLeast"/>
        </w:trPr>
        <w:tc>
          <w:tcPr>
            <w:tcW w:w="3277" w:type="dxa"/>
            <w:tcBorders>
              <w:left w:val="nil"/>
              <w:bottom w:val="single" w:sz="12" w:space="0" w:color="4E81BD"/>
            </w:tcBorders>
          </w:tcPr>
          <w:p>
            <w:pPr>
              <w:pStyle w:val="TableParagraph"/>
              <w:spacing w:line="242" w:lineRule="auto" w:before="42"/>
              <w:ind w:left="122"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10.</w:t>
            </w:r>
            <w:r>
              <w:rPr>
                <w:rFonts w:ascii="Microsoft Sans Serif"/>
                <w:spacing w:val="2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Establish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appropriate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supports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to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foster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best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practice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HEI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governing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bodies</w:t>
            </w:r>
          </w:p>
        </w:tc>
        <w:tc>
          <w:tcPr>
            <w:tcW w:w="2204" w:type="dxa"/>
            <w:tcBorders>
              <w:bottom w:val="single" w:sz="12" w:space="0" w:color="4E81BD"/>
            </w:tcBorders>
          </w:tcPr>
          <w:p>
            <w:pPr>
              <w:pStyle w:val="TableParagraph"/>
              <w:spacing w:line="242" w:lineRule="auto" w:before="42"/>
              <w:ind w:left="102" w:right="53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Q3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Guidance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institutional</w:t>
            </w:r>
            <w:r>
              <w:rPr>
                <w:rFonts w:ascii="Microsoft Sans Serif"/>
                <w:spacing w:val="2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governance</w:t>
            </w:r>
          </w:p>
        </w:tc>
        <w:tc>
          <w:tcPr>
            <w:tcW w:w="2617" w:type="dxa"/>
            <w:tcBorders>
              <w:bottom w:val="single" w:sz="12" w:space="0" w:color="4E81BD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Force,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MoE</w:t>
            </w:r>
          </w:p>
        </w:tc>
        <w:tc>
          <w:tcPr>
            <w:tcW w:w="1217" w:type="dxa"/>
            <w:tcBorders>
              <w:bottom w:val="single" w:sz="12" w:space="0" w:color="4E81BD"/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</w:tbl>
    <w:p>
      <w:pPr>
        <w:spacing w:after="0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even" r:id="rId30"/>
          <w:footerReference w:type="even" r:id="rId31"/>
          <w:pgSz w:w="11910" w:h="15880"/>
          <w:pgMar w:header="0" w:footer="0" w:top="1500" w:bottom="280" w:left="1120" w:right="1000"/>
        </w:sectPr>
      </w:pPr>
    </w:p>
    <w:p>
      <w:pPr>
        <w:pStyle w:val="ListParagraph"/>
        <w:numPr>
          <w:ilvl w:val="0"/>
          <w:numId w:val="3"/>
        </w:numPr>
        <w:tabs>
          <w:tab w:pos="1348" w:val="left" w:leader="none"/>
        </w:tabs>
        <w:spacing w:line="240" w:lineRule="auto" w:before="87" w:after="0"/>
        <w:ind w:left="1347" w:right="0" w:hanging="956"/>
        <w:jc w:val="left"/>
        <w:rPr>
          <w:rFonts w:ascii="Arial"/>
          <w:b/>
          <w:color w:val="4E81BD"/>
          <w:sz w:val="130"/>
        </w:rPr>
      </w:pPr>
      <w:r>
        <w:rPr/>
        <w:pict>
          <v:rect style="position:absolute;margin-left:75.624001pt;margin-top:68.799225pt;width:29.639999pt;height:5.76pt;mso-position-horizontal-relative:page;mso-position-vertical-relative:paragraph;z-index:-19725312" filled="true" fillcolor="#4e81bd" stroked="false">
            <v:fill type="solid"/>
            <w10:wrap type="none"/>
          </v:rect>
        </w:pict>
      </w:r>
      <w:r>
        <w:rPr/>
        <w:pict>
          <v:rect style="position:absolute;margin-left:69.264pt;margin-top:.499231pt;width:460.75pt;height:6pt;mso-position-horizontal-relative:page;mso-position-vertical-relative:paragraph;z-index:-19724800" filled="true" fillcolor="#ffffff" stroked="false">
            <v:fill type="solid"/>
            <w10:wrap type="none"/>
          </v:rect>
        </w:pict>
      </w:r>
      <w:bookmarkStart w:name="1 Introduction" w:id="10"/>
      <w:bookmarkEnd w:id="10"/>
      <w:r>
        <w:rPr/>
      </w:r>
      <w:bookmarkStart w:name="_bookmark3" w:id="11"/>
      <w:bookmarkEnd w:id="11"/>
      <w:r>
        <w:rPr/>
      </w:r>
      <w:bookmarkStart w:name="_bookmark3" w:id="12"/>
      <w:bookmarkEnd w:id="12"/>
      <w:r>
        <w:rPr>
          <w:rFonts w:ascii="Arial"/>
          <w:b/>
          <w:color w:val="4E81BD"/>
          <w:w w:val="90"/>
          <w:sz w:val="56"/>
        </w:rPr>
        <w:t>Intro</w:t>
      </w:r>
      <w:r>
        <w:rPr>
          <w:rFonts w:ascii="Arial"/>
          <w:b/>
          <w:color w:val="4E81BD"/>
          <w:w w:val="90"/>
          <w:sz w:val="56"/>
        </w:rPr>
        <w:t>duction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7"/>
        </w:rPr>
      </w:pPr>
      <w:r>
        <w:rPr/>
        <w:pict>
          <v:rect style="position:absolute;margin-left:126.139999pt;margin-top:17.537979pt;width:405.429993pt;height:1.44pt;mso-position-horizontal-relative:page;mso-position-vertical-relative:paragraph;z-index:-15724032;mso-wrap-distance-left:0;mso-wrap-distance-right:0" filled="true" fillcolor="#4e81bd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pStyle w:val="Heading3"/>
        <w:spacing w:line="278" w:lineRule="auto"/>
      </w:pPr>
      <w:r>
        <w:rPr>
          <w:color w:val="4E81BD"/>
        </w:rPr>
        <w:t>This chapter first outlines the purpose, scope and working methods of the</w:t>
      </w:r>
      <w:r>
        <w:rPr>
          <w:color w:val="4E81BD"/>
          <w:spacing w:val="1"/>
        </w:rPr>
        <w:t> </w:t>
      </w:r>
      <w:r>
        <w:rPr>
          <w:color w:val="4E81BD"/>
        </w:rPr>
        <w:t>project. It then provides an overview of the analytical approach used in the</w:t>
      </w:r>
      <w:r>
        <w:rPr>
          <w:color w:val="4E81BD"/>
          <w:spacing w:val="1"/>
        </w:rPr>
        <w:t> </w:t>
      </w:r>
      <w:r>
        <w:rPr>
          <w:color w:val="4E81BD"/>
        </w:rPr>
        <w:t>project,</w:t>
      </w:r>
      <w:r>
        <w:rPr>
          <w:color w:val="4E81BD"/>
          <w:spacing w:val="-2"/>
        </w:rPr>
        <w:t> </w:t>
      </w:r>
      <w:r>
        <w:rPr>
          <w:color w:val="4E81BD"/>
        </w:rPr>
        <w:t>including</w:t>
      </w:r>
      <w:r>
        <w:rPr>
          <w:color w:val="4E81BD"/>
          <w:spacing w:val="-2"/>
        </w:rPr>
        <w:t> </w:t>
      </w:r>
      <w:r>
        <w:rPr>
          <w:color w:val="4E81BD"/>
        </w:rPr>
        <w:t>a</w:t>
      </w:r>
      <w:r>
        <w:rPr>
          <w:color w:val="4E81BD"/>
          <w:spacing w:val="-2"/>
        </w:rPr>
        <w:t> </w:t>
      </w:r>
      <w:r>
        <w:rPr>
          <w:color w:val="4E81BD"/>
        </w:rPr>
        <w:t>description</w:t>
      </w:r>
      <w:r>
        <w:rPr>
          <w:color w:val="4E81BD"/>
          <w:spacing w:val="-2"/>
        </w:rPr>
        <w:t> </w:t>
      </w:r>
      <w:r>
        <w:rPr>
          <w:color w:val="4E81BD"/>
        </w:rPr>
        <w:t>of</w:t>
      </w:r>
      <w:r>
        <w:rPr>
          <w:color w:val="4E81BD"/>
          <w:spacing w:val="-1"/>
        </w:rPr>
        <w:t> </w:t>
      </w:r>
      <w:r>
        <w:rPr>
          <w:color w:val="4E81BD"/>
        </w:rPr>
        <w:t>the</w:t>
      </w:r>
      <w:r>
        <w:rPr>
          <w:color w:val="4E81BD"/>
          <w:spacing w:val="-1"/>
        </w:rPr>
        <w:t> </w:t>
      </w:r>
      <w:r>
        <w:rPr>
          <w:color w:val="4E81BD"/>
        </w:rPr>
        <w:t>context</w:t>
      </w:r>
      <w:r>
        <w:rPr>
          <w:color w:val="4E81BD"/>
          <w:spacing w:val="-3"/>
        </w:rPr>
        <w:t> </w:t>
      </w:r>
      <w:r>
        <w:rPr>
          <w:color w:val="4E81BD"/>
        </w:rPr>
        <w:t>and</w:t>
      </w:r>
      <w:r>
        <w:rPr>
          <w:color w:val="4E81BD"/>
          <w:spacing w:val="-4"/>
        </w:rPr>
        <w:t> </w:t>
      </w:r>
      <w:r>
        <w:rPr>
          <w:color w:val="4E81BD"/>
        </w:rPr>
        <w:t>focus</w:t>
      </w:r>
      <w:r>
        <w:rPr>
          <w:color w:val="4E81BD"/>
          <w:spacing w:val="-4"/>
        </w:rPr>
        <w:t> </w:t>
      </w:r>
      <w:r>
        <w:rPr>
          <w:color w:val="4E81BD"/>
        </w:rPr>
        <w:t>of</w:t>
      </w:r>
      <w:r>
        <w:rPr>
          <w:color w:val="4E81BD"/>
          <w:spacing w:val="-1"/>
        </w:rPr>
        <w:t> </w:t>
      </w:r>
      <w:r>
        <w:rPr>
          <w:color w:val="4E81BD"/>
        </w:rPr>
        <w:t>the</w:t>
      </w:r>
      <w:r>
        <w:rPr>
          <w:color w:val="4E81BD"/>
          <w:spacing w:val="-3"/>
        </w:rPr>
        <w:t> </w:t>
      </w:r>
      <w:r>
        <w:rPr>
          <w:color w:val="4E81BD"/>
        </w:rPr>
        <w:t>action</w:t>
      </w:r>
      <w:r>
        <w:rPr>
          <w:color w:val="4E81BD"/>
          <w:spacing w:val="-4"/>
        </w:rPr>
        <w:t> </w:t>
      </w:r>
      <w:r>
        <w:rPr>
          <w:color w:val="4E81BD"/>
        </w:rPr>
        <w:t>plan</w:t>
      </w:r>
      <w:r>
        <w:rPr>
          <w:color w:val="4E81BD"/>
          <w:spacing w:val="-2"/>
        </w:rPr>
        <w:t> </w:t>
      </w:r>
      <w:r>
        <w:rPr>
          <w:color w:val="4E81BD"/>
        </w:rPr>
        <w:t>to</w:t>
      </w:r>
      <w:r>
        <w:rPr>
          <w:color w:val="4E81BD"/>
          <w:spacing w:val="-64"/>
        </w:rPr>
        <w:t> </w:t>
      </w:r>
      <w:r>
        <w:rPr>
          <w:color w:val="4E81BD"/>
        </w:rPr>
        <w:t>improve higher education in the Slovak Republic. The chapter closes with</w:t>
      </w:r>
      <w:r>
        <w:rPr>
          <w:color w:val="4E81BD"/>
          <w:spacing w:val="1"/>
        </w:rPr>
        <w:t> </w:t>
      </w:r>
      <w:r>
        <w:rPr>
          <w:color w:val="4E81BD"/>
        </w:rPr>
        <w:t>an</w:t>
      </w:r>
      <w:r>
        <w:rPr>
          <w:color w:val="4E81BD"/>
          <w:spacing w:val="-1"/>
        </w:rPr>
        <w:t> </w:t>
      </w:r>
      <w:r>
        <w:rPr>
          <w:color w:val="4E81BD"/>
        </w:rPr>
        <w:t>outline</w:t>
      </w:r>
      <w:r>
        <w:rPr>
          <w:color w:val="4E81BD"/>
          <w:spacing w:val="-1"/>
        </w:rPr>
        <w:t> </w:t>
      </w:r>
      <w:r>
        <w:rPr>
          <w:color w:val="4E81BD"/>
        </w:rPr>
        <w:t>of the report’s structure.</w:t>
      </w: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126.139999pt;margin-top:10.352431pt;width:405.429993pt;height:4.440pt;mso-position-horizontal-relative:page;mso-position-vertical-relative:paragraph;z-index:-15723520;mso-wrap-distance-left:0;mso-wrap-distance-right:0" filled="true" fillcolor="#4e81bd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headerReference w:type="default" r:id="rId32"/>
          <w:headerReference w:type="even" r:id="rId33"/>
          <w:footerReference w:type="default" r:id="rId34"/>
          <w:footerReference w:type="even" r:id="rId35"/>
          <w:pgSz w:w="11910" w:h="15880"/>
          <w:pgMar w:header="734" w:footer="731" w:top="1140" w:bottom="920" w:left="1120" w:right="1000"/>
          <w:pgNumType w:start="13"/>
        </w:sectPr>
      </w:pPr>
    </w:p>
    <w:p>
      <w:pPr>
        <w:pStyle w:val="BodyText"/>
        <w:rPr>
          <w:sz w:val="9"/>
        </w:rPr>
      </w:pPr>
    </w:p>
    <w:p>
      <w:pPr>
        <w:pStyle w:val="Heading2"/>
        <w:numPr>
          <w:ilvl w:val="1"/>
          <w:numId w:val="4"/>
        </w:numPr>
        <w:tabs>
          <w:tab w:pos="652" w:val="left" w:leader="none"/>
        </w:tabs>
        <w:spacing w:line="240" w:lineRule="auto" w:before="92" w:after="0"/>
        <w:ind w:left="651" w:right="0" w:hanging="469"/>
        <w:jc w:val="left"/>
      </w:pPr>
      <w:bookmarkStart w:name="1.1. Purpose and scope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bookmarkStart w:name="_bookmark4" w:id="15"/>
      <w:bookmarkEnd w:id="15"/>
      <w:r>
        <w:rPr>
          <w:color w:val="4E81BD"/>
        </w:rPr>
        <w:t>Purpose</w:t>
      </w:r>
      <w:r>
        <w:rPr>
          <w:color w:val="4E81BD"/>
          <w:spacing w:val="2"/>
        </w:rPr>
        <w:t> </w:t>
      </w:r>
      <w:r>
        <w:rPr>
          <w:color w:val="4E81BD"/>
        </w:rPr>
        <w:t>and</w:t>
      </w:r>
      <w:r>
        <w:rPr>
          <w:color w:val="4E81BD"/>
          <w:spacing w:val="-2"/>
        </w:rPr>
        <w:t> </w:t>
      </w:r>
      <w:r>
        <w:rPr>
          <w:color w:val="4E81BD"/>
        </w:rPr>
        <w:t>scope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This project is a collaboration between the European Commission’s Directorate-General for Structural</w:t>
      </w:r>
      <w:r>
        <w:rPr>
          <w:spacing w:val="1"/>
        </w:rPr>
        <w:t> </w:t>
      </w:r>
      <w:r>
        <w:rPr/>
        <w:t>Reform Support (DG REFORM), the Institute for Strategies and Analysis (ISA) in the Government Office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Slovak</w:t>
      </w:r>
      <w:r>
        <w:rPr>
          <w:spacing w:val="-9"/>
        </w:rPr>
        <w:t> </w:t>
      </w:r>
      <w:r>
        <w:rPr/>
        <w:t>Republic,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13"/>
        </w:rPr>
        <w:t> </w:t>
      </w:r>
      <w:r>
        <w:rPr/>
        <w:t>Policy</w:t>
      </w:r>
      <w:r>
        <w:rPr>
          <w:spacing w:val="-13"/>
        </w:rPr>
        <w:t> </w:t>
      </w:r>
      <w:r>
        <w:rPr/>
        <w:t>team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OECD’s</w:t>
      </w:r>
      <w:r>
        <w:rPr>
          <w:spacing w:val="-11"/>
        </w:rPr>
        <w:t> </w:t>
      </w:r>
      <w:r>
        <w:rPr/>
        <w:t>Directorate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and</w:t>
      </w:r>
      <w:r>
        <w:rPr>
          <w:spacing w:val="-53"/>
        </w:rPr>
        <w:t> </w:t>
      </w:r>
      <w:r>
        <w:rPr/>
        <w:t>Skills.</w:t>
      </w:r>
    </w:p>
    <w:p>
      <w:pPr>
        <w:pStyle w:val="BodyText"/>
        <w:spacing w:line="271" w:lineRule="auto" w:before="120"/>
        <w:ind w:left="183" w:right="299"/>
        <w:jc w:val="both"/>
      </w:pPr>
      <w:r>
        <w:rPr/>
        <w:t>National and international studies have consistently highlighted weaknesses in the quality of the Slovak</w:t>
      </w:r>
      <w:r>
        <w:rPr>
          <w:spacing w:val="1"/>
        </w:rPr>
        <w:t> </w:t>
      </w:r>
      <w:r>
        <w:rPr/>
        <w:t>Republic’s higher education system, and the Slovak government has placed the improvement of higher</w:t>
      </w:r>
      <w:r>
        <w:rPr>
          <w:spacing w:val="1"/>
        </w:rPr>
        <w:t> </w:t>
      </w:r>
      <w:r>
        <w:rPr/>
        <w:t>education institutional performance at the centre of its policy agenda. Thus, the purpose of this project is</w:t>
      </w:r>
      <w:r>
        <w:rPr>
          <w:spacing w:val="1"/>
        </w:rPr>
        <w:t> </w:t>
      </w:r>
      <w:r>
        <w:rPr/>
        <w:t>to</w:t>
      </w:r>
      <w:r>
        <w:rPr>
          <w:spacing w:val="-10"/>
        </w:rPr>
        <w:t> </w:t>
      </w:r>
      <w:r>
        <w:rPr/>
        <w:t>help</w:t>
      </w:r>
      <w:r>
        <w:rPr>
          <w:spacing w:val="-8"/>
        </w:rPr>
        <w:t> </w:t>
      </w:r>
      <w:r>
        <w:rPr/>
        <w:t>Slovak</w:t>
      </w:r>
      <w:r>
        <w:rPr>
          <w:spacing w:val="-7"/>
        </w:rPr>
        <w:t> </w:t>
      </w:r>
      <w:r>
        <w:rPr/>
        <w:t>authorities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identify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implement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governance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funding</w:t>
      </w:r>
      <w:r>
        <w:rPr>
          <w:spacing w:val="-10"/>
        </w:rPr>
        <w:t> </w:t>
      </w:r>
      <w:r>
        <w:rPr/>
        <w:t>reforms</w:t>
      </w:r>
      <w:r>
        <w:rPr>
          <w:spacing w:val="-8"/>
        </w:rPr>
        <w:t> </w:t>
      </w:r>
      <w:r>
        <w:rPr/>
        <w:t>that</w:t>
      </w:r>
      <w:r>
        <w:rPr>
          <w:spacing w:val="1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nation’s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system.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efficiency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equity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important</w:t>
      </w:r>
      <w:r>
        <w:rPr>
          <w:spacing w:val="-9"/>
        </w:rPr>
        <w:t> </w:t>
      </w:r>
      <w:r>
        <w:rPr>
          <w:spacing w:val="-1"/>
        </w:rPr>
        <w:t>dimensions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well-functioning</w:t>
      </w:r>
      <w:r>
        <w:rPr>
          <w:spacing w:val="-10"/>
        </w:rPr>
        <w:t> </w:t>
      </w:r>
      <w:r>
        <w:rPr/>
        <w:t>higher</w:t>
      </w:r>
      <w:r>
        <w:rPr>
          <w:spacing w:val="-11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systems,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form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primary</w:t>
      </w:r>
      <w:r>
        <w:rPr>
          <w:spacing w:val="1"/>
        </w:rPr>
        <w:t> </w:t>
      </w:r>
      <w:r>
        <w:rPr/>
        <w:t>focus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this project.</w:t>
      </w:r>
    </w:p>
    <w:p>
      <w:pPr>
        <w:pStyle w:val="BodyText"/>
        <w:spacing w:line="271" w:lineRule="auto" w:before="123"/>
        <w:ind w:left="183" w:right="303"/>
        <w:jc w:val="both"/>
      </w:pPr>
      <w:r>
        <w:rPr/>
        <w:t>The project provides a comparative assessment of higher education performance in the Slovak Republic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action</w:t>
      </w:r>
      <w:r>
        <w:rPr>
          <w:spacing w:val="-6"/>
        </w:rPr>
        <w:t> </w:t>
      </w:r>
      <w:r>
        <w:rPr/>
        <w:t>plan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ten</w:t>
      </w:r>
      <w:r>
        <w:rPr>
          <w:spacing w:val="-5"/>
        </w:rPr>
        <w:t> </w:t>
      </w:r>
      <w:r>
        <w:rPr/>
        <w:t>policy</w:t>
      </w:r>
      <w:r>
        <w:rPr>
          <w:spacing w:val="-7"/>
        </w:rPr>
        <w:t> </w:t>
      </w:r>
      <w:r>
        <w:rPr/>
        <w:t>actions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three</w:t>
      </w:r>
      <w:r>
        <w:rPr>
          <w:spacing w:val="-5"/>
        </w:rPr>
        <w:t> </w:t>
      </w:r>
      <w:r>
        <w:rPr/>
        <w:t>areas:</w:t>
      </w:r>
      <w:r>
        <w:rPr>
          <w:spacing w:val="-6"/>
        </w:rPr>
        <w:t> </w:t>
      </w:r>
      <w:r>
        <w:rPr/>
        <w:t>(i)</w:t>
      </w:r>
      <w:r>
        <w:rPr>
          <w:spacing w:val="-5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a co-ordinated higher education strategy, (ii) using funding to support and reward higher education</w:t>
      </w:r>
      <w:r>
        <w:rPr>
          <w:spacing w:val="1"/>
        </w:rPr>
        <w:t> </w:t>
      </w:r>
      <w:r>
        <w:rPr/>
        <w:t>performance,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(iii)</w:t>
      </w:r>
      <w:r>
        <w:rPr>
          <w:spacing w:val="-1"/>
        </w:rPr>
        <w:t> </w:t>
      </w:r>
      <w:r>
        <w:rPr/>
        <w:t>enabling</w:t>
      </w:r>
      <w:r>
        <w:rPr>
          <w:spacing w:val="-3"/>
        </w:rPr>
        <w:t> </w:t>
      </w:r>
      <w:r>
        <w:rPr/>
        <w:t>responsive institutional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management.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4"/>
        </w:numPr>
        <w:tabs>
          <w:tab w:pos="652" w:val="left" w:leader="none"/>
        </w:tabs>
        <w:spacing w:line="240" w:lineRule="auto" w:before="192" w:after="0"/>
        <w:ind w:left="651" w:right="0" w:hanging="469"/>
        <w:jc w:val="left"/>
      </w:pPr>
      <w:bookmarkStart w:name="1.2. Working methods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bookmarkStart w:name="_bookmark5" w:id="18"/>
      <w:bookmarkEnd w:id="18"/>
      <w:r>
        <w:rPr>
          <w:color w:val="4E81BD"/>
        </w:rPr>
        <w:t>W</w:t>
      </w:r>
      <w:r>
        <w:rPr>
          <w:color w:val="4E81BD"/>
        </w:rPr>
        <w:t>orking</w:t>
      </w:r>
      <w:r>
        <w:rPr>
          <w:color w:val="4E81BD"/>
          <w:spacing w:val="-2"/>
        </w:rPr>
        <w:t> </w:t>
      </w:r>
      <w:r>
        <w:rPr>
          <w:color w:val="4E81BD"/>
        </w:rPr>
        <w:t>methods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00"/>
        <w:jc w:val="both"/>
      </w:pPr>
      <w:r>
        <w:rPr/>
        <w:t>This project began in June 2020 and concluded with the release of this report in November 2021. The</w:t>
      </w:r>
      <w:r>
        <w:rPr>
          <w:spacing w:val="1"/>
        </w:rPr>
        <w:t> </w:t>
      </w:r>
      <w:r>
        <w:rPr/>
        <w:t>European Commission-Slovak Republic-OECD project team established a Slovak Working Group to</w:t>
      </w:r>
      <w:r>
        <w:rPr>
          <w:spacing w:val="1"/>
        </w:rPr>
        <w:t> </w:t>
      </w:r>
      <w:r>
        <w:rPr/>
        <w:t>provide regular input on the project. It was composed of policy makers from the Ministry of Education</w:t>
      </w:r>
      <w:r>
        <w:rPr>
          <w:spacing w:val="1"/>
        </w:rPr>
        <w:t> </w:t>
      </w:r>
      <w:r>
        <w:rPr>
          <w:spacing w:val="-1"/>
        </w:rPr>
        <w:t>(MoE),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Institute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Policies,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-7"/>
        </w:rPr>
        <w:t> </w:t>
      </w:r>
      <w:r>
        <w:rPr/>
        <w:t>Accreditation</w:t>
      </w:r>
      <w:r>
        <w:rPr>
          <w:spacing w:val="-11"/>
        </w:rPr>
        <w:t> </w:t>
      </w:r>
      <w:r>
        <w:rPr/>
        <w:t>Agency</w:t>
      </w:r>
      <w:r>
        <w:rPr>
          <w:spacing w:val="-14"/>
        </w:rPr>
        <w:t> </w:t>
      </w:r>
      <w:r>
        <w:rPr/>
        <w:t>for</w:t>
      </w:r>
      <w:r>
        <w:rPr>
          <w:spacing w:val="-10"/>
        </w:rPr>
        <w:t> </w:t>
      </w:r>
      <w:r>
        <w:rPr/>
        <w:t>Higher</w:t>
      </w:r>
      <w:r>
        <w:rPr>
          <w:spacing w:val="-10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(SAAHE)</w:t>
      </w:r>
      <w:r>
        <w:rPr>
          <w:spacing w:val="1"/>
        </w:rPr>
        <w:t> </w:t>
      </w:r>
      <w:r>
        <w:rPr/>
        <w:t>and the Research Agency. It met four times, providing input in June 2020 on the project plan and fact-</w:t>
      </w:r>
      <w:r>
        <w:rPr>
          <w:spacing w:val="1"/>
        </w:rPr>
        <w:t> </w:t>
      </w:r>
      <w:r>
        <w:rPr/>
        <w:t>finding activities; in October 2020 to provide input on the OECD’s preliminary diagnosis and policy</w:t>
      </w:r>
      <w:r>
        <w:rPr>
          <w:spacing w:val="1"/>
        </w:rPr>
        <w:t> </w:t>
      </w:r>
      <w:r>
        <w:rPr/>
        <w:t>directions;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January</w:t>
      </w:r>
      <w:r>
        <w:rPr>
          <w:spacing w:val="-7"/>
        </w:rPr>
        <w:t> </w:t>
      </w:r>
      <w:r>
        <w:rPr/>
        <w:t>2021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discuss</w:t>
      </w:r>
      <w:r>
        <w:rPr>
          <w:spacing w:val="-5"/>
        </w:rPr>
        <w:t> </w:t>
      </w:r>
      <w:r>
        <w:rPr/>
        <w:t>recent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developments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Slovak</w:t>
      </w:r>
      <w:r>
        <w:rPr>
          <w:spacing w:val="8"/>
        </w:rPr>
        <w:t> </w:t>
      </w:r>
      <w:r>
        <w:rPr/>
        <w:t>Republic,</w:t>
      </w:r>
      <w:r>
        <w:rPr>
          <w:spacing w:val="-7"/>
        </w:rPr>
        <w:t> </w:t>
      </w:r>
      <w:r>
        <w:rPr/>
        <w:t>their</w:t>
      </w:r>
      <w:r>
        <w:rPr>
          <w:spacing w:val="1"/>
        </w:rPr>
        <w:t> </w:t>
      </w:r>
      <w:r>
        <w:rPr/>
        <w:t>relevance to the project and discuss implementation considerations for reforming the governance and</w:t>
      </w:r>
      <w:r>
        <w:rPr>
          <w:spacing w:val="1"/>
        </w:rPr>
        <w:t> </w:t>
      </w:r>
      <w:r>
        <w:rPr/>
        <w:t>funding of higher education, and in June 2021 to provide feedback on the recommended policy actions</w:t>
      </w:r>
      <w:r>
        <w:rPr>
          <w:spacing w:val="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 report.</w:t>
      </w:r>
    </w:p>
    <w:p>
      <w:pPr>
        <w:pStyle w:val="BodyText"/>
        <w:spacing w:line="271" w:lineRule="auto" w:before="121"/>
        <w:ind w:left="183" w:right="305"/>
        <w:jc w:val="both"/>
      </w:pPr>
      <w:r>
        <w:rPr/>
        <w:t>Between September 2020 and March 2021, several activities were organised by the OECD, with the</w:t>
      </w:r>
      <w:r>
        <w:rPr>
          <w:spacing w:val="1"/>
        </w:rPr>
        <w:t> </w:t>
      </w:r>
      <w:r>
        <w:rPr/>
        <w:t>participation as observers of the European Commission’s DG REFORM, the Slovak Government Office</w:t>
      </w:r>
      <w:r>
        <w:rPr>
          <w:spacing w:val="1"/>
        </w:rPr>
        <w:t> </w:t>
      </w:r>
      <w:r>
        <w:rPr/>
        <w:t>and an independent local expert.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included:</w:t>
      </w:r>
    </w:p>
    <w:p>
      <w:pPr>
        <w:pStyle w:val="ListParagraph"/>
        <w:numPr>
          <w:ilvl w:val="2"/>
          <w:numId w:val="4"/>
        </w:numPr>
        <w:tabs>
          <w:tab w:pos="863" w:val="left" w:leader="none"/>
        </w:tabs>
        <w:spacing w:line="266" w:lineRule="auto" w:before="99" w:after="0"/>
        <w:ind w:left="862" w:right="314" w:hanging="339"/>
        <w:jc w:val="both"/>
        <w:rPr>
          <w:sz w:val="20"/>
        </w:rPr>
      </w:pPr>
      <w:r>
        <w:rPr>
          <w:sz w:val="20"/>
        </w:rPr>
        <w:t>interviews with 28 key stakeholders, including higher education institution (HEI) leaders, staff and</w:t>
      </w:r>
      <w:r>
        <w:rPr>
          <w:spacing w:val="-53"/>
          <w:sz w:val="20"/>
        </w:rPr>
        <w:t> </w:t>
      </w:r>
      <w:r>
        <w:rPr>
          <w:sz w:val="20"/>
        </w:rPr>
        <w:t>students,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well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representatives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business,</w:t>
      </w:r>
      <w:r>
        <w:rPr>
          <w:spacing w:val="2"/>
          <w:sz w:val="20"/>
        </w:rPr>
        <w:t> </w:t>
      </w:r>
      <w:r>
        <w:rPr>
          <w:sz w:val="20"/>
        </w:rPr>
        <w:t>innovation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research</w:t>
      </w:r>
      <w:r>
        <w:rPr>
          <w:spacing w:val="-4"/>
          <w:sz w:val="20"/>
        </w:rPr>
        <w:t> </w:t>
      </w:r>
      <w:r>
        <w:rPr>
          <w:sz w:val="20"/>
        </w:rPr>
        <w:t>ecosystem</w:t>
      </w:r>
    </w:p>
    <w:p>
      <w:pPr>
        <w:pStyle w:val="ListParagraph"/>
        <w:numPr>
          <w:ilvl w:val="2"/>
          <w:numId w:val="4"/>
        </w:numPr>
        <w:tabs>
          <w:tab w:pos="863" w:val="left" w:leader="none"/>
        </w:tabs>
        <w:spacing w:line="271" w:lineRule="auto" w:before="54" w:after="0"/>
        <w:ind w:left="862" w:right="308" w:hanging="339"/>
        <w:jc w:val="both"/>
        <w:rPr>
          <w:sz w:val="20"/>
        </w:rPr>
      </w:pPr>
      <w:r>
        <w:rPr>
          <w:sz w:val="20"/>
        </w:rPr>
        <w:t>a peer-learning webinar with presentations from six international experts from Austria, Denmark,</w:t>
      </w:r>
      <w:r>
        <w:rPr>
          <w:spacing w:val="1"/>
          <w:sz w:val="20"/>
        </w:rPr>
        <w:t> </w:t>
      </w:r>
      <w:r>
        <w:rPr>
          <w:sz w:val="20"/>
        </w:rPr>
        <w:t>Finland,</w:t>
      </w:r>
      <w:r>
        <w:rPr>
          <w:spacing w:val="-11"/>
          <w:sz w:val="20"/>
        </w:rPr>
        <w:t> </w:t>
      </w:r>
      <w:r>
        <w:rPr>
          <w:sz w:val="20"/>
        </w:rPr>
        <w:t>Ireland,</w:t>
      </w:r>
      <w:r>
        <w:rPr>
          <w:spacing w:val="-10"/>
          <w:sz w:val="20"/>
        </w:rPr>
        <w:t> </w:t>
      </w:r>
      <w:r>
        <w:rPr>
          <w:sz w:val="20"/>
        </w:rPr>
        <w:t>Portugal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United</w:t>
      </w:r>
      <w:r>
        <w:rPr>
          <w:spacing w:val="-10"/>
          <w:sz w:val="20"/>
        </w:rPr>
        <w:t> </w:t>
      </w:r>
      <w:r>
        <w:rPr>
          <w:sz w:val="20"/>
        </w:rPr>
        <w:t>States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share</w:t>
      </w:r>
      <w:r>
        <w:rPr>
          <w:spacing w:val="-12"/>
          <w:sz w:val="20"/>
        </w:rPr>
        <w:t> </w:t>
      </w:r>
      <w:r>
        <w:rPr>
          <w:sz w:val="20"/>
        </w:rPr>
        <w:t>insights</w:t>
      </w:r>
      <w:r>
        <w:rPr>
          <w:spacing w:val="-11"/>
          <w:sz w:val="20"/>
        </w:rPr>
        <w:t> </w:t>
      </w:r>
      <w:r>
        <w:rPr>
          <w:sz w:val="20"/>
        </w:rPr>
        <w:t>about</w:t>
      </w:r>
      <w:r>
        <w:rPr>
          <w:spacing w:val="-13"/>
          <w:sz w:val="20"/>
        </w:rPr>
        <w:t> </w:t>
      </w:r>
      <w:r>
        <w:rPr>
          <w:sz w:val="20"/>
        </w:rPr>
        <w:t>reforming</w:t>
      </w:r>
      <w:r>
        <w:rPr>
          <w:spacing w:val="-13"/>
          <w:sz w:val="20"/>
        </w:rPr>
        <w:t> </w:t>
      </w:r>
      <w:r>
        <w:rPr>
          <w:sz w:val="20"/>
        </w:rPr>
        <w:t>higher</w:t>
      </w:r>
      <w:r>
        <w:rPr>
          <w:spacing w:val="-12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governance and funding from a policy and institutional perspective, that brought together about</w:t>
      </w:r>
      <w:r>
        <w:rPr>
          <w:spacing w:val="1"/>
          <w:sz w:val="20"/>
        </w:rPr>
        <w:t> </w:t>
      </w:r>
      <w:r>
        <w:rPr>
          <w:sz w:val="20"/>
        </w:rPr>
        <w:t>100 Slovak</w:t>
      </w:r>
      <w:r>
        <w:rPr>
          <w:spacing w:val="2"/>
          <w:sz w:val="20"/>
        </w:rPr>
        <w:t> </w:t>
      </w:r>
      <w:r>
        <w:rPr>
          <w:sz w:val="20"/>
        </w:rPr>
        <w:t>participants</w:t>
      </w:r>
    </w:p>
    <w:p>
      <w:pPr>
        <w:pStyle w:val="ListParagraph"/>
        <w:numPr>
          <w:ilvl w:val="2"/>
          <w:numId w:val="4"/>
        </w:numPr>
        <w:tabs>
          <w:tab w:pos="863" w:val="left" w:leader="none"/>
        </w:tabs>
        <w:spacing w:line="266" w:lineRule="auto" w:before="43" w:after="0"/>
        <w:ind w:left="862" w:right="305" w:hanging="339"/>
        <w:jc w:val="both"/>
        <w:rPr>
          <w:sz w:val="20"/>
        </w:rPr>
      </w:pPr>
      <w:r>
        <w:rPr>
          <w:sz w:val="20"/>
        </w:rPr>
        <w:t>institutional</w:t>
      </w:r>
      <w:r>
        <w:rPr>
          <w:spacing w:val="1"/>
          <w:sz w:val="20"/>
        </w:rPr>
        <w:t> </w:t>
      </w:r>
      <w:r>
        <w:rPr>
          <w:sz w:val="20"/>
        </w:rPr>
        <w:t>roundtable</w:t>
      </w:r>
      <w:r>
        <w:rPr>
          <w:spacing w:val="1"/>
          <w:sz w:val="20"/>
        </w:rPr>
        <w:t> </w:t>
      </w:r>
      <w:r>
        <w:rPr>
          <w:sz w:val="20"/>
        </w:rPr>
        <w:t>discussions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17 stakeholders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5 Slovak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institutions, including</w:t>
      </w:r>
      <w:r>
        <w:rPr>
          <w:spacing w:val="-1"/>
          <w:sz w:val="20"/>
        </w:rPr>
        <w:t> </w:t>
      </w:r>
      <w:r>
        <w:rPr>
          <w:sz w:val="20"/>
        </w:rPr>
        <w:t>leaders,</w:t>
      </w:r>
      <w:r>
        <w:rPr>
          <w:spacing w:val="-2"/>
          <w:sz w:val="20"/>
        </w:rPr>
        <w:t> </w:t>
      </w:r>
      <w:r>
        <w:rPr>
          <w:sz w:val="20"/>
        </w:rPr>
        <w:t>academic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professional</w:t>
      </w:r>
      <w:r>
        <w:rPr>
          <w:spacing w:val="-3"/>
          <w:sz w:val="20"/>
        </w:rPr>
        <w:t> </w:t>
      </w:r>
      <w:r>
        <w:rPr>
          <w:sz w:val="20"/>
        </w:rPr>
        <w:t>staff and</w:t>
      </w:r>
      <w:r>
        <w:rPr>
          <w:spacing w:val="-2"/>
          <w:sz w:val="20"/>
        </w:rPr>
        <w:t> </w:t>
      </w:r>
      <w:r>
        <w:rPr>
          <w:sz w:val="20"/>
        </w:rPr>
        <w:t>students.</w:t>
      </w:r>
    </w:p>
    <w:p>
      <w:pPr>
        <w:pStyle w:val="BodyText"/>
        <w:spacing w:before="134"/>
        <w:ind w:left="183"/>
        <w:jc w:val="both"/>
      </w:pPr>
      <w:r>
        <w:rPr/>
        <w:t>This</w:t>
      </w:r>
      <w:r>
        <w:rPr>
          <w:spacing w:val="-4"/>
        </w:rPr>
        <w:t> </w:t>
      </w:r>
      <w:r>
        <w:rPr/>
        <w:t>report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several</w:t>
      </w:r>
      <w:r>
        <w:rPr>
          <w:spacing w:val="-6"/>
        </w:rPr>
        <w:t> </w:t>
      </w:r>
      <w:r>
        <w:rPr/>
        <w:t>sources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information:</w:t>
      </w:r>
    </w:p>
    <w:p>
      <w:pPr>
        <w:pStyle w:val="ListParagraph"/>
        <w:numPr>
          <w:ilvl w:val="2"/>
          <w:numId w:val="4"/>
        </w:numPr>
        <w:tabs>
          <w:tab w:pos="863" w:val="left" w:leader="none"/>
        </w:tabs>
        <w:spacing w:line="240" w:lineRule="auto" w:before="129" w:after="0"/>
        <w:ind w:left="862" w:right="0" w:hanging="339"/>
        <w:jc w:val="both"/>
        <w:rPr>
          <w:sz w:val="20"/>
        </w:rPr>
      </w:pPr>
      <w:r>
        <w:rPr>
          <w:sz w:val="20"/>
        </w:rPr>
        <w:t>OECD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European</w:t>
      </w:r>
      <w:r>
        <w:rPr>
          <w:spacing w:val="-5"/>
          <w:sz w:val="20"/>
        </w:rPr>
        <w:t> </w:t>
      </w:r>
      <w:r>
        <w:rPr>
          <w:sz w:val="20"/>
        </w:rPr>
        <w:t>Union</w:t>
      </w:r>
      <w:r>
        <w:rPr>
          <w:spacing w:val="-5"/>
          <w:sz w:val="20"/>
        </w:rPr>
        <w:t> </w:t>
      </w:r>
      <w:r>
        <w:rPr>
          <w:sz w:val="20"/>
        </w:rPr>
        <w:t>international</w:t>
      </w:r>
      <w:r>
        <w:rPr>
          <w:spacing w:val="-6"/>
          <w:sz w:val="20"/>
        </w:rPr>
        <w:t> </w:t>
      </w:r>
      <w:r>
        <w:rPr>
          <w:sz w:val="20"/>
        </w:rPr>
        <w:t>datasets</w:t>
      </w:r>
    </w:p>
    <w:p>
      <w:pPr>
        <w:pStyle w:val="ListParagraph"/>
        <w:numPr>
          <w:ilvl w:val="2"/>
          <w:numId w:val="4"/>
        </w:numPr>
        <w:tabs>
          <w:tab w:pos="863" w:val="left" w:leader="none"/>
        </w:tabs>
        <w:spacing w:line="268" w:lineRule="auto" w:before="74" w:after="0"/>
        <w:ind w:left="862" w:right="309" w:hanging="339"/>
        <w:jc w:val="both"/>
        <w:rPr>
          <w:sz w:val="20"/>
        </w:rPr>
      </w:pPr>
      <w:r>
        <w:rPr>
          <w:sz w:val="20"/>
        </w:rPr>
        <w:t>background information and select data provided by an independent local expert and reviewed by</w:t>
      </w:r>
      <w:r>
        <w:rPr>
          <w:spacing w:val="-54"/>
          <w:sz w:val="20"/>
        </w:rPr>
        <w:t> </w:t>
      </w:r>
      <w:r>
        <w:rPr>
          <w:sz w:val="20"/>
        </w:rPr>
        <w:t>the Slovak Working Group, describing the Slovak higher education system’s key features and</w:t>
      </w:r>
      <w:r>
        <w:rPr>
          <w:spacing w:val="1"/>
          <w:sz w:val="20"/>
        </w:rPr>
        <w:t> </w:t>
      </w:r>
      <w:r>
        <w:rPr>
          <w:sz w:val="20"/>
        </w:rPr>
        <w:t>performance</w:t>
      </w:r>
    </w:p>
    <w:p>
      <w:pPr>
        <w:spacing w:after="0" w:line="268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2"/>
          <w:numId w:val="4"/>
        </w:numPr>
        <w:tabs>
          <w:tab w:pos="862" w:val="left" w:leader="none"/>
          <w:tab w:pos="863" w:val="left" w:leader="none"/>
        </w:tabs>
        <w:spacing w:line="240" w:lineRule="auto" w:before="172" w:after="0"/>
        <w:ind w:left="862" w:right="0" w:hanging="339"/>
        <w:jc w:val="left"/>
        <w:rPr>
          <w:sz w:val="20"/>
        </w:rPr>
      </w:pPr>
      <w:r>
        <w:rPr>
          <w:sz w:val="20"/>
        </w:rPr>
        <w:t>stakeholder</w:t>
      </w:r>
      <w:r>
        <w:rPr>
          <w:spacing w:val="-4"/>
          <w:sz w:val="20"/>
        </w:rPr>
        <w:t> </w:t>
      </w:r>
      <w:r>
        <w:rPr>
          <w:sz w:val="20"/>
        </w:rPr>
        <w:t>input</w:t>
      </w:r>
      <w:r>
        <w:rPr>
          <w:spacing w:val="-8"/>
          <w:sz w:val="20"/>
        </w:rPr>
        <w:t> </w:t>
      </w:r>
      <w:r>
        <w:rPr>
          <w:sz w:val="20"/>
        </w:rPr>
        <w:t>received</w:t>
      </w:r>
      <w:r>
        <w:rPr>
          <w:spacing w:val="-7"/>
          <w:sz w:val="20"/>
        </w:rPr>
        <w:t> </w:t>
      </w:r>
      <w:r>
        <w:rPr>
          <w:sz w:val="20"/>
        </w:rPr>
        <w:t>through</w:t>
      </w:r>
      <w:r>
        <w:rPr>
          <w:spacing w:val="-6"/>
          <w:sz w:val="20"/>
        </w:rPr>
        <w:t> </w:t>
      </w:r>
      <w:r>
        <w:rPr>
          <w:sz w:val="20"/>
        </w:rPr>
        <w:t>bilateral</w:t>
      </w:r>
      <w:r>
        <w:rPr>
          <w:spacing w:val="-8"/>
          <w:sz w:val="20"/>
        </w:rPr>
        <w:t> </w:t>
      </w:r>
      <w:r>
        <w:rPr>
          <w:sz w:val="20"/>
        </w:rPr>
        <w:t>interviews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institutional</w:t>
      </w:r>
      <w:r>
        <w:rPr>
          <w:spacing w:val="-7"/>
          <w:sz w:val="20"/>
        </w:rPr>
        <w:t> </w:t>
      </w:r>
      <w:r>
        <w:rPr>
          <w:sz w:val="20"/>
        </w:rPr>
        <w:t>roundtables</w:t>
      </w:r>
    </w:p>
    <w:p>
      <w:pPr>
        <w:pStyle w:val="ListParagraph"/>
        <w:numPr>
          <w:ilvl w:val="2"/>
          <w:numId w:val="4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comparative</w:t>
      </w:r>
      <w:r>
        <w:rPr>
          <w:spacing w:val="-6"/>
          <w:sz w:val="20"/>
        </w:rPr>
        <w:t> </w:t>
      </w:r>
      <w:r>
        <w:rPr>
          <w:sz w:val="20"/>
        </w:rPr>
        <w:t>analysis</w:t>
      </w:r>
      <w:r>
        <w:rPr>
          <w:spacing w:val="-4"/>
          <w:sz w:val="20"/>
        </w:rPr>
        <w:t> </w:t>
      </w:r>
      <w:r>
        <w:rPr>
          <w:sz w:val="20"/>
        </w:rPr>
        <w:t>based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international</w:t>
      </w:r>
      <w:r>
        <w:rPr>
          <w:spacing w:val="-4"/>
          <w:sz w:val="20"/>
        </w:rPr>
        <w:t> </w:t>
      </w:r>
      <w:r>
        <w:rPr>
          <w:sz w:val="20"/>
        </w:rPr>
        <w:t>expert</w:t>
      </w:r>
      <w:r>
        <w:rPr>
          <w:spacing w:val="-4"/>
          <w:sz w:val="20"/>
        </w:rPr>
        <w:t> </w:t>
      </w:r>
      <w:r>
        <w:rPr>
          <w:sz w:val="20"/>
        </w:rPr>
        <w:t>input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desk-based</w:t>
      </w:r>
      <w:r>
        <w:rPr>
          <w:spacing w:val="-6"/>
          <w:sz w:val="20"/>
        </w:rPr>
        <w:t> </w:t>
      </w:r>
      <w:r>
        <w:rPr>
          <w:sz w:val="20"/>
        </w:rPr>
        <w:t>comparative</w:t>
      </w:r>
      <w:r>
        <w:rPr>
          <w:spacing w:val="-6"/>
          <w:sz w:val="20"/>
        </w:rPr>
        <w:t> </w:t>
      </w:r>
      <w:r>
        <w:rPr>
          <w:sz w:val="20"/>
        </w:rPr>
        <w:t>research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4"/>
        </w:numPr>
        <w:tabs>
          <w:tab w:pos="652" w:val="left" w:leader="none"/>
        </w:tabs>
        <w:spacing w:line="240" w:lineRule="auto" w:before="204" w:after="0"/>
        <w:ind w:left="651" w:right="0" w:hanging="469"/>
        <w:jc w:val="left"/>
      </w:pPr>
      <w:bookmarkStart w:name="1.3. Analytical approach" w:id="19"/>
      <w:bookmarkEnd w:id="19"/>
      <w:r>
        <w:rPr>
          <w:b w:val="0"/>
        </w:rPr>
      </w:r>
      <w:bookmarkStart w:name="_bookmark6" w:id="20"/>
      <w:bookmarkEnd w:id="20"/>
      <w:r>
        <w:rPr>
          <w:b w:val="0"/>
        </w:rPr>
      </w:r>
      <w:bookmarkStart w:name="_bookmark6" w:id="21"/>
      <w:bookmarkEnd w:id="21"/>
      <w:r>
        <w:rPr>
          <w:color w:val="4E81BD"/>
        </w:rPr>
        <w:t>A</w:t>
      </w:r>
      <w:r>
        <w:rPr>
          <w:color w:val="4E81BD"/>
        </w:rPr>
        <w:t>nalytical</w:t>
      </w:r>
      <w:r>
        <w:rPr>
          <w:color w:val="4E81BD"/>
          <w:spacing w:val="-6"/>
        </w:rPr>
        <w:t> </w:t>
      </w:r>
      <w:r>
        <w:rPr>
          <w:color w:val="4E81BD"/>
        </w:rPr>
        <w:t>approach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Heading5"/>
      </w:pPr>
      <w:bookmarkStart w:name="Higher education performance" w:id="22"/>
      <w:bookmarkEnd w:id="22"/>
      <w:r>
        <w:rPr>
          <w:b w:val="0"/>
          <w:i w:val="0"/>
        </w:rPr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performance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ind w:left="183"/>
        <w:jc w:val="both"/>
      </w:pPr>
      <w:r>
        <w:rPr/>
        <w:t>Performance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higher</w:t>
      </w:r>
      <w:r>
        <w:rPr>
          <w:spacing w:val="15"/>
        </w:rPr>
        <w:t> </w:t>
      </w:r>
      <w:r>
        <w:rPr/>
        <w:t>education</w:t>
      </w:r>
      <w:r>
        <w:rPr>
          <w:spacing w:val="16"/>
        </w:rPr>
        <w:t> </w:t>
      </w:r>
      <w:r>
        <w:rPr/>
        <w:t>involves</w:t>
      </w:r>
      <w:r>
        <w:rPr>
          <w:spacing w:val="15"/>
        </w:rPr>
        <w:t> </w:t>
      </w:r>
      <w:r>
        <w:rPr/>
        <w:t>three</w:t>
      </w:r>
      <w:r>
        <w:rPr>
          <w:spacing w:val="15"/>
        </w:rPr>
        <w:t> </w:t>
      </w:r>
      <w:r>
        <w:rPr/>
        <w:t>dimensions: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efficiency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higher</w:t>
      </w:r>
      <w:r>
        <w:rPr>
          <w:spacing w:val="15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systems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71" w:lineRule="auto" w:before="32" w:after="0"/>
        <w:ind w:left="183" w:right="304" w:firstLine="0"/>
        <w:jc w:val="both"/>
        <w:rPr>
          <w:sz w:val="20"/>
        </w:rPr>
      </w:pPr>
      <w:r>
        <w:rPr>
          <w:sz w:val="20"/>
        </w:rPr>
        <w:t>the output achieved for a given level of financial and human inputs; its quality – the value of outputs</w:t>
      </w:r>
      <w:r>
        <w:rPr>
          <w:spacing w:val="1"/>
          <w:sz w:val="20"/>
        </w:rPr>
        <w:t> </w:t>
      </w:r>
      <w:r>
        <w:rPr>
          <w:sz w:val="20"/>
        </w:rPr>
        <w:t>achieved against widely agreed indicators or procedures; and its equity</w:t>
      </w:r>
      <w:r>
        <w:rPr>
          <w:spacing w:val="1"/>
          <w:sz w:val="20"/>
        </w:rPr>
        <w:t> </w:t>
      </w:r>
      <w:r>
        <w:rPr>
          <w:sz w:val="20"/>
        </w:rPr>
        <w:t>– the distribution of higher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education opportunities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benefits among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all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learners</w:t>
      </w:r>
      <w:r>
        <w:rPr>
          <w:spacing w:val="4"/>
          <w:position w:val="1"/>
          <w:sz w:val="20"/>
        </w:rPr>
        <w:t> </w:t>
      </w:r>
      <w:r>
        <w:rPr>
          <w:position w:val="1"/>
          <w:sz w:val="20"/>
        </w:rPr>
        <w:t>(OECD,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2020</w:t>
      </w:r>
      <w:r>
        <w:rPr>
          <w:sz w:val="13"/>
        </w:rPr>
        <w:t>[1]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20"/>
        <w:ind w:left="183" w:right="309"/>
        <w:jc w:val="both"/>
      </w:pPr>
      <w:r>
        <w:rPr/>
        <w:t>Achieving an efficient, high-quality and equitable higher education system poses significant challenges to</w:t>
      </w:r>
      <w:r>
        <w:rPr>
          <w:spacing w:val="-53"/>
        </w:rPr>
        <w:t> </w:t>
      </w:r>
      <w:r>
        <w:rPr/>
        <w:t>governments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across</w:t>
      </w:r>
      <w:r>
        <w:rPr>
          <w:spacing w:val="-9"/>
        </w:rPr>
        <w:t> </w:t>
      </w:r>
      <w:r>
        <w:rPr/>
        <w:t>OECD</w:t>
      </w:r>
      <w:r>
        <w:rPr>
          <w:spacing w:val="-10"/>
        </w:rPr>
        <w:t> </w:t>
      </w:r>
      <w:r>
        <w:rPr/>
        <w:t>countries.</w:t>
      </w:r>
      <w:r>
        <w:rPr>
          <w:spacing w:val="-10"/>
        </w:rPr>
        <w:t> </w:t>
      </w:r>
      <w:r>
        <w:rPr/>
        <w:t>Higher</w:t>
      </w:r>
      <w:r>
        <w:rPr>
          <w:spacing w:val="-10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systems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rapid</w:t>
      </w:r>
      <w:r>
        <w:rPr>
          <w:spacing w:val="-8"/>
        </w:rPr>
        <w:t> </w:t>
      </w:r>
      <w:r>
        <w:rPr/>
        <w:t>expansion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systems</w:t>
      </w:r>
      <w:r>
        <w:rPr>
          <w:spacing w:val="-5"/>
        </w:rPr>
        <w:t> </w:t>
      </w:r>
      <w:r>
        <w:rPr/>
        <w:t>(as</w:t>
      </w:r>
      <w:r>
        <w:rPr>
          <w:spacing w:val="-7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sharp</w:t>
      </w:r>
      <w:r>
        <w:rPr>
          <w:spacing w:val="-7"/>
        </w:rPr>
        <w:t> </w:t>
      </w:r>
      <w:r>
        <w:rPr/>
        <w:t>reductions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some</w:t>
      </w:r>
      <w:r>
        <w:rPr>
          <w:spacing w:val="-8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 recent years), the rising costs of higher education and growing demands placed on HEIs to meet the</w:t>
      </w:r>
      <w:r>
        <w:rPr>
          <w:spacing w:val="1"/>
        </w:rPr>
        <w:t> </w:t>
      </w:r>
      <w:r>
        <w:rPr/>
        <w:t>needs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individuals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communities</w:t>
      </w:r>
      <w:r>
        <w:rPr>
          <w:spacing w:val="-7"/>
        </w:rPr>
        <w:t> </w:t>
      </w:r>
      <w:r>
        <w:rPr/>
        <w:t>they</w:t>
      </w:r>
      <w:r>
        <w:rPr>
          <w:spacing w:val="-11"/>
        </w:rPr>
        <w:t> </w:t>
      </w:r>
      <w:r>
        <w:rPr/>
        <w:t>serve,</w:t>
      </w:r>
      <w:r>
        <w:rPr>
          <w:spacing w:val="-5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increasingly</w:t>
      </w:r>
      <w:r>
        <w:rPr>
          <w:spacing w:val="-8"/>
        </w:rPr>
        <w:t> </w:t>
      </w:r>
      <w:r>
        <w:rPr/>
        <w:t>diverse</w:t>
      </w:r>
      <w:r>
        <w:rPr>
          <w:spacing w:val="-7"/>
        </w:rPr>
        <w:t> </w:t>
      </w:r>
      <w:r>
        <w:rPr/>
        <w:t>student</w:t>
      </w:r>
      <w:r>
        <w:rPr>
          <w:spacing w:val="-5"/>
        </w:rPr>
        <w:t> </w:t>
      </w:r>
      <w:r>
        <w:rPr/>
        <w:t>population</w:t>
      </w:r>
      <w:r>
        <w:rPr>
          <w:spacing w:val="1"/>
        </w:rPr>
        <w:t> </w:t>
      </w:r>
      <w:r>
        <w:rPr>
          <w:position w:val="1"/>
        </w:rPr>
        <w:t>and employers</w:t>
      </w:r>
      <w:r>
        <w:rPr>
          <w:spacing w:val="2"/>
          <w:position w:val="1"/>
        </w:rPr>
        <w:t> </w:t>
      </w:r>
      <w:r>
        <w:rPr>
          <w:position w:val="1"/>
        </w:rPr>
        <w:t>with</w:t>
      </w:r>
      <w:r>
        <w:rPr>
          <w:spacing w:val="-2"/>
          <w:position w:val="1"/>
        </w:rPr>
        <w:t> </w:t>
      </w:r>
      <w:r>
        <w:rPr>
          <w:position w:val="1"/>
        </w:rPr>
        <w:t>new</w:t>
      </w:r>
      <w:r>
        <w:rPr>
          <w:spacing w:val="-1"/>
          <w:position w:val="1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fast-changing</w:t>
      </w:r>
      <w:r>
        <w:rPr>
          <w:spacing w:val="-3"/>
          <w:position w:val="1"/>
        </w:rPr>
        <w:t> </w:t>
      </w:r>
      <w:r>
        <w:rPr>
          <w:position w:val="1"/>
        </w:rPr>
        <w:t>skills demands</w:t>
      </w:r>
      <w:r>
        <w:rPr>
          <w:spacing w:val="1"/>
          <w:position w:val="1"/>
        </w:rPr>
        <w:t> </w:t>
      </w:r>
      <w:r>
        <w:rPr>
          <w:position w:val="1"/>
        </w:rPr>
        <w:t>(OECD, 2019</w:t>
      </w:r>
      <w:r>
        <w:rPr>
          <w:sz w:val="13"/>
        </w:rPr>
        <w:t>[2]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8"/>
        <w:jc w:val="both"/>
      </w:pPr>
      <w:r>
        <w:rPr/>
        <w:t>This project focuses primarily on the quality of higher education, both at the national level, by examining</w:t>
      </w:r>
      <w:r>
        <w:rPr>
          <w:spacing w:val="1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comparative</w:t>
      </w:r>
      <w:r>
        <w:rPr>
          <w:spacing w:val="-9"/>
        </w:rPr>
        <w:t> </w:t>
      </w:r>
      <w:r>
        <w:rPr/>
        <w:t>perspective,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institutional</w:t>
      </w:r>
      <w:r>
        <w:rPr>
          <w:spacing w:val="-12"/>
        </w:rPr>
        <w:t> </w:t>
      </w:r>
      <w:r>
        <w:rPr/>
        <w:t>level,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examining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types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measures</w:t>
      </w:r>
      <w:r>
        <w:rPr>
          <w:spacing w:val="-10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 and HEIs could use to identify and measure quality, and the policies that could be used to</w:t>
      </w:r>
      <w:r>
        <w:rPr>
          <w:spacing w:val="1"/>
        </w:rPr>
        <w:t> </w:t>
      </w:r>
      <w:r>
        <w:rPr/>
        <w:t>support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reward</w:t>
      </w:r>
      <w:r>
        <w:rPr>
          <w:spacing w:val="1"/>
        </w:rPr>
        <w:t> </w:t>
      </w:r>
      <w:r>
        <w:rPr/>
        <w:t>quality.</w:t>
      </w:r>
    </w:p>
    <w:p>
      <w:pPr>
        <w:pStyle w:val="BodyText"/>
        <w:spacing w:line="271" w:lineRule="auto" w:before="120"/>
        <w:ind w:left="183" w:right="303"/>
        <w:jc w:val="both"/>
      </w:pPr>
      <w:r>
        <w:rPr>
          <w:spacing w:val="-1"/>
        </w:rPr>
        <w:t>Multiple</w:t>
      </w:r>
      <w:r>
        <w:rPr>
          <w:spacing w:val="-13"/>
        </w:rPr>
        <w:t> </w:t>
      </w:r>
      <w:r>
        <w:rPr>
          <w:spacing w:val="-1"/>
        </w:rPr>
        <w:t>factors</w:t>
      </w:r>
      <w:r>
        <w:rPr>
          <w:spacing w:val="-11"/>
        </w:rPr>
        <w:t> </w:t>
      </w:r>
      <w:r>
        <w:rPr>
          <w:spacing w:val="-1"/>
        </w:rPr>
        <w:t>shape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ability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HEIs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achieve</w:t>
      </w:r>
      <w:r>
        <w:rPr>
          <w:spacing w:val="-13"/>
        </w:rPr>
        <w:t> </w:t>
      </w:r>
      <w:r>
        <w:rPr>
          <w:spacing w:val="-1"/>
        </w:rPr>
        <w:t>quality</w:t>
      </w:r>
      <w:r>
        <w:rPr>
          <w:spacing w:val="-13"/>
        </w:rPr>
        <w:t> </w:t>
      </w:r>
      <w:r>
        <w:rPr>
          <w:spacing w:val="-1"/>
        </w:rPr>
        <w:t>outcomes</w:t>
      </w:r>
      <w:r>
        <w:rPr>
          <w:spacing w:val="-12"/>
        </w:rPr>
        <w:t> </w:t>
      </w:r>
      <w:r>
        <w:rPr>
          <w:spacing w:val="-1"/>
        </w:rPr>
        <w:t>across</w:t>
      </w:r>
      <w:r>
        <w:rPr>
          <w:spacing w:val="-12"/>
        </w:rPr>
        <w:t> </w:t>
      </w:r>
      <w:r>
        <w:rPr/>
        <w:t>their</w:t>
      </w:r>
      <w:r>
        <w:rPr>
          <w:spacing w:val="-8"/>
        </w:rPr>
        <w:t> </w:t>
      </w:r>
      <w:r>
        <w:rPr/>
        <w:t>core</w:t>
      </w:r>
      <w:r>
        <w:rPr>
          <w:spacing w:val="-13"/>
        </w:rPr>
        <w:t> </w:t>
      </w:r>
      <w:r>
        <w:rPr/>
        <w:t>missions</w:t>
      </w:r>
      <w:r>
        <w:rPr>
          <w:spacing w:val="-10"/>
        </w:rPr>
        <w:t> </w:t>
      </w:r>
      <w:r>
        <w:rPr/>
        <w:t>– teaching,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engagement.</w:t>
      </w:r>
      <w:r>
        <w:rPr>
          <w:spacing w:val="-13"/>
        </w:rPr>
        <w:t> </w:t>
      </w:r>
      <w:r>
        <w:rPr>
          <w:spacing w:val="-1"/>
        </w:rPr>
        <w:t>Below</w:t>
      </w:r>
      <w:r>
        <w:rPr>
          <w:spacing w:val="-12"/>
        </w:rPr>
        <w:t> </w:t>
      </w:r>
      <w:r>
        <w:rPr>
          <w:spacing w:val="-1"/>
        </w:rPr>
        <w:t>we</w:t>
      </w:r>
      <w:r>
        <w:rPr>
          <w:spacing w:val="-13"/>
        </w:rPr>
        <w:t> </w:t>
      </w:r>
      <w:r>
        <w:rPr>
          <w:spacing w:val="-1"/>
        </w:rPr>
        <w:t>map</w:t>
      </w:r>
      <w:r>
        <w:rPr>
          <w:spacing w:val="-14"/>
        </w:rPr>
        <w:t> </w:t>
      </w:r>
      <w:r>
        <w:rPr>
          <w:spacing w:val="-1"/>
        </w:rPr>
        <w:t>out</w:t>
      </w:r>
      <w:r>
        <w:rPr>
          <w:spacing w:val="-12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factors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their</w:t>
      </w:r>
      <w:r>
        <w:rPr>
          <w:spacing w:val="-12"/>
        </w:rPr>
        <w:t> </w:t>
      </w:r>
      <w:r>
        <w:rPr/>
        <w:t>interplay</w:t>
      </w:r>
      <w:r>
        <w:rPr>
          <w:spacing w:val="-15"/>
        </w:rPr>
        <w:t> </w:t>
      </w:r>
      <w:r>
        <w:rPr/>
        <w:t>as</w:t>
      </w:r>
      <w:r>
        <w:rPr>
          <w:spacing w:val="-12"/>
        </w:rPr>
        <w:t> </w:t>
      </w:r>
      <w:r>
        <w:rPr/>
        <w:t>they</w:t>
      </w:r>
      <w:r>
        <w:rPr>
          <w:spacing w:val="-16"/>
        </w:rPr>
        <w:t> </w:t>
      </w:r>
      <w:r>
        <w:rPr/>
        <w:t>shape</w:t>
      </w:r>
      <w:r>
        <w:rPr>
          <w:spacing w:val="-13"/>
        </w:rPr>
        <w:t> </w:t>
      </w:r>
      <w:r>
        <w:rPr/>
        <w:t>one</w:t>
      </w:r>
      <w:r>
        <w:rPr>
          <w:spacing w:val="-12"/>
        </w:rPr>
        <w:t> </w:t>
      </w:r>
      <w:r>
        <w:rPr/>
        <w:t>important</w:t>
      </w:r>
      <w:r>
        <w:rPr>
          <w:spacing w:val="-53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higher education</w:t>
      </w:r>
      <w:r>
        <w:rPr>
          <w:spacing w:val="-2"/>
        </w:rPr>
        <w:t> </w:t>
      </w:r>
      <w:r>
        <w:rPr/>
        <w:t>systems: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labour</w:t>
      </w:r>
      <w:r>
        <w:rPr>
          <w:spacing w:val="-2"/>
        </w:rPr>
        <w:t> </w:t>
      </w:r>
      <w:r>
        <w:rPr/>
        <w:t>market</w:t>
      </w:r>
      <w:r>
        <w:rPr>
          <w:spacing w:val="-4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graduates</w:t>
      </w:r>
      <w:r>
        <w:rPr>
          <w:spacing w:val="4"/>
        </w:rPr>
        <w:t> </w:t>
      </w:r>
      <w:r>
        <w:rPr/>
        <w:t>(</w:t>
      </w:r>
      <w:hyperlink w:history="true" w:anchor="_bookmark7">
        <w:r>
          <w:rPr/>
          <w:t>Figure</w:t>
        </w:r>
        <w:r>
          <w:rPr>
            <w:spacing w:val="1"/>
          </w:rPr>
          <w:t> </w:t>
        </w:r>
        <w:r>
          <w:rPr/>
          <w:t>1.1</w:t>
        </w:r>
      </w:hyperlink>
      <w:r>
        <w:rPr/>
        <w:t>).</w:t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7" w:id="23"/>
      <w:bookmarkEnd w:id="23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1.1.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Factors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affecting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outcomes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for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graduates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employers</w:t>
      </w:r>
    </w:p>
    <w:p>
      <w:pPr>
        <w:pStyle w:val="BodyText"/>
        <w:spacing w:before="11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1230682</wp:posOffset>
            </wp:positionH>
            <wp:positionV relativeFrom="paragraph">
              <wp:posOffset>119431</wp:posOffset>
            </wp:positionV>
            <wp:extent cx="5117802" cy="2776061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802" cy="2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73"/>
        <w:ind w:left="183" w:right="302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[3]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28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Labour Market Relevance and Outcomes</w:t>
      </w:r>
      <w:r>
        <w:rPr>
          <w:rFonts w:ascii="Arial"/>
          <w:i/>
          <w:spacing w:val="3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of Higher Education in Four US</w:t>
      </w:r>
      <w:r>
        <w:rPr>
          <w:rFonts w:ascii="Arial"/>
          <w:i/>
          <w:spacing w:val="3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States,</w:t>
      </w:r>
      <w:r>
        <w:rPr>
          <w:rFonts w:ascii="Arial"/>
          <w:i/>
          <w:spacing w:val="30"/>
          <w:position w:val="1"/>
          <w:sz w:val="18"/>
        </w:rPr>
        <w:t> </w:t>
      </w:r>
      <w:hyperlink r:id="rId37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https://doi.org/10.1787/38361454-</w:t>
        </w:r>
      </w:hyperlink>
      <w:r>
        <w:rPr>
          <w:rFonts w:ascii="Microsoft Sans Serif"/>
          <w:color w:val="0000FF"/>
          <w:spacing w:val="1"/>
          <w:w w:val="80"/>
          <w:position w:val="1"/>
          <w:sz w:val="18"/>
        </w:rPr>
        <w:t> </w:t>
      </w:r>
      <w:hyperlink r:id="rId37">
        <w:r>
          <w:rPr>
            <w:rFonts w:ascii="Microsoft Sans Serif"/>
            <w:color w:val="0000FF"/>
            <w:w w:val="90"/>
            <w:sz w:val="18"/>
            <w:u w:val="single" w:color="0000FF"/>
          </w:rPr>
          <w:t>en</w:t>
        </w:r>
        <w:r>
          <w:rPr>
            <w:rFonts w:ascii="Microsoft Sans Serif"/>
            <w:w w:val="90"/>
            <w:sz w:val="18"/>
          </w:rPr>
          <w:t>,</w:t>
        </w:r>
        <w:r>
          <w:rPr>
            <w:rFonts w:ascii="Microsoft Sans Serif"/>
            <w:spacing w:val="-3"/>
            <w:w w:val="90"/>
            <w:sz w:val="18"/>
          </w:rPr>
          <w:t> </w:t>
        </w:r>
      </w:hyperlink>
      <w:r>
        <w:rPr>
          <w:rFonts w:ascii="Microsoft Sans Serif"/>
          <w:w w:val="90"/>
          <w:sz w:val="18"/>
        </w:rPr>
        <w:t>Figure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1.1.</w:t>
      </w:r>
    </w:p>
    <w:p>
      <w:pPr>
        <w:spacing w:after="0" w:line="259" w:lineRule="auto"/>
        <w:jc w:val="both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9"/>
        <w:rPr>
          <w:rFonts w:ascii="Microsoft Sans Serif"/>
          <w:sz w:val="8"/>
        </w:rPr>
      </w:pPr>
    </w:p>
    <w:p>
      <w:pPr>
        <w:pStyle w:val="BodyText"/>
        <w:spacing w:line="271" w:lineRule="auto" w:before="93"/>
        <w:ind w:left="183" w:right="302"/>
        <w:jc w:val="both"/>
      </w:pPr>
      <w:r>
        <w:rPr/>
        <w:t>The analysis in this report recognises that the performance of Slovak HEIs must be assessed in light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economic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10"/>
        </w:rPr>
        <w:t> </w:t>
      </w:r>
      <w:r>
        <w:rPr>
          <w:spacing w:val="-1"/>
        </w:rPr>
        <w:t>context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shapes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actions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institutions 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outcomes</w:t>
      </w:r>
      <w:r>
        <w:rPr>
          <w:spacing w:val="-10"/>
        </w:rPr>
        <w:t> </w:t>
      </w:r>
      <w:r>
        <w:rPr/>
        <w:t>they</w:t>
      </w:r>
      <w:r>
        <w:rPr>
          <w:spacing w:val="-14"/>
        </w:rPr>
        <w:t> </w:t>
      </w:r>
      <w:r>
        <w:rPr/>
        <w:t>can</w:t>
      </w:r>
      <w:r>
        <w:rPr>
          <w:spacing w:val="-11"/>
        </w:rPr>
        <w:t> </w:t>
      </w:r>
      <w:r>
        <w:rPr/>
        <w:t>achieve.</w:t>
      </w:r>
    </w:p>
    <w:p>
      <w:pPr>
        <w:pStyle w:val="BodyText"/>
        <w:spacing w:line="271" w:lineRule="auto" w:before="119"/>
        <w:ind w:left="183" w:right="301"/>
        <w:jc w:val="both"/>
      </w:pPr>
      <w:r>
        <w:rPr/>
        <w:t>It</w:t>
      </w:r>
      <w:r>
        <w:rPr>
          <w:spacing w:val="-9"/>
        </w:rPr>
        <w:t> </w:t>
      </w:r>
      <w:r>
        <w:rPr/>
        <w:t>focuses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actions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take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steer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actions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HEIs,</w:t>
      </w:r>
      <w:r>
        <w:rPr>
          <w:spacing w:val="-9"/>
        </w:rPr>
        <w:t> </w:t>
      </w:r>
      <w:r>
        <w:rPr/>
        <w:t>support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reward</w:t>
      </w:r>
      <w:r>
        <w:rPr>
          <w:spacing w:val="-1"/>
        </w:rPr>
        <w:t> </w:t>
      </w:r>
      <w:r>
        <w:rPr/>
        <w:t>quality</w:t>
      </w:r>
      <w:r>
        <w:rPr>
          <w:spacing w:val="-53"/>
        </w:rPr>
        <w:t> </w:t>
      </w:r>
      <w:r>
        <w:rPr/>
        <w:t>improvements, and enable institutional governance and management processes and practices that are</w:t>
      </w:r>
      <w:r>
        <w:rPr>
          <w:spacing w:val="1"/>
        </w:rPr>
        <w:t> </w:t>
      </w:r>
      <w:r>
        <w:rPr/>
        <w:t>responsive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needs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stakeholders 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broader</w:t>
      </w:r>
      <w:r>
        <w:rPr>
          <w:spacing w:val="-3"/>
        </w:rPr>
        <w:t> </w:t>
      </w:r>
      <w:r>
        <w:rPr/>
        <w:t>Slovak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</w:pPr>
      <w:bookmarkStart w:name="Context and focus of the action plan" w:id="24"/>
      <w:bookmarkEnd w:id="24"/>
      <w:r>
        <w:rPr>
          <w:b w:val="0"/>
          <w:i w:val="0"/>
        </w:rPr>
      </w:r>
      <w:r>
        <w:rPr/>
        <w:t>Context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focus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Recent international and national studies highlighting the need to improve the quality of the higher</w:t>
      </w:r>
      <w:r>
        <w:rPr>
          <w:spacing w:val="1"/>
        </w:rPr>
        <w:t> </w:t>
      </w:r>
      <w:r>
        <w:rPr>
          <w:spacing w:val="-1"/>
        </w:rPr>
        <w:t>education</w:t>
      </w:r>
      <w:r>
        <w:rPr>
          <w:spacing w:val="-13"/>
        </w:rPr>
        <w:t> </w:t>
      </w:r>
      <w:r>
        <w:rPr>
          <w:spacing w:val="-1"/>
        </w:rPr>
        <w:t>system</w:t>
      </w:r>
      <w:r>
        <w:rPr>
          <w:spacing w:val="-8"/>
        </w:rPr>
        <w:t> </w:t>
      </w:r>
      <w:r>
        <w:rPr>
          <w:spacing w:val="-1"/>
        </w:rPr>
        <w:t>provided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wide</w:t>
      </w:r>
      <w:r>
        <w:rPr>
          <w:spacing w:val="-12"/>
        </w:rPr>
        <w:t> </w:t>
      </w:r>
      <w:r>
        <w:rPr>
          <w:spacing w:val="-1"/>
        </w:rPr>
        <w:t>range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recommendations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system</w:t>
      </w:r>
      <w:r>
        <w:rPr>
          <w:spacing w:val="-9"/>
        </w:rPr>
        <w:t> </w:t>
      </w:r>
      <w:r>
        <w:rPr/>
        <w:t>improvement,</w:t>
      </w:r>
      <w:r>
        <w:rPr>
          <w:spacing w:val="-12"/>
        </w:rPr>
        <w:t> </w:t>
      </w:r>
      <w:r>
        <w:rPr/>
        <w:t>placing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focus on the governance and funding of the system (see in particular the European Commission’s Peer</w:t>
      </w:r>
      <w:r>
        <w:rPr>
          <w:spacing w:val="1"/>
        </w:rPr>
        <w:t> </w:t>
      </w:r>
      <w:r>
        <w:rPr>
          <w:position w:val="1"/>
        </w:rPr>
        <w:t>Counselling on the Governance of Higher Education Institutions in the Slovak (2018</w:t>
      </w:r>
      <w:r>
        <w:rPr>
          <w:sz w:val="13"/>
        </w:rPr>
        <w:t>[4]</w:t>
      </w:r>
      <w:r>
        <w:rPr>
          <w:position w:val="1"/>
        </w:rPr>
        <w:t>) and the Learning</w:t>
      </w:r>
      <w:r>
        <w:rPr>
          <w:spacing w:val="1"/>
          <w:position w:val="1"/>
        </w:rPr>
        <w:t> </w:t>
      </w:r>
      <w:r>
        <w:rPr>
          <w:position w:val="1"/>
        </w:rPr>
        <w:t>Makes</w:t>
      </w:r>
      <w:r>
        <w:rPr>
          <w:spacing w:val="-1"/>
          <w:position w:val="1"/>
        </w:rPr>
        <w:t> </w:t>
      </w:r>
      <w:r>
        <w:rPr>
          <w:position w:val="1"/>
        </w:rPr>
        <w:t>Sense</w:t>
      </w:r>
      <w:r>
        <w:rPr>
          <w:spacing w:val="-2"/>
          <w:position w:val="1"/>
        </w:rPr>
        <w:t> </w:t>
      </w:r>
      <w:r>
        <w:rPr>
          <w:position w:val="1"/>
        </w:rPr>
        <w:t>study</w:t>
      </w:r>
      <w:r>
        <w:rPr>
          <w:spacing w:val="-4"/>
          <w:position w:val="1"/>
        </w:rPr>
        <w:t> </w:t>
      </w:r>
      <w:r>
        <w:rPr>
          <w:position w:val="1"/>
        </w:rPr>
        <w:t>(To</w:t>
      </w:r>
      <w:r>
        <w:rPr>
          <w:spacing w:val="-2"/>
          <w:position w:val="1"/>
        </w:rPr>
        <w:t> </w:t>
      </w:r>
      <w:r>
        <w:rPr>
          <w:position w:val="1"/>
        </w:rPr>
        <w:t>dá rozum)</w:t>
      </w:r>
      <w:r>
        <w:rPr>
          <w:spacing w:val="2"/>
          <w:position w:val="1"/>
        </w:rPr>
        <w:t> </w:t>
      </w:r>
      <w:r>
        <w:rPr>
          <w:position w:val="1"/>
        </w:rPr>
        <w:t>(2021</w:t>
      </w:r>
      <w:r>
        <w:rPr>
          <w:sz w:val="13"/>
        </w:rPr>
        <w:t>[5]</w:t>
      </w:r>
      <w:r>
        <w:rPr>
          <w:position w:val="1"/>
        </w:rPr>
        <w:t>),</w:t>
      </w:r>
      <w:r>
        <w:rPr>
          <w:spacing w:val="-2"/>
          <w:position w:val="1"/>
        </w:rPr>
        <w:t> </w:t>
      </w:r>
      <w:r>
        <w:rPr>
          <w:position w:val="1"/>
        </w:rPr>
        <w:t>discussed</w:t>
      </w:r>
      <w:r>
        <w:rPr>
          <w:spacing w:val="-2"/>
          <w:position w:val="1"/>
        </w:rPr>
        <w:t> </w:t>
      </w:r>
      <w:r>
        <w:rPr>
          <w:position w:val="1"/>
        </w:rPr>
        <w:t>in</w:t>
      </w:r>
      <w:r>
        <w:rPr>
          <w:spacing w:val="-2"/>
          <w:position w:val="1"/>
        </w:rPr>
        <w:t> </w:t>
      </w:r>
      <w:r>
        <w:rPr>
          <w:position w:val="1"/>
        </w:rPr>
        <w:t>Chapter</w:t>
      </w:r>
      <w:r>
        <w:rPr>
          <w:spacing w:val="-2"/>
          <w:position w:val="1"/>
        </w:rPr>
        <w:t> </w:t>
      </w:r>
      <w:r>
        <w:rPr>
          <w:position w:val="1"/>
        </w:rPr>
        <w:t>3,</w:t>
      </w:r>
      <w:r>
        <w:rPr>
          <w:spacing w:val="1"/>
          <w:position w:val="1"/>
        </w:rPr>
        <w:t> </w:t>
      </w:r>
      <w:r>
        <w:rPr>
          <w:position w:val="1"/>
        </w:rPr>
        <w:t>Box</w:t>
      </w:r>
      <w:r>
        <w:rPr>
          <w:spacing w:val="1"/>
          <w:position w:val="1"/>
        </w:rPr>
        <w:t> </w:t>
      </w:r>
      <w:r>
        <w:rPr>
          <w:position w:val="1"/>
        </w:rPr>
        <w:t>3.4).</w:t>
      </w:r>
    </w:p>
    <w:p>
      <w:pPr>
        <w:pStyle w:val="BodyText"/>
        <w:spacing w:line="271" w:lineRule="auto" w:before="119"/>
        <w:ind w:left="183" w:right="301"/>
        <w:jc w:val="both"/>
      </w:pPr>
      <w:r>
        <w:rPr/>
        <w:t>In addition, over the course of 2020 and 2021, the Slovak government has identified higher education</w:t>
      </w:r>
      <w:r>
        <w:rPr>
          <w:spacing w:val="1"/>
        </w:rPr>
        <w:t> </w:t>
      </w:r>
      <w:r>
        <w:rPr>
          <w:spacing w:val="-1"/>
        </w:rPr>
        <w:t>reform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key</w:t>
      </w:r>
      <w:r>
        <w:rPr>
          <w:spacing w:val="-13"/>
        </w:rPr>
        <w:t> </w:t>
      </w:r>
      <w:r>
        <w:rPr/>
        <w:t>policy</w:t>
      </w:r>
      <w:r>
        <w:rPr>
          <w:spacing w:val="-11"/>
        </w:rPr>
        <w:t> </w:t>
      </w:r>
      <w:r>
        <w:rPr/>
        <w:t>priority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country’s</w:t>
      </w:r>
      <w:r>
        <w:rPr>
          <w:spacing w:val="-7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prosperity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social</w:t>
      </w:r>
      <w:r>
        <w:rPr>
          <w:spacing w:val="-7"/>
        </w:rPr>
        <w:t> </w:t>
      </w:r>
      <w:r>
        <w:rPr/>
        <w:t>well-being.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vision</w:t>
      </w:r>
      <w:r>
        <w:rPr>
          <w:spacing w:val="1"/>
        </w:rPr>
        <w:t> </w:t>
      </w:r>
      <w:r>
        <w:rPr/>
        <w:t>for higher education was most recently set out in the “Modern and Successful Slovakia” plan (Moderné a</w:t>
      </w:r>
      <w:r>
        <w:rPr>
          <w:spacing w:val="1"/>
        </w:rPr>
        <w:t> </w:t>
      </w:r>
      <w:r>
        <w:rPr/>
        <w:t>Úspešné Slovensko). The plan aims to “increase the performance of Slovak universities, promote their</w:t>
      </w:r>
      <w:r>
        <w:rPr>
          <w:spacing w:val="1"/>
        </w:rPr>
        <w:t> </w:t>
      </w:r>
      <w:r>
        <w:rPr/>
        <w:t>diversification, focus on inclusion, international co-operation and collaboration with the private sector, so</w:t>
      </w:r>
      <w:r>
        <w:rPr>
          <w:spacing w:val="1"/>
        </w:rPr>
        <w:t> </w:t>
      </w:r>
      <w:r>
        <w:rPr/>
        <w:t>that the universities can contribute to reinforcing the quality of human capital, social inclusion, and the</w:t>
      </w:r>
      <w:r>
        <w:rPr>
          <w:spacing w:val="1"/>
        </w:rPr>
        <w:t> </w:t>
      </w:r>
      <w:r>
        <w:rPr/>
        <w:t>innovation potential of the Slovak Republic, increased economic competitiveness, economic growth and</w:t>
      </w:r>
      <w:r>
        <w:rPr>
          <w:spacing w:val="1"/>
        </w:rPr>
        <w:t> </w:t>
      </w:r>
      <w:r>
        <w:rPr>
          <w:position w:val="1"/>
        </w:rPr>
        <w:t>sustainable</w:t>
      </w:r>
      <w:r>
        <w:rPr>
          <w:spacing w:val="-2"/>
          <w:position w:val="1"/>
        </w:rPr>
        <w:t> </w:t>
      </w:r>
      <w:r>
        <w:rPr>
          <w:position w:val="1"/>
        </w:rPr>
        <w:t>jobs”</w:t>
      </w:r>
      <w:r>
        <w:rPr>
          <w:spacing w:val="1"/>
          <w:position w:val="1"/>
        </w:rPr>
        <w:t> </w:t>
      </w:r>
      <w:r>
        <w:rPr>
          <w:position w:val="1"/>
        </w:rPr>
        <w:t>(Government</w:t>
      </w:r>
      <w:r>
        <w:rPr>
          <w:spacing w:val="-2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Slovak</w:t>
      </w:r>
      <w:r>
        <w:rPr>
          <w:spacing w:val="2"/>
          <w:position w:val="1"/>
        </w:rPr>
        <w:t> </w:t>
      </w:r>
      <w:r>
        <w:rPr>
          <w:position w:val="1"/>
        </w:rPr>
        <w:t>Republic, 2021</w:t>
      </w:r>
      <w:r>
        <w:rPr>
          <w:sz w:val="13"/>
        </w:rPr>
        <w:t>[6]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The Slovak Republic’s national Recovery and Resilience plan was prepared in the spring of 2021 in the</w:t>
      </w:r>
      <w:r>
        <w:rPr>
          <w:spacing w:val="1"/>
        </w:rPr>
        <w:t> </w:t>
      </w:r>
      <w:r>
        <w:rPr/>
        <w:t>context of the European Commission’s Resilience and Recovery Facility (RRF). The RRF is a large-scale</w:t>
      </w:r>
      <w:r>
        <w:rPr>
          <w:spacing w:val="-53"/>
        </w:rPr>
        <w:t> </w:t>
      </w:r>
      <w:r>
        <w:rPr/>
        <w:t>financial instrument to “help [member states] repair the immediate economic and social damage brought</w:t>
      </w:r>
      <w:r>
        <w:rPr>
          <w:spacing w:val="1"/>
        </w:rPr>
        <w:t> </w:t>
      </w:r>
      <w:r>
        <w:rPr/>
        <w:t>about by the coronavirus pandemic” and help ensure “a sustainable and inclusive recovery that promotes</w:t>
      </w:r>
      <w:r>
        <w:rPr>
          <w:spacing w:val="-53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green and digital transitions”</w:t>
      </w:r>
      <w:r>
        <w:rPr>
          <w:spacing w:val="2"/>
          <w:position w:val="1"/>
        </w:rPr>
        <w:t> </w:t>
      </w:r>
      <w:r>
        <w:rPr>
          <w:position w:val="1"/>
        </w:rPr>
        <w:t>(European</w:t>
      </w:r>
      <w:r>
        <w:rPr>
          <w:spacing w:val="-2"/>
          <w:position w:val="1"/>
        </w:rPr>
        <w:t> </w:t>
      </w:r>
      <w:r>
        <w:rPr>
          <w:position w:val="1"/>
        </w:rPr>
        <w:t>Commission,</w:t>
      </w:r>
      <w:r>
        <w:rPr>
          <w:spacing w:val="-2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[7]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The government’s new vision for higher education complements existing reform plans, most notably a</w:t>
      </w:r>
      <w:r>
        <w:rPr>
          <w:spacing w:val="1"/>
        </w:rPr>
        <w:t> </w:t>
      </w:r>
      <w:r>
        <w:rPr/>
        <w:t>government-led proposal to make important changes to the Higher Education Act, with a particular focus</w:t>
      </w:r>
      <w:r>
        <w:rPr>
          <w:spacing w:val="1"/>
        </w:rPr>
        <w:t> </w:t>
      </w:r>
      <w:r>
        <w:rPr/>
        <w:t>on modifying the internal governance structure of higher education institutions (HEIs). The government</w:t>
      </w:r>
      <w:r>
        <w:rPr>
          <w:spacing w:val="1"/>
        </w:rPr>
        <w:t> </w:t>
      </w:r>
      <w:r>
        <w:rPr/>
        <w:t>has announced plans to submit an amendment to the national parliament and adopt an amended act 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end of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line="271" w:lineRule="auto" w:before="119"/>
        <w:ind w:left="183" w:right="301"/>
        <w:jc w:val="both"/>
      </w:pPr>
      <w:r>
        <w:rPr/>
        <w:t>Against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policy</w:t>
      </w:r>
      <w:r>
        <w:rPr>
          <w:spacing w:val="-7"/>
        </w:rPr>
        <w:t> </w:t>
      </w:r>
      <w:r>
        <w:rPr/>
        <w:t>backdrop,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action</w:t>
      </w:r>
      <w:r>
        <w:rPr>
          <w:spacing w:val="-5"/>
        </w:rPr>
        <w:t> </w:t>
      </w:r>
      <w:r>
        <w:rPr/>
        <w:t>plan</w:t>
      </w:r>
      <w:r>
        <w:rPr>
          <w:spacing w:val="-5"/>
        </w:rPr>
        <w:t> </w:t>
      </w:r>
      <w:r>
        <w:rPr/>
        <w:t>aims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help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Slovak</w:t>
      </w:r>
      <w:r>
        <w:rPr>
          <w:spacing w:val="-1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three</w:t>
      </w:r>
      <w:r>
        <w:rPr>
          <w:spacing w:val="-4"/>
        </w:rPr>
        <w:t> </w:t>
      </w:r>
      <w:r>
        <w:rPr/>
        <w:t>ways.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 Slovak authorities: 1) refine their current policy plans in light of the OECD’s analysis; 2) consider</w:t>
      </w:r>
      <w:r>
        <w:rPr>
          <w:spacing w:val="1"/>
        </w:rPr>
        <w:t> </w:t>
      </w:r>
      <w:r>
        <w:rPr/>
        <w:t>additional actions that could help achieve the government’s goal of a higher quality higher education</w:t>
      </w:r>
      <w:r>
        <w:rPr>
          <w:spacing w:val="1"/>
        </w:rPr>
        <w:t> </w:t>
      </w:r>
      <w:r>
        <w:rPr/>
        <w:t>system;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3)</w:t>
      </w:r>
      <w:r>
        <w:rPr>
          <w:spacing w:val="-2"/>
        </w:rPr>
        <w:t> </w:t>
      </w:r>
      <w:r>
        <w:rPr/>
        <w:t>carefully</w:t>
      </w:r>
      <w:r>
        <w:rPr>
          <w:spacing w:val="-3"/>
        </w:rPr>
        <w:t> </w:t>
      </w:r>
      <w:r>
        <w:rPr/>
        <w:t>prepare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successful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reform.</w:t>
      </w:r>
    </w:p>
    <w:p>
      <w:pPr>
        <w:pStyle w:val="BodyText"/>
        <w:spacing w:line="271" w:lineRule="auto" w:before="122"/>
        <w:ind w:left="183" w:right="303"/>
        <w:jc w:val="both"/>
      </w:pPr>
      <w:r>
        <w:rPr/>
        <w:t>Furthermore, implementation – the process by which policy objectives translate into actions that result in</w:t>
      </w:r>
      <w:r>
        <w:rPr>
          <w:spacing w:val="1"/>
        </w:rPr>
        <w:t> </w:t>
      </w:r>
      <w:r>
        <w:rPr/>
        <w:t>changes in practice – is a major focus of this action plan. This is a priority because previous OECD work</w:t>
      </w:r>
      <w:r>
        <w:rPr>
          <w:spacing w:val="1"/>
        </w:rPr>
        <w:t> </w:t>
      </w:r>
      <w:r>
        <w:rPr/>
        <w:t>suggests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fragile</w:t>
      </w:r>
      <w:r>
        <w:rPr>
          <w:spacing w:val="-4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has</w:t>
      </w:r>
      <w:r>
        <w:rPr>
          <w:spacing w:val="-5"/>
        </w:rPr>
        <w:t> </w:t>
      </w:r>
      <w:r>
        <w:rPr/>
        <w:t>often</w:t>
      </w:r>
      <w:r>
        <w:rPr>
          <w:spacing w:val="-2"/>
        </w:rPr>
        <w:t> </w:t>
      </w:r>
      <w:r>
        <w:rPr/>
        <w:t>hindered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effectiveness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skills</w:t>
      </w:r>
      <w:r>
        <w:rPr>
          <w:spacing w:val="1"/>
        </w:rPr>
        <w:t> </w:t>
      </w:r>
      <w:r>
        <w:rPr>
          <w:position w:val="1"/>
        </w:rPr>
        <w:t>reforms in the Slovak Republic (OECD, 2020</w:t>
      </w:r>
      <w:r>
        <w:rPr>
          <w:sz w:val="13"/>
        </w:rPr>
        <w:t>[8]</w:t>
      </w:r>
      <w:r>
        <w:rPr>
          <w:position w:val="1"/>
        </w:rPr>
        <w:t>). While this challenge is not unique to higher education, it</w:t>
      </w:r>
      <w:r>
        <w:rPr>
          <w:spacing w:val="1"/>
          <w:position w:val="1"/>
        </w:rPr>
        <w:t> </w:t>
      </w:r>
      <w:r>
        <w:rPr/>
        <w:t>is of particular relevance, as the Slovak government considers large-scale, complex higher education</w:t>
      </w:r>
      <w:r>
        <w:rPr>
          <w:spacing w:val="1"/>
        </w:rPr>
        <w:t> </w:t>
      </w:r>
      <w:r>
        <w:rPr/>
        <w:t>reforms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address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wide</w:t>
      </w:r>
      <w:r>
        <w:rPr>
          <w:spacing w:val="-4"/>
        </w:rPr>
        <w:t> </w:t>
      </w:r>
      <w:r>
        <w:rPr/>
        <w:t>range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</w:t>
      </w:r>
      <w:r>
        <w:rPr>
          <w:spacing w:val="-7"/>
        </w:rPr>
        <w:t> </w:t>
      </w:r>
      <w:r>
        <w:rPr/>
        <w:t>faces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field,</w:t>
      </w:r>
      <w:r>
        <w:rPr>
          <w:spacing w:val="-5"/>
        </w:rPr>
        <w:t> </w:t>
      </w:r>
      <w:r>
        <w:rPr/>
        <w:t>as presented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Chapter</w:t>
      </w:r>
      <w:r>
        <w:rPr>
          <w:spacing w:val="6"/>
        </w:rPr>
        <w:t> </w:t>
      </w:r>
      <w:r>
        <w:rPr/>
        <w:t>2.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Previous analysis of policy making in the Slovak Republic underpins the need for a strong focus on</w:t>
      </w:r>
      <w:r>
        <w:rPr>
          <w:spacing w:val="1"/>
        </w:rPr>
        <w:t> </w:t>
      </w:r>
      <w:r>
        <w:rPr/>
        <w:t>implementation.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(SGI)</w:t>
      </w:r>
      <w:r>
        <w:rPr>
          <w:spacing w:val="1"/>
        </w:rPr>
        <w:t> </w:t>
      </w:r>
      <w:r>
        <w:rPr/>
        <w:t>compiled</w:t>
      </w:r>
      <w:r>
        <w:rPr>
          <w:spacing w:val="1"/>
        </w:rPr>
        <w:t> </w:t>
      </w:r>
      <w:r>
        <w:rPr/>
        <w:t>annually for 41 OECD and European Union (EU) countries by the Bertelsmann Foundation (Bertelsmann</w:t>
      </w:r>
      <w:r>
        <w:rPr>
          <w:spacing w:val="1"/>
        </w:rPr>
        <w:t> </w:t>
      </w:r>
      <w:r>
        <w:rPr>
          <w:position w:val="1"/>
        </w:rPr>
        <w:t>Stiftung, 2020</w:t>
      </w:r>
      <w:r>
        <w:rPr>
          <w:sz w:val="13"/>
        </w:rPr>
        <w:t>[9]</w:t>
      </w:r>
      <w:r>
        <w:rPr>
          <w:position w:val="1"/>
        </w:rPr>
        <w:t>), the Slovak Republic ranks 38 out of 41 in terms of the effectiveness of its policy</w:t>
      </w:r>
      <w:r>
        <w:rPr>
          <w:spacing w:val="1"/>
          <w:position w:val="1"/>
        </w:rPr>
        <w:t> </w:t>
      </w:r>
      <w:r>
        <w:rPr/>
        <w:t>implementation, adequacy of its institutional arrangements and co-ordination across institutional lines of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making</w:t>
      </w:r>
      <w:r>
        <w:rPr>
          <w:spacing w:val="1"/>
        </w:rPr>
        <w:t> </w:t>
      </w:r>
      <w:r>
        <w:rPr/>
        <w:t>(see</w:t>
      </w:r>
      <w:r>
        <w:rPr>
          <w:spacing w:val="-1"/>
        </w:rPr>
        <w:t> </w:t>
      </w:r>
      <w:hyperlink w:history="true" w:anchor="_bookmark8">
        <w:r>
          <w:rPr/>
          <w:t>Figure</w:t>
        </w:r>
        <w:r>
          <w:rPr>
            <w:spacing w:val="1"/>
          </w:rPr>
          <w:t> </w:t>
        </w:r>
        <w:r>
          <w:rPr/>
          <w:t>1.2</w:t>
        </w:r>
      </w:hyperlink>
      <w:r>
        <w:rPr/>
        <w:t>).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before="165"/>
        <w:ind w:left="183" w:right="0" w:firstLine="0"/>
        <w:jc w:val="left"/>
        <w:rPr>
          <w:rFonts w:ascii="Arial"/>
          <w:b/>
          <w:sz w:val="24"/>
        </w:rPr>
      </w:pPr>
      <w:bookmarkStart w:name="_bookmark8" w:id="25"/>
      <w:bookmarkEnd w:id="25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1.2.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Executive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capacity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2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Republic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compared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to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OECD/EU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countries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(2020)</w:t>
      </w:r>
    </w:p>
    <w:p>
      <w:pPr>
        <w:pStyle w:val="BodyText"/>
        <w:spacing w:before="2"/>
        <w:rPr>
          <w:rFonts w:ascii="Arial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914539</wp:posOffset>
            </wp:positionH>
            <wp:positionV relativeFrom="paragraph">
              <wp:posOffset>208923</wp:posOffset>
            </wp:positionV>
            <wp:extent cx="5700473" cy="1914525"/>
            <wp:effectExtent l="0" t="0" r="0" b="0"/>
            <wp:wrapTopAndBottom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7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217"/>
        <w:ind w:left="183" w:right="1128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These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indicators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are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not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specific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education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policy.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National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experts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give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scores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on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scale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1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(lowest)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10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(highest).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number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in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parentheses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represents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rank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Slovak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Republic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among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41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OECD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and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countries.</w:t>
      </w:r>
    </w:p>
    <w:p>
      <w:pPr>
        <w:spacing w:line="205" w:lineRule="exact"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Bertelsmann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Stiftung</w:t>
      </w:r>
      <w:r>
        <w:rPr>
          <w:rFonts w:ascii="Microsoft Sans Serif"/>
          <w:spacing w:val="20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[9]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Sustainable</w:t>
      </w:r>
      <w:r>
        <w:rPr>
          <w:rFonts w:ascii="Arial"/>
          <w:i/>
          <w:spacing w:val="1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Governance</w:t>
      </w:r>
      <w:r>
        <w:rPr>
          <w:rFonts w:ascii="Arial"/>
          <w:i/>
          <w:spacing w:val="18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Indicators</w:t>
      </w:r>
      <w:r>
        <w:rPr>
          <w:rFonts w:ascii="Arial"/>
          <w:i/>
          <w:spacing w:val="19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2020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hyperlink r:id="rId39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https://www.sgi-network.org/2020/</w:t>
        </w:r>
        <w:r>
          <w:rPr>
            <w:rFonts w:ascii="Microsoft Sans Serif"/>
            <w:w w:val="80"/>
            <w:position w:val="1"/>
            <w:sz w:val="18"/>
          </w:rPr>
          <w:t>.</w:t>
        </w:r>
      </w:hyperlink>
    </w:p>
    <w:p>
      <w:pPr>
        <w:pStyle w:val="BodyText"/>
        <w:spacing w:before="4"/>
        <w:rPr>
          <w:rFonts w:ascii="Microsoft Sans Serif"/>
          <w:sz w:val="23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40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https://doi.org/10.1787/888934278921</w:t>
        </w:r>
      </w:hyperlink>
    </w:p>
    <w:p>
      <w:pPr>
        <w:pStyle w:val="BodyText"/>
        <w:rPr>
          <w:rFonts w:ascii="Microsoft Sans Serif"/>
        </w:rPr>
      </w:pPr>
    </w:p>
    <w:p>
      <w:pPr>
        <w:pStyle w:val="BodyText"/>
        <w:spacing w:before="10"/>
        <w:rPr>
          <w:rFonts w:ascii="Microsoft Sans Serif"/>
          <w:sz w:val="21"/>
        </w:rPr>
      </w:pPr>
    </w:p>
    <w:p>
      <w:pPr>
        <w:pStyle w:val="Heading2"/>
        <w:numPr>
          <w:ilvl w:val="1"/>
          <w:numId w:val="4"/>
        </w:numPr>
        <w:tabs>
          <w:tab w:pos="652" w:val="left" w:leader="none"/>
        </w:tabs>
        <w:spacing w:line="240" w:lineRule="auto" w:before="0" w:after="0"/>
        <w:ind w:left="651" w:right="0" w:hanging="469"/>
        <w:jc w:val="left"/>
      </w:pPr>
      <w:bookmarkStart w:name="1.4. Structure of the report" w:id="26"/>
      <w:bookmarkEnd w:id="26"/>
      <w:r>
        <w:rPr>
          <w:b w:val="0"/>
        </w:rPr>
      </w:r>
      <w:bookmarkStart w:name="_bookmark9" w:id="27"/>
      <w:bookmarkEnd w:id="27"/>
      <w:r>
        <w:rPr>
          <w:b w:val="0"/>
        </w:rPr>
      </w:r>
      <w:bookmarkStart w:name="_bookmark9" w:id="28"/>
      <w:bookmarkEnd w:id="28"/>
      <w:r>
        <w:rPr>
          <w:color w:val="4E81BD"/>
        </w:rPr>
        <w:t>Struct</w:t>
      </w:r>
      <w:r>
        <w:rPr>
          <w:color w:val="4E81BD"/>
        </w:rPr>
        <w:t>ure</w:t>
      </w:r>
      <w:r>
        <w:rPr>
          <w:color w:val="4E81BD"/>
          <w:spacing w:val="-3"/>
        </w:rPr>
        <w:t> </w:t>
      </w:r>
      <w:r>
        <w:rPr>
          <w:color w:val="4E81BD"/>
        </w:rPr>
        <w:t>of</w:t>
      </w:r>
      <w:r>
        <w:rPr>
          <w:color w:val="4E81BD"/>
          <w:spacing w:val="-3"/>
        </w:rPr>
        <w:t> </w:t>
      </w:r>
      <w:r>
        <w:rPr>
          <w:color w:val="4E81BD"/>
        </w:rPr>
        <w:t>the</w:t>
      </w:r>
      <w:r>
        <w:rPr>
          <w:color w:val="4E81BD"/>
          <w:spacing w:val="-2"/>
        </w:rPr>
        <w:t> </w:t>
      </w:r>
      <w:r>
        <w:rPr>
          <w:color w:val="4E81BD"/>
        </w:rPr>
        <w:t>report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BodyText"/>
        <w:ind w:left="183"/>
        <w:jc w:val="both"/>
      </w:pPr>
      <w:r>
        <w:rPr/>
        <w:t>The</w:t>
      </w:r>
      <w:r>
        <w:rPr>
          <w:spacing w:val="-5"/>
        </w:rPr>
        <w:t> </w:t>
      </w:r>
      <w:r>
        <w:rPr/>
        <w:t>report</w:t>
      </w:r>
      <w:r>
        <w:rPr>
          <w:spacing w:val="-5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two</w:t>
      </w:r>
      <w:r>
        <w:rPr>
          <w:spacing w:val="-5"/>
        </w:rPr>
        <w:t> </w:t>
      </w:r>
      <w:r>
        <w:rPr/>
        <w:t>further</w:t>
      </w:r>
      <w:r>
        <w:rPr>
          <w:spacing w:val="-5"/>
        </w:rPr>
        <w:t> </w:t>
      </w:r>
      <w:r>
        <w:rPr/>
        <w:t>chapters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annexes.</w:t>
      </w:r>
    </w:p>
    <w:p>
      <w:pPr>
        <w:pStyle w:val="BodyText"/>
        <w:spacing w:before="149"/>
        <w:ind w:left="183"/>
        <w:jc w:val="both"/>
      </w:pPr>
      <w:r>
        <w:rPr>
          <w:rFonts w:ascii="Arial" w:hAnsi="Arial"/>
          <w:b/>
        </w:rPr>
        <w:t>Chapter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5"/>
        </w:rPr>
        <w:t> </w:t>
      </w:r>
      <w:r>
        <w:rPr/>
        <w:t>provides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overview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Slovak</w:t>
      </w:r>
      <w:r>
        <w:rPr>
          <w:spacing w:val="4"/>
        </w:rPr>
        <w:t> </w:t>
      </w:r>
      <w:r>
        <w:rPr/>
        <w:t>Republic’s</w:t>
      </w:r>
      <w:r>
        <w:rPr>
          <w:spacing w:val="4"/>
        </w:rPr>
        <w:t> </w:t>
      </w:r>
      <w:r>
        <w:rPr/>
        <w:t>higher</w:t>
      </w:r>
      <w:r>
        <w:rPr>
          <w:spacing w:val="6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system's</w:t>
      </w:r>
      <w:r>
        <w:rPr>
          <w:spacing w:val="2"/>
        </w:rPr>
        <w:t> </w:t>
      </w:r>
      <w:r>
        <w:rPr/>
        <w:t>key</w:t>
      </w:r>
      <w:r>
        <w:rPr>
          <w:spacing w:val="-3"/>
        </w:rPr>
        <w:t> </w:t>
      </w:r>
      <w:r>
        <w:rPr/>
        <w:t>features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its</w:t>
      </w:r>
    </w:p>
    <w:p>
      <w:pPr>
        <w:pStyle w:val="BodyText"/>
        <w:spacing w:before="32"/>
        <w:ind w:left="183"/>
        <w:jc w:val="both"/>
      </w:pP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from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comparative</w:t>
      </w:r>
      <w:r>
        <w:rPr>
          <w:spacing w:val="-5"/>
        </w:rPr>
        <w:t> </w:t>
      </w:r>
      <w:r>
        <w:rPr/>
        <w:t>perspective.</w:t>
      </w:r>
    </w:p>
    <w:p>
      <w:pPr>
        <w:pStyle w:val="BodyText"/>
        <w:spacing w:line="271" w:lineRule="auto" w:before="147"/>
        <w:ind w:left="183" w:right="308"/>
        <w:jc w:val="both"/>
      </w:pPr>
      <w:r>
        <w:rPr>
          <w:rFonts w:ascii="Arial"/>
          <w:b/>
        </w:rPr>
        <w:t>Chapter 3 </w:t>
      </w:r>
      <w:r>
        <w:rPr/>
        <w:t>contains an action plan to improve higher education in the Slovak Republic. This action plan,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includes</w:t>
      </w:r>
      <w:r>
        <w:rPr>
          <w:spacing w:val="-12"/>
        </w:rPr>
        <w:t> </w:t>
      </w:r>
      <w:r>
        <w:rPr>
          <w:spacing w:val="-1"/>
        </w:rPr>
        <w:t>ten</w:t>
      </w:r>
      <w:r>
        <w:rPr>
          <w:spacing w:val="-13"/>
        </w:rPr>
        <w:t> </w:t>
      </w:r>
      <w:r>
        <w:rPr>
          <w:spacing w:val="-1"/>
        </w:rPr>
        <w:t>policy</w:t>
      </w:r>
      <w:r>
        <w:rPr>
          <w:spacing w:val="-16"/>
        </w:rPr>
        <w:t> </w:t>
      </w:r>
      <w:r>
        <w:rPr>
          <w:spacing w:val="-1"/>
        </w:rPr>
        <w:t>actions</w:t>
      </w:r>
      <w:r>
        <w:rPr>
          <w:spacing w:val="-12"/>
        </w:rPr>
        <w:t> </w:t>
      </w:r>
      <w:r>
        <w:rPr>
          <w:spacing w:val="-1"/>
        </w:rPr>
        <w:t>across</w:t>
      </w:r>
      <w:r>
        <w:rPr>
          <w:spacing w:val="-12"/>
        </w:rPr>
        <w:t> </w:t>
      </w:r>
      <w:r>
        <w:rPr>
          <w:spacing w:val="-1"/>
        </w:rPr>
        <w:t>three</w:t>
      </w:r>
      <w:r>
        <w:rPr>
          <w:spacing w:val="-13"/>
        </w:rPr>
        <w:t> </w:t>
      </w:r>
      <w:r>
        <w:rPr>
          <w:spacing w:val="-1"/>
        </w:rPr>
        <w:t>pillars,</w:t>
      </w:r>
      <w:r>
        <w:rPr>
          <w:spacing w:val="-13"/>
        </w:rPr>
        <w:t> </w:t>
      </w:r>
      <w:r>
        <w:rPr>
          <w:spacing w:val="-1"/>
        </w:rPr>
        <w:t>aims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provide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/>
        <w:t>roadmap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-10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 implement higher education reform in a carefully sequenced manner. Each pillar can be regarded as a</w:t>
      </w:r>
      <w:r>
        <w:rPr>
          <w:spacing w:val="-53"/>
        </w:rPr>
        <w:t> </w:t>
      </w:r>
      <w:r>
        <w:rPr/>
        <w:t>action step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reform</w:t>
      </w:r>
      <w:r>
        <w:rPr>
          <w:spacing w:val="4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5"/>
        </w:numPr>
        <w:tabs>
          <w:tab w:pos="863" w:val="left" w:leader="none"/>
        </w:tabs>
        <w:spacing w:line="240" w:lineRule="auto" w:before="118" w:after="0"/>
        <w:ind w:left="862" w:right="0" w:hanging="339"/>
        <w:jc w:val="both"/>
        <w:rPr>
          <w:sz w:val="20"/>
        </w:rPr>
      </w:pPr>
      <w:r>
        <w:rPr>
          <w:sz w:val="20"/>
        </w:rPr>
        <w:t>developing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implementing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co-ordinated</w:t>
      </w:r>
      <w:r>
        <w:rPr>
          <w:spacing w:val="-7"/>
          <w:sz w:val="20"/>
        </w:rPr>
        <w:t> </w:t>
      </w:r>
      <w:r>
        <w:rPr>
          <w:sz w:val="20"/>
        </w:rPr>
        <w:t>higher</w:t>
      </w:r>
      <w:r>
        <w:rPr>
          <w:spacing w:val="-7"/>
          <w:sz w:val="20"/>
        </w:rPr>
        <w:t> </w:t>
      </w:r>
      <w:r>
        <w:rPr>
          <w:sz w:val="20"/>
        </w:rPr>
        <w:t>education</w:t>
      </w:r>
      <w:r>
        <w:rPr>
          <w:spacing w:val="-7"/>
          <w:sz w:val="20"/>
        </w:rPr>
        <w:t> </w:t>
      </w:r>
      <w:r>
        <w:rPr>
          <w:sz w:val="20"/>
        </w:rPr>
        <w:t>strategy;</w:t>
      </w:r>
    </w:p>
    <w:p>
      <w:pPr>
        <w:pStyle w:val="ListParagraph"/>
        <w:numPr>
          <w:ilvl w:val="0"/>
          <w:numId w:val="5"/>
        </w:numPr>
        <w:tabs>
          <w:tab w:pos="863" w:val="left" w:leader="none"/>
        </w:tabs>
        <w:spacing w:line="240" w:lineRule="auto" w:before="89" w:after="0"/>
        <w:ind w:left="862" w:right="0" w:hanging="339"/>
        <w:jc w:val="both"/>
        <w:rPr>
          <w:sz w:val="20"/>
        </w:rPr>
      </w:pPr>
      <w:r>
        <w:rPr>
          <w:sz w:val="20"/>
        </w:rPr>
        <w:t>using</w:t>
      </w:r>
      <w:r>
        <w:rPr>
          <w:spacing w:val="-7"/>
          <w:sz w:val="20"/>
        </w:rPr>
        <w:t> </w:t>
      </w:r>
      <w:r>
        <w:rPr>
          <w:sz w:val="20"/>
        </w:rPr>
        <w:t>funding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enable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reward</w:t>
      </w:r>
      <w:r>
        <w:rPr>
          <w:spacing w:val="-4"/>
          <w:sz w:val="20"/>
        </w:rPr>
        <w:t> </w:t>
      </w:r>
      <w:r>
        <w:rPr>
          <w:sz w:val="20"/>
        </w:rPr>
        <w:t>higher</w:t>
      </w:r>
      <w:r>
        <w:rPr>
          <w:spacing w:val="-3"/>
          <w:sz w:val="20"/>
        </w:rPr>
        <w:t> </w:t>
      </w:r>
      <w:r>
        <w:rPr>
          <w:sz w:val="20"/>
        </w:rPr>
        <w:t>education</w:t>
      </w:r>
      <w:r>
        <w:rPr>
          <w:spacing w:val="-4"/>
          <w:sz w:val="20"/>
        </w:rPr>
        <w:t> </w:t>
      </w:r>
      <w:r>
        <w:rPr>
          <w:sz w:val="20"/>
        </w:rPr>
        <w:t>performance;</w:t>
      </w:r>
      <w:r>
        <w:rPr>
          <w:spacing w:val="-7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0"/>
          <w:numId w:val="5"/>
        </w:numPr>
        <w:tabs>
          <w:tab w:pos="863" w:val="left" w:leader="none"/>
        </w:tabs>
        <w:spacing w:line="405" w:lineRule="auto" w:before="89" w:after="0"/>
        <w:ind w:left="183" w:right="3323" w:firstLine="340"/>
        <w:jc w:val="left"/>
        <w:rPr>
          <w:sz w:val="20"/>
        </w:rPr>
      </w:pPr>
      <w:r>
        <w:rPr>
          <w:sz w:val="20"/>
        </w:rPr>
        <w:t>enabling</w:t>
      </w:r>
      <w:r>
        <w:rPr>
          <w:spacing w:val="-9"/>
          <w:sz w:val="20"/>
        </w:rPr>
        <w:t> </w:t>
      </w:r>
      <w:r>
        <w:rPr>
          <w:sz w:val="20"/>
        </w:rPr>
        <w:t>responsive</w:t>
      </w:r>
      <w:r>
        <w:rPr>
          <w:spacing w:val="-5"/>
          <w:sz w:val="20"/>
        </w:rPr>
        <w:t> </w:t>
      </w:r>
      <w:r>
        <w:rPr>
          <w:sz w:val="20"/>
        </w:rPr>
        <w:t>institutional</w:t>
      </w:r>
      <w:r>
        <w:rPr>
          <w:spacing w:val="-7"/>
          <w:sz w:val="20"/>
        </w:rPr>
        <w:t> </w:t>
      </w:r>
      <w:r>
        <w:rPr>
          <w:sz w:val="20"/>
        </w:rPr>
        <w:t>governance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management.</w:t>
      </w:r>
      <w:r>
        <w:rPr>
          <w:spacing w:val="-5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pillar</w:t>
      </w:r>
      <w:r>
        <w:rPr>
          <w:spacing w:val="-1"/>
          <w:sz w:val="20"/>
        </w:rPr>
        <w:t> </w:t>
      </w:r>
      <w:r>
        <w:rPr>
          <w:sz w:val="20"/>
        </w:rPr>
        <w:t>(or</w:t>
      </w:r>
      <w:r>
        <w:rPr>
          <w:spacing w:val="1"/>
          <w:sz w:val="20"/>
        </w:rPr>
        <w:t> </w:t>
      </w:r>
      <w:r>
        <w:rPr>
          <w:sz w:val="20"/>
        </w:rPr>
        <w:t>action</w:t>
      </w:r>
      <w:r>
        <w:rPr>
          <w:spacing w:val="-1"/>
          <w:sz w:val="20"/>
        </w:rPr>
        <w:t> </w:t>
      </w:r>
      <w:r>
        <w:rPr>
          <w:sz w:val="20"/>
        </w:rPr>
        <w:t>step), we</w:t>
      </w:r>
      <w:r>
        <w:rPr>
          <w:spacing w:val="4"/>
          <w:sz w:val="20"/>
        </w:rPr>
        <w:t> </w:t>
      </w:r>
      <w:r>
        <w:rPr>
          <w:sz w:val="20"/>
        </w:rPr>
        <w:t>provide:</w:t>
      </w:r>
    </w:p>
    <w:p>
      <w:pPr>
        <w:pStyle w:val="ListParagraph"/>
        <w:numPr>
          <w:ilvl w:val="2"/>
          <w:numId w:val="4"/>
        </w:numPr>
        <w:tabs>
          <w:tab w:pos="862" w:val="left" w:leader="none"/>
          <w:tab w:pos="863" w:val="left" w:leader="none"/>
        </w:tabs>
        <w:spacing w:line="215" w:lineRule="exact" w:before="0" w:after="0"/>
        <w:ind w:left="862" w:right="0" w:hanging="339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review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current</w:t>
      </w:r>
      <w:r>
        <w:rPr>
          <w:spacing w:val="-5"/>
          <w:sz w:val="20"/>
        </w:rPr>
        <w:t> </w:t>
      </w:r>
      <w:r>
        <w:rPr>
          <w:sz w:val="20"/>
        </w:rPr>
        <w:t>policies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practices</w:t>
      </w:r>
    </w:p>
    <w:p>
      <w:pPr>
        <w:pStyle w:val="ListParagraph"/>
        <w:numPr>
          <w:ilvl w:val="2"/>
          <w:numId w:val="4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discussion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challenges</w:t>
      </w:r>
      <w:r>
        <w:rPr>
          <w:spacing w:val="-1"/>
          <w:sz w:val="20"/>
        </w:rPr>
        <w:t> </w:t>
      </w:r>
      <w:r>
        <w:rPr>
          <w:sz w:val="20"/>
        </w:rPr>
        <w:t>limiting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adoption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effective</w:t>
      </w:r>
      <w:r>
        <w:rPr>
          <w:spacing w:val="-4"/>
          <w:sz w:val="20"/>
        </w:rPr>
        <w:t> </w:t>
      </w:r>
      <w:r>
        <w:rPr>
          <w:sz w:val="20"/>
        </w:rPr>
        <w:t>reforms</w:t>
      </w:r>
    </w:p>
    <w:p>
      <w:pPr>
        <w:pStyle w:val="ListParagraph"/>
        <w:numPr>
          <w:ilvl w:val="2"/>
          <w:numId w:val="4"/>
        </w:numPr>
        <w:tabs>
          <w:tab w:pos="862" w:val="left" w:leader="none"/>
          <w:tab w:pos="863" w:val="left" w:leader="none"/>
        </w:tabs>
        <w:spacing w:line="240" w:lineRule="auto" w:before="77" w:after="0"/>
        <w:ind w:left="862" w:right="0" w:hanging="339"/>
        <w:jc w:val="left"/>
        <w:rPr>
          <w:sz w:val="20"/>
        </w:rPr>
      </w:pPr>
      <w:r>
        <w:rPr>
          <w:sz w:val="20"/>
        </w:rPr>
        <w:t>relevant</w:t>
      </w:r>
      <w:r>
        <w:rPr>
          <w:spacing w:val="-4"/>
          <w:sz w:val="20"/>
        </w:rPr>
        <w:t> </w:t>
      </w:r>
      <w:r>
        <w:rPr>
          <w:sz w:val="20"/>
        </w:rPr>
        <w:t>international</w:t>
      </w:r>
      <w:r>
        <w:rPr>
          <w:spacing w:val="-6"/>
          <w:sz w:val="20"/>
        </w:rPr>
        <w:t> </w:t>
      </w:r>
      <w:r>
        <w:rPr>
          <w:sz w:val="20"/>
        </w:rPr>
        <w:t>experience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points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possible</w:t>
      </w:r>
      <w:r>
        <w:rPr>
          <w:spacing w:val="-5"/>
          <w:sz w:val="20"/>
        </w:rPr>
        <w:t> </w:t>
      </w:r>
      <w:r>
        <w:rPr>
          <w:sz w:val="20"/>
        </w:rPr>
        <w:t>policy</w:t>
      </w:r>
      <w:r>
        <w:rPr>
          <w:spacing w:val="-8"/>
          <w:sz w:val="20"/>
        </w:rPr>
        <w:t> </w:t>
      </w:r>
      <w:r>
        <w:rPr>
          <w:sz w:val="20"/>
        </w:rPr>
        <w:t>reforms,</w:t>
      </w:r>
      <w:r>
        <w:rPr>
          <w:spacing w:val="-5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2"/>
          <w:numId w:val="4"/>
        </w:numPr>
        <w:tabs>
          <w:tab w:pos="862" w:val="left" w:leader="none"/>
          <w:tab w:pos="863" w:val="left" w:leader="none"/>
        </w:tabs>
        <w:spacing w:line="240" w:lineRule="auto" w:before="75" w:after="0"/>
        <w:ind w:left="862" w:right="0" w:hanging="339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set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concrete</w:t>
      </w:r>
      <w:r>
        <w:rPr>
          <w:spacing w:val="-3"/>
          <w:sz w:val="20"/>
        </w:rPr>
        <w:t> </w:t>
      </w:r>
      <w:r>
        <w:rPr>
          <w:sz w:val="20"/>
        </w:rPr>
        <w:t>policy</w:t>
      </w:r>
      <w:r>
        <w:rPr>
          <w:spacing w:val="-4"/>
          <w:sz w:val="20"/>
        </w:rPr>
        <w:t> </w:t>
      </w:r>
      <w:r>
        <w:rPr>
          <w:sz w:val="20"/>
        </w:rPr>
        <w:t>actions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Slovak government</w:t>
      </w:r>
      <w:r>
        <w:rPr>
          <w:spacing w:val="-6"/>
          <w:sz w:val="20"/>
        </w:rPr>
        <w:t> </w:t>
      </w:r>
      <w:r>
        <w:rPr>
          <w:sz w:val="20"/>
        </w:rPr>
        <w:t>may</w:t>
      </w:r>
      <w:r>
        <w:rPr>
          <w:spacing w:val="-7"/>
          <w:sz w:val="20"/>
        </w:rPr>
        <w:t> </w:t>
      </w:r>
      <w:r>
        <w:rPr>
          <w:sz w:val="20"/>
        </w:rPr>
        <w:t>wish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consider.</w:t>
      </w:r>
    </w:p>
    <w:p>
      <w:pPr>
        <w:pStyle w:val="BodyText"/>
        <w:spacing w:line="271" w:lineRule="auto" w:before="152"/>
        <w:ind w:left="183" w:right="301"/>
        <w:jc w:val="both"/>
      </w:pPr>
      <w:r>
        <w:rPr>
          <w:rFonts w:ascii="Arial"/>
          <w:b/>
        </w:rPr>
        <w:t>Annex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A</w:t>
      </w:r>
      <w:r>
        <w:rPr>
          <w:rFonts w:ascii="Arial"/>
          <w:b/>
          <w:spacing w:val="-8"/>
        </w:rPr>
        <w:t> </w:t>
      </w:r>
      <w:r>
        <w:rPr/>
        <w:t>presents</w:t>
      </w:r>
      <w:r>
        <w:rPr>
          <w:spacing w:val="-4"/>
        </w:rPr>
        <w:t> </w:t>
      </w:r>
      <w:r>
        <w:rPr/>
        <w:t>two</w:t>
      </w:r>
      <w:r>
        <w:rPr>
          <w:spacing w:val="-5"/>
        </w:rPr>
        <w:t> </w:t>
      </w:r>
      <w:r>
        <w:rPr/>
        <w:t>in-depth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studies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higher</w:t>
      </w:r>
      <w:r>
        <w:rPr>
          <w:spacing w:val="-2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reforms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Portugal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Finland</w:t>
      </w:r>
      <w:r>
        <w:rPr>
          <w:spacing w:val="-8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 the areas of reform discussed in this report and considered by the Slovak authorities. These cases</w:t>
      </w:r>
      <w:r>
        <w:rPr>
          <w:spacing w:val="1"/>
        </w:rPr>
        <w:t> </w:t>
      </w:r>
      <w:r>
        <w:rPr/>
        <w:t>studies offer insights on the reform context in Portugal and Finland, the policy design and implementation</w:t>
      </w:r>
      <w:r>
        <w:rPr>
          <w:spacing w:val="-53"/>
        </w:rPr>
        <w:t> </w:t>
      </w:r>
      <w:r>
        <w:rPr/>
        <w:t>process, and outlines some lessons learnt that the Slovak Republic may consider alongside the policy</w:t>
      </w:r>
      <w:r>
        <w:rPr>
          <w:spacing w:val="1"/>
        </w:rPr>
        <w:t> </w:t>
      </w:r>
      <w:r>
        <w:rPr/>
        <w:t>actions recommended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action</w:t>
      </w:r>
      <w:r>
        <w:rPr>
          <w:spacing w:val="-2"/>
        </w:rPr>
        <w:t> </w:t>
      </w:r>
      <w:r>
        <w:rPr/>
        <w:t>plan.</w:t>
      </w:r>
    </w:p>
    <w:p>
      <w:pPr>
        <w:pStyle w:val="BodyText"/>
        <w:spacing w:before="121"/>
        <w:ind w:left="183"/>
        <w:jc w:val="both"/>
      </w:pPr>
      <w:r>
        <w:rPr>
          <w:rFonts w:ascii="Arial" w:hAnsi="Arial"/>
          <w:b/>
        </w:rPr>
        <w:t>Annex</w:t>
      </w:r>
      <w:r>
        <w:rPr>
          <w:rFonts w:ascii="Arial" w:hAnsi="Arial"/>
          <w:b/>
          <w:spacing w:val="30"/>
        </w:rPr>
        <w:t> </w:t>
      </w:r>
      <w:r>
        <w:rPr>
          <w:rFonts w:ascii="Arial" w:hAnsi="Arial"/>
          <w:b/>
        </w:rPr>
        <w:t>B</w:t>
      </w:r>
      <w:r>
        <w:rPr>
          <w:rFonts w:ascii="Arial" w:hAnsi="Arial"/>
          <w:b/>
          <w:spacing w:val="32"/>
        </w:rPr>
        <w:t> </w:t>
      </w:r>
      <w:r>
        <w:rPr/>
        <w:t>provides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list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organisations</w:t>
      </w:r>
      <w:r>
        <w:rPr>
          <w:spacing w:val="32"/>
        </w:rPr>
        <w:t> </w:t>
      </w:r>
      <w:r>
        <w:rPr/>
        <w:t>that</w:t>
      </w:r>
      <w:r>
        <w:rPr>
          <w:spacing w:val="30"/>
        </w:rPr>
        <w:t> </w:t>
      </w:r>
      <w:r>
        <w:rPr/>
        <w:t>participated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project’s</w:t>
      </w:r>
      <w:r>
        <w:rPr>
          <w:spacing w:val="32"/>
        </w:rPr>
        <w:t> </w:t>
      </w:r>
      <w:r>
        <w:rPr/>
        <w:t>stakeholder</w:t>
      </w:r>
      <w:r>
        <w:rPr>
          <w:spacing w:val="32"/>
        </w:rPr>
        <w:t> </w:t>
      </w:r>
      <w:r>
        <w:rPr/>
        <w:t>interviews</w:t>
      </w:r>
      <w:r>
        <w:rPr>
          <w:spacing w:val="31"/>
        </w:rPr>
        <w:t> </w:t>
      </w:r>
      <w:r>
        <w:rPr/>
        <w:t>and</w:t>
      </w:r>
    </w:p>
    <w:p>
      <w:pPr>
        <w:pStyle w:val="BodyText"/>
        <w:spacing w:before="32"/>
        <w:ind w:left="183"/>
        <w:jc w:val="both"/>
      </w:pPr>
      <w:r>
        <w:rPr/>
        <w:t>roundtable</w:t>
      </w:r>
      <w:r>
        <w:rPr>
          <w:spacing w:val="-8"/>
        </w:rPr>
        <w:t> </w:t>
      </w:r>
      <w:r>
        <w:rPr/>
        <w:t>discussions.</w:t>
      </w:r>
    </w:p>
    <w:p>
      <w:pPr>
        <w:spacing w:after="0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sz w:val="9"/>
        </w:rPr>
      </w:pPr>
    </w:p>
    <w:p>
      <w:pPr>
        <w:pStyle w:val="Heading2"/>
        <w:spacing w:before="92"/>
      </w:pPr>
      <w:bookmarkStart w:name="References" w:id="29"/>
      <w:bookmarkEnd w:id="29"/>
      <w:r>
        <w:rPr>
          <w:b w:val="0"/>
        </w:rPr>
      </w:r>
      <w:bookmarkStart w:name="_bookmark10" w:id="30"/>
      <w:bookmarkEnd w:id="30"/>
      <w:r>
        <w:rPr>
          <w:b w:val="0"/>
        </w:rPr>
      </w:r>
      <w:r>
        <w:rPr>
          <w:color w:val="4E81BD"/>
        </w:rPr>
        <w:t>References</w:t>
      </w: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8"/>
        <w:gridCol w:w="603"/>
      </w:tblGrid>
      <w:tr>
        <w:trPr>
          <w:trHeight w:val="605" w:hRule="atLeast"/>
        </w:trPr>
        <w:tc>
          <w:tcPr>
            <w:tcW w:w="8978" w:type="dxa"/>
          </w:tcPr>
          <w:p>
            <w:pPr>
              <w:pStyle w:val="TableParagraph"/>
              <w:spacing w:line="271" w:lineRule="auto" w:before="20"/>
              <w:ind w:left="483" w:right="1021" w:hanging="284"/>
              <w:rPr>
                <w:sz w:val="20"/>
              </w:rPr>
            </w:pPr>
            <w:r>
              <w:rPr>
                <w:sz w:val="20"/>
              </w:rPr>
              <w:t>Bertelsmann Stiftung (2020), </w:t>
            </w:r>
            <w:r>
              <w:rPr>
                <w:rFonts w:ascii="Arial"/>
                <w:i/>
                <w:sz w:val="20"/>
              </w:rPr>
              <w:t>Sustainable Governance Indicators 2020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https://www.sgi-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network.org/2020/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December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03" w:type="dxa"/>
          </w:tcPr>
          <w:p>
            <w:pPr>
              <w:pStyle w:val="TableParagraph"/>
              <w:spacing w:line="179" w:lineRule="exact" w:before="0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[9]</w:t>
            </w:r>
          </w:p>
        </w:tc>
      </w:tr>
      <w:tr>
        <w:trPr>
          <w:trHeight w:val="960" w:hRule="atLeast"/>
        </w:trPr>
        <w:tc>
          <w:tcPr>
            <w:tcW w:w="8978" w:type="dxa"/>
          </w:tcPr>
          <w:p>
            <w:pPr>
              <w:pStyle w:val="TableParagraph"/>
              <w:spacing w:line="271" w:lineRule="auto" w:before="113"/>
              <w:ind w:left="483" w:right="946" w:hanging="284"/>
              <w:rPr>
                <w:sz w:val="20"/>
              </w:rPr>
            </w:pPr>
            <w:r>
              <w:rPr>
                <w:sz w:val="20"/>
              </w:rPr>
              <w:t>European Commission (2021), </w:t>
            </w:r>
            <w:r>
              <w:rPr>
                <w:rFonts w:ascii="Arial"/>
                <w:i/>
                <w:sz w:val="20"/>
              </w:rPr>
              <w:t>The Recovery and Resilience Facility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https://ec.europa.eu/info/business-economy-euro/recovery-coronavirus/recovery-and-</w:t>
            </w:r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resilience-facility_en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[7]</w:t>
            </w:r>
          </w:p>
        </w:tc>
      </w:tr>
      <w:tr>
        <w:trPr>
          <w:trHeight w:val="960" w:hRule="atLeast"/>
        </w:trPr>
        <w:tc>
          <w:tcPr>
            <w:tcW w:w="8978" w:type="dxa"/>
          </w:tcPr>
          <w:p>
            <w:pPr>
              <w:pStyle w:val="TableParagraph"/>
              <w:spacing w:line="271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European Commission (2018), </w:t>
            </w:r>
            <w:r>
              <w:rPr>
                <w:rFonts w:ascii="Arial"/>
                <w:i/>
                <w:sz w:val="20"/>
              </w:rPr>
              <w:t>Peer Counselling on the Governance of Higher Education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Institutions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Slovak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Republic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document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project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"Improving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Education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Republic".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[4]</w:t>
            </w:r>
          </w:p>
        </w:tc>
      </w:tr>
      <w:tr>
        <w:trPr>
          <w:trHeight w:val="960" w:hRule="atLeast"/>
        </w:trPr>
        <w:tc>
          <w:tcPr>
            <w:tcW w:w="8978" w:type="dxa"/>
          </w:tcPr>
          <w:p>
            <w:pPr>
              <w:pStyle w:val="TableParagraph"/>
              <w:spacing w:line="271" w:lineRule="auto" w:before="113"/>
              <w:ind w:left="483" w:right="338" w:hanging="284"/>
              <w:rPr>
                <w:sz w:val="20"/>
              </w:rPr>
            </w:pPr>
            <w:r>
              <w:rPr>
                <w:sz w:val="20"/>
              </w:rPr>
              <w:t>Government of the Slovak Republic (2021), </w:t>
            </w:r>
            <w:r>
              <w:rPr>
                <w:rFonts w:ascii="Arial" w:hAnsi="Arial"/>
                <w:i/>
                <w:sz w:val="20"/>
              </w:rPr>
              <w:t>Moderné a Úspešné Slovensko (Modern and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Successful </w:t>
            </w:r>
            <w:r>
              <w:rPr>
                <w:rFonts w:ascii="Arial" w:hAnsi="Arial"/>
                <w:i/>
                <w:sz w:val="20"/>
              </w:rPr>
              <w:t>Slovakia)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</w:t>
            </w:r>
            <w:hyperlink r:id="rId41">
              <w:r>
                <w:rPr>
                  <w:color w:val="0000FF"/>
                  <w:sz w:val="20"/>
                  <w:u w:val="single" w:color="0000FF"/>
                </w:rPr>
                <w:t>//www.s</w:t>
              </w:r>
            </w:hyperlink>
            <w:r>
              <w:rPr>
                <w:color w:val="0000FF"/>
                <w:sz w:val="20"/>
                <w:u w:val="single" w:color="0000FF"/>
              </w:rPr>
              <w:t>l</w:t>
            </w:r>
            <w:hyperlink r:id="rId41">
              <w:r>
                <w:rPr>
                  <w:color w:val="0000FF"/>
                  <w:sz w:val="20"/>
                  <w:u w:val="single" w:color="0000FF"/>
                </w:rPr>
                <w:t>ov</w:t>
              </w:r>
            </w:hyperlink>
            <w:r>
              <w:rPr>
                <w:color w:val="0000FF"/>
                <w:sz w:val="20"/>
                <w:u w:val="single" w:color="0000FF"/>
              </w:rPr>
              <w:t>-</w:t>
            </w:r>
            <w:hyperlink r:id="rId41">
              <w:r>
                <w:rPr>
                  <w:color w:val="0000FF"/>
                  <w:sz w:val="20"/>
                  <w:u w:val="single" w:color="0000FF"/>
                </w:rPr>
                <w:t>lex.sk/legislativne-procesy/-/SK/dokumenty/LP-2021-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112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 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[6]</w:t>
            </w:r>
          </w:p>
        </w:tc>
      </w:tr>
      <w:tr>
        <w:trPr>
          <w:trHeight w:val="700" w:hRule="atLeast"/>
        </w:trPr>
        <w:tc>
          <w:tcPr>
            <w:tcW w:w="8978" w:type="dxa"/>
          </w:tcPr>
          <w:p>
            <w:pPr>
              <w:pStyle w:val="TableParagraph"/>
              <w:spacing w:line="273" w:lineRule="auto" w:before="113"/>
              <w:ind w:left="483" w:right="899" w:hanging="284"/>
              <w:rPr>
                <w:sz w:val="20"/>
              </w:rPr>
            </w:pPr>
            <w:r>
              <w:rPr>
                <w:sz w:val="20"/>
              </w:rPr>
              <w:t>MESA10 (2021), </w:t>
            </w:r>
            <w:r>
              <w:rPr>
                <w:rFonts w:ascii="Arial" w:hAnsi="Arial"/>
                <w:i/>
                <w:sz w:val="20"/>
              </w:rPr>
              <w:t>“Learning Makes Sense” project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https://en.todarozum.sk/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 on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[5]</w:t>
            </w:r>
          </w:p>
        </w:tc>
      </w:tr>
      <w:tr>
        <w:trPr>
          <w:trHeight w:val="960" w:hRule="atLeast"/>
        </w:trPr>
        <w:tc>
          <w:tcPr>
            <w:tcW w:w="8978" w:type="dxa"/>
          </w:tcPr>
          <w:p>
            <w:pPr>
              <w:pStyle w:val="TableParagraph"/>
              <w:spacing w:line="271" w:lineRule="auto" w:before="113"/>
              <w:ind w:left="483" w:right="525" w:hanging="284"/>
              <w:rPr>
                <w:sz w:val="20"/>
              </w:rPr>
            </w:pPr>
            <w:r>
              <w:rPr>
                <w:sz w:val="20"/>
              </w:rPr>
              <w:t>OECD (2020), </w:t>
            </w:r>
            <w:r>
              <w:rPr>
                <w:rFonts w:ascii="Arial"/>
                <w:i/>
                <w:sz w:val="20"/>
              </w:rPr>
              <w:t>Labour Market Relevance and Outcomes of Higher Education in Four US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States: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Ohio,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Texas,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Virginia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Washington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https://dx.doi.org/10.1787/38361454-en</w:t>
            </w:r>
            <w:r>
              <w:rPr>
                <w:sz w:val="20"/>
              </w:rPr>
              <w:t>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[3]</w:t>
            </w:r>
          </w:p>
        </w:tc>
      </w:tr>
      <w:tr>
        <w:trPr>
          <w:trHeight w:val="698" w:hRule="atLeast"/>
        </w:trPr>
        <w:tc>
          <w:tcPr>
            <w:tcW w:w="8978" w:type="dxa"/>
          </w:tcPr>
          <w:p>
            <w:pPr>
              <w:pStyle w:val="TableParagraph"/>
              <w:spacing w:line="271" w:lineRule="auto" w:before="113"/>
              <w:ind w:left="483" w:right="677" w:hanging="284"/>
              <w:rPr>
                <w:sz w:val="20"/>
              </w:rPr>
            </w:pPr>
            <w:r>
              <w:rPr>
                <w:sz w:val="20"/>
              </w:rPr>
              <w:t>OECD (2020), </w:t>
            </w:r>
            <w:r>
              <w:rPr>
                <w:rFonts w:ascii="Arial"/>
                <w:i/>
                <w:sz w:val="20"/>
              </w:rPr>
              <w:t>OECD Skills Strategy Slovak Republic: Assessment and Recommendations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Studies,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https://dx.doi.org/10.1787/bb688e68-en</w:t>
            </w:r>
            <w:r>
              <w:rPr>
                <w:sz w:val="20"/>
              </w:rPr>
              <w:t>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[8]</w:t>
            </w:r>
          </w:p>
        </w:tc>
      </w:tr>
      <w:tr>
        <w:trPr>
          <w:trHeight w:val="700" w:hRule="atLeast"/>
        </w:trPr>
        <w:tc>
          <w:tcPr>
            <w:tcW w:w="8978" w:type="dxa"/>
          </w:tcPr>
          <w:p>
            <w:pPr>
              <w:pStyle w:val="TableParagraph"/>
              <w:spacing w:line="271" w:lineRule="auto" w:before="116"/>
              <w:ind w:left="483" w:right="409" w:hanging="284"/>
              <w:rPr>
                <w:sz w:val="20"/>
              </w:rPr>
            </w:pPr>
            <w:r>
              <w:rPr>
                <w:sz w:val="20"/>
              </w:rPr>
              <w:t>OECD (2020), </w:t>
            </w:r>
            <w:r>
              <w:rPr>
                <w:rFonts w:ascii="Arial"/>
                <w:i/>
                <w:sz w:val="20"/>
              </w:rPr>
              <w:t>Resourcing Higher Education: Challenges, Choices and Consequences</w:t>
            </w:r>
            <w:r>
              <w:rPr>
                <w:sz w:val="20"/>
              </w:rPr>
              <w:t>, Higher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https://dx.doi.org/10.1787/735e1f44-en</w:t>
            </w:r>
            <w:r>
              <w:rPr>
                <w:sz w:val="20"/>
              </w:rPr>
              <w:t>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[1]</w:t>
            </w:r>
          </w:p>
        </w:tc>
      </w:tr>
      <w:tr>
        <w:trPr>
          <w:trHeight w:val="605" w:hRule="atLeast"/>
        </w:trPr>
        <w:tc>
          <w:tcPr>
            <w:tcW w:w="8978" w:type="dxa"/>
          </w:tcPr>
          <w:p>
            <w:pPr>
              <w:pStyle w:val="TableParagraph"/>
              <w:spacing w:line="260" w:lineRule="atLeast" w:before="65"/>
              <w:ind w:left="483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Benchmarking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Performance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 </w:t>
            </w:r>
            <w:r>
              <w:rPr>
                <w:color w:val="0000FF"/>
                <w:sz w:val="20"/>
                <w:u w:val="single" w:color="0000FF"/>
              </w:rPr>
              <w:t>https://dx.doi.org/10.1787/be5514d7-en</w:t>
            </w:r>
            <w:r>
              <w:rPr>
                <w:sz w:val="20"/>
              </w:rPr>
              <w:t>.</w:t>
            </w:r>
          </w:p>
        </w:tc>
        <w:tc>
          <w:tcPr>
            <w:tcW w:w="603" w:type="dxa"/>
          </w:tcPr>
          <w:p>
            <w:pPr>
              <w:pStyle w:val="TableParagraph"/>
              <w:spacing w:before="91"/>
              <w:ind w:left="203" w:right="181"/>
              <w:jc w:val="center"/>
              <w:rPr>
                <w:sz w:val="16"/>
              </w:rPr>
            </w:pPr>
            <w:r>
              <w:rPr>
                <w:sz w:val="16"/>
              </w:rPr>
              <w:t>[2]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pStyle w:val="BodyText"/>
        <w:spacing w:line="120" w:lineRule="exact"/>
        <w:ind w:left="282"/>
        <w:rPr>
          <w:rFonts w:ascii="Arial"/>
          <w:sz w:val="12"/>
        </w:rPr>
      </w:pPr>
      <w:r>
        <w:rPr>
          <w:rFonts w:ascii="Arial"/>
          <w:position w:val="-1"/>
          <w:sz w:val="12"/>
        </w:rPr>
        <w:pict>
          <v:group style="width:460.75pt;height:6pt;mso-position-horizontal-relative:char;mso-position-vertical-relative:line" coordorigin="0,0" coordsize="9215,120">
            <v:rect style="position:absolute;left:0;top:0;width:9215;height:120" filled="true" fillcolor="#ffffff" stroked="false">
              <v:fill type="solid"/>
            </v:rect>
          </v:group>
        </w:pict>
      </w:r>
      <w:r>
        <w:rPr>
          <w:rFonts w:ascii="Arial"/>
          <w:position w:val="-1"/>
          <w:sz w:val="12"/>
        </w:rPr>
      </w:r>
    </w:p>
    <w:p>
      <w:pPr>
        <w:pStyle w:val="ListParagraph"/>
        <w:numPr>
          <w:ilvl w:val="0"/>
          <w:numId w:val="3"/>
        </w:numPr>
        <w:tabs>
          <w:tab w:pos="1365" w:val="left" w:leader="none"/>
        </w:tabs>
        <w:spacing w:line="216" w:lineRule="auto" w:before="100" w:after="0"/>
        <w:ind w:left="1544" w:right="3318" w:hanging="1136"/>
        <w:jc w:val="left"/>
        <w:rPr>
          <w:rFonts w:ascii="Arial"/>
          <w:b/>
          <w:color w:val="4E81BD"/>
          <w:sz w:val="130"/>
        </w:rPr>
      </w:pPr>
      <w:r>
        <w:rPr/>
        <w:pict>
          <v:rect style="position:absolute;margin-left:70.103996pt;margin-top:67.072304pt;width:460.75pt;height:71.040pt;mso-position-horizontal-relative:page;mso-position-vertical-relative:paragraph;z-index:-19721728" filled="true" fillcolor="#ffffff" stroked="false">
            <v:fill type="solid"/>
            <w10:wrap type="none"/>
          </v:rect>
        </w:pict>
      </w:r>
      <w:bookmarkStart w:name="2 Higher education in the Slovak Republi" w:id="31"/>
      <w:bookmarkEnd w:id="31"/>
      <w:r>
        <w:rPr/>
      </w:r>
      <w:bookmarkStart w:name="_bookmark11" w:id="32"/>
      <w:bookmarkEnd w:id="32"/>
      <w:r>
        <w:rPr/>
      </w:r>
      <w:bookmarkStart w:name="_bookmark11" w:id="33"/>
      <w:bookmarkEnd w:id="33"/>
      <w:r>
        <w:rPr>
          <w:rFonts w:ascii="Arial"/>
          <w:b/>
          <w:color w:val="4E81BD"/>
          <w:w w:val="80"/>
          <w:sz w:val="56"/>
        </w:rPr>
        <w:t>Higher</w:t>
      </w:r>
      <w:r>
        <w:rPr>
          <w:rFonts w:ascii="Arial"/>
          <w:b/>
          <w:color w:val="4E81BD"/>
          <w:spacing w:val="37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education</w:t>
      </w:r>
      <w:r>
        <w:rPr>
          <w:rFonts w:ascii="Arial"/>
          <w:b/>
          <w:color w:val="4E81BD"/>
          <w:spacing w:val="34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in</w:t>
      </w:r>
      <w:r>
        <w:rPr>
          <w:rFonts w:ascii="Arial"/>
          <w:b/>
          <w:color w:val="4E81BD"/>
          <w:spacing w:val="35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the</w:t>
      </w:r>
      <w:r>
        <w:rPr>
          <w:rFonts w:ascii="Arial"/>
          <w:b/>
          <w:color w:val="4E81BD"/>
          <w:spacing w:val="-122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Slovak</w:t>
      </w:r>
      <w:r>
        <w:rPr>
          <w:rFonts w:ascii="Arial"/>
          <w:b/>
          <w:color w:val="4E81BD"/>
          <w:spacing w:val="8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Republic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2"/>
        </w:rPr>
      </w:pPr>
      <w:r>
        <w:rPr/>
        <w:pict>
          <v:rect style="position:absolute;margin-left:126.139999pt;margin-top:8.917337pt;width:405.429993pt;height:1.44pt;mso-position-horizontal-relative:page;mso-position-vertical-relative:paragraph;z-index:-15720448;mso-wrap-distance-left:0;mso-wrap-distance-right:0" filled="true" fillcolor="#4e81bd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pStyle w:val="Heading3"/>
        <w:ind w:right="0"/>
      </w:pPr>
      <w:r>
        <w:rPr>
          <w:color w:val="4E81BD"/>
        </w:rPr>
        <w:t>This</w:t>
      </w:r>
      <w:r>
        <w:rPr>
          <w:color w:val="4E81BD"/>
          <w:spacing w:val="-5"/>
        </w:rPr>
        <w:t> </w:t>
      </w:r>
      <w:r>
        <w:rPr>
          <w:color w:val="4E81BD"/>
        </w:rPr>
        <w:t>chapter</w:t>
      </w:r>
      <w:r>
        <w:rPr>
          <w:color w:val="4E81BD"/>
          <w:spacing w:val="-3"/>
        </w:rPr>
        <w:t> </w:t>
      </w:r>
      <w:r>
        <w:rPr>
          <w:color w:val="4E81BD"/>
        </w:rPr>
        <w:t>provides</w:t>
      </w:r>
      <w:r>
        <w:rPr>
          <w:color w:val="4E81BD"/>
          <w:spacing w:val="-5"/>
        </w:rPr>
        <w:t> </w:t>
      </w:r>
      <w:r>
        <w:rPr>
          <w:color w:val="4E81BD"/>
        </w:rPr>
        <w:t>context</w:t>
      </w:r>
      <w:r>
        <w:rPr>
          <w:color w:val="4E81BD"/>
          <w:spacing w:val="-5"/>
        </w:rPr>
        <w:t> </w:t>
      </w:r>
      <w:r>
        <w:rPr>
          <w:color w:val="4E81BD"/>
        </w:rPr>
        <w:t>for</w:t>
      </w:r>
      <w:r>
        <w:rPr>
          <w:color w:val="4E81BD"/>
          <w:spacing w:val="-3"/>
        </w:rPr>
        <w:t> </w:t>
      </w:r>
      <w:r>
        <w:rPr>
          <w:color w:val="4E81BD"/>
        </w:rPr>
        <w:t>the OECD-European</w:t>
      </w:r>
      <w:r>
        <w:rPr>
          <w:color w:val="4E81BD"/>
          <w:spacing w:val="-4"/>
        </w:rPr>
        <w:t> </w:t>
      </w:r>
      <w:r>
        <w:rPr>
          <w:color w:val="4E81BD"/>
        </w:rPr>
        <w:t>Commission-Slovak</w:t>
      </w:r>
    </w:p>
    <w:p>
      <w:pPr>
        <w:pStyle w:val="Heading3"/>
        <w:spacing w:line="278" w:lineRule="auto" w:before="44"/>
        <w:ind w:right="868"/>
      </w:pPr>
      <w:r>
        <w:rPr>
          <w:color w:val="4E81BD"/>
        </w:rPr>
        <w:t>Republic Project’s action plan to improve higher education in the</w:t>
      </w:r>
      <w:r>
        <w:rPr>
          <w:color w:val="4E81BD"/>
          <w:spacing w:val="1"/>
        </w:rPr>
        <w:t> </w:t>
      </w:r>
      <w:r>
        <w:rPr>
          <w:color w:val="4E81BD"/>
        </w:rPr>
        <w:t>Slovak</w:t>
      </w:r>
      <w:r>
        <w:rPr>
          <w:color w:val="4E81BD"/>
          <w:spacing w:val="-2"/>
        </w:rPr>
        <w:t> </w:t>
      </w:r>
      <w:r>
        <w:rPr>
          <w:color w:val="4E81BD"/>
        </w:rPr>
        <w:t>Republic.</w:t>
      </w:r>
      <w:r>
        <w:rPr>
          <w:color w:val="4E81BD"/>
          <w:spacing w:val="-5"/>
        </w:rPr>
        <w:t> </w:t>
      </w:r>
      <w:r>
        <w:rPr>
          <w:color w:val="4E81BD"/>
        </w:rPr>
        <w:t>It</w:t>
      </w:r>
      <w:r>
        <w:rPr>
          <w:color w:val="4E81BD"/>
          <w:spacing w:val="-3"/>
        </w:rPr>
        <w:t> </w:t>
      </w:r>
      <w:r>
        <w:rPr>
          <w:color w:val="4E81BD"/>
        </w:rPr>
        <w:t>starts</w:t>
      </w:r>
      <w:r>
        <w:rPr>
          <w:color w:val="4E81BD"/>
          <w:spacing w:val="-3"/>
        </w:rPr>
        <w:t> </w:t>
      </w:r>
      <w:r>
        <w:rPr>
          <w:color w:val="4E81BD"/>
        </w:rPr>
        <w:t>with</w:t>
      </w:r>
      <w:r>
        <w:rPr>
          <w:color w:val="4E81BD"/>
          <w:spacing w:val="-3"/>
        </w:rPr>
        <w:t> </w:t>
      </w:r>
      <w:r>
        <w:rPr>
          <w:color w:val="4E81BD"/>
        </w:rPr>
        <w:t>a</w:t>
      </w:r>
      <w:r>
        <w:rPr>
          <w:color w:val="4E81BD"/>
          <w:spacing w:val="-2"/>
        </w:rPr>
        <w:t> </w:t>
      </w:r>
      <w:r>
        <w:rPr>
          <w:color w:val="4E81BD"/>
        </w:rPr>
        <w:t>brief</w:t>
      </w:r>
      <w:r>
        <w:rPr>
          <w:color w:val="4E81BD"/>
          <w:spacing w:val="-1"/>
        </w:rPr>
        <w:t> </w:t>
      </w:r>
      <w:r>
        <w:rPr>
          <w:color w:val="4E81BD"/>
        </w:rPr>
        <w:t>overview</w:t>
      </w:r>
      <w:r>
        <w:rPr>
          <w:color w:val="4E81BD"/>
          <w:spacing w:val="-3"/>
        </w:rPr>
        <w:t> </w:t>
      </w:r>
      <w:r>
        <w:rPr>
          <w:color w:val="4E81BD"/>
        </w:rPr>
        <w:t>of</w:t>
      </w:r>
      <w:r>
        <w:rPr>
          <w:color w:val="4E81BD"/>
          <w:spacing w:val="-1"/>
        </w:rPr>
        <w:t> </w:t>
      </w:r>
      <w:r>
        <w:rPr>
          <w:color w:val="4E81BD"/>
        </w:rPr>
        <w:t>the</w:t>
      </w:r>
      <w:r>
        <w:rPr>
          <w:color w:val="4E81BD"/>
          <w:spacing w:val="-5"/>
        </w:rPr>
        <w:t> </w:t>
      </w:r>
      <w:r>
        <w:rPr>
          <w:color w:val="4E81BD"/>
        </w:rPr>
        <w:t>Slovak</w:t>
      </w:r>
      <w:r>
        <w:rPr>
          <w:color w:val="4E81BD"/>
          <w:spacing w:val="-3"/>
        </w:rPr>
        <w:t> </w:t>
      </w:r>
      <w:r>
        <w:rPr>
          <w:color w:val="4E81BD"/>
        </w:rPr>
        <w:t>economic</w:t>
      </w:r>
    </w:p>
    <w:p>
      <w:pPr>
        <w:pStyle w:val="Heading3"/>
        <w:spacing w:line="280" w:lineRule="auto" w:before="0"/>
        <w:ind w:right="441"/>
      </w:pPr>
      <w:r>
        <w:rPr>
          <w:color w:val="4E81BD"/>
        </w:rPr>
        <w:t>context, describes key features of the Slovak higher education system and</w:t>
      </w:r>
      <w:r>
        <w:rPr>
          <w:color w:val="4E81BD"/>
          <w:spacing w:val="-65"/>
        </w:rPr>
        <w:t> </w:t>
      </w:r>
      <w:r>
        <w:rPr>
          <w:color w:val="4E81BD"/>
        </w:rPr>
        <w:t>presents the Slovak Republic’s higher education performance from an</w:t>
      </w:r>
      <w:r>
        <w:rPr>
          <w:color w:val="4E81BD"/>
          <w:spacing w:val="1"/>
        </w:rPr>
        <w:t> </w:t>
      </w:r>
      <w:r>
        <w:rPr>
          <w:color w:val="4E81BD"/>
        </w:rPr>
        <w:t>international</w:t>
      </w:r>
      <w:r>
        <w:rPr>
          <w:color w:val="4E81BD"/>
          <w:spacing w:val="-4"/>
        </w:rPr>
        <w:t> </w:t>
      </w:r>
      <w:r>
        <w:rPr>
          <w:color w:val="4E81BD"/>
        </w:rPr>
        <w:t>perspective.</w:t>
      </w:r>
    </w:p>
    <w:p>
      <w:pPr>
        <w:pStyle w:val="BodyText"/>
        <w:rPr>
          <w:sz w:val="14"/>
        </w:rPr>
      </w:pPr>
      <w:r>
        <w:rPr/>
        <w:pict>
          <v:rect style="position:absolute;margin-left:126.139999pt;margin-top:9.999316pt;width:405.429993pt;height:4.440pt;mso-position-horizontal-relative:page;mso-position-vertical-relative:paragraph;z-index:-15719936;mso-wrap-distance-left:0;mso-wrap-distance-right:0" filled="true" fillcolor="#4e81bd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headerReference w:type="default" r:id="rId42"/>
          <w:headerReference w:type="even" r:id="rId43"/>
          <w:footerReference w:type="default" r:id="rId44"/>
          <w:footerReference w:type="even" r:id="rId45"/>
          <w:pgSz w:w="11910" w:h="15880"/>
          <w:pgMar w:header="734" w:footer="731" w:top="1140" w:bottom="920" w:left="1120" w:right="1000"/>
          <w:pgNumType w:start="19"/>
        </w:sectPr>
      </w:pPr>
    </w:p>
    <w:p>
      <w:pPr>
        <w:pStyle w:val="BodyText"/>
        <w:rPr>
          <w:sz w:val="9"/>
        </w:rPr>
      </w:pPr>
    </w:p>
    <w:p>
      <w:pPr>
        <w:pStyle w:val="Heading2"/>
        <w:numPr>
          <w:ilvl w:val="1"/>
          <w:numId w:val="6"/>
        </w:numPr>
        <w:tabs>
          <w:tab w:pos="652" w:val="left" w:leader="none"/>
        </w:tabs>
        <w:spacing w:line="240" w:lineRule="auto" w:before="92" w:after="0"/>
        <w:ind w:left="651" w:right="0" w:hanging="469"/>
        <w:jc w:val="both"/>
      </w:pPr>
      <w:bookmarkStart w:name="2.1. The Slovak Republic’s economy and l" w:id="34"/>
      <w:bookmarkEnd w:id="34"/>
      <w:r>
        <w:rPr>
          <w:b w:val="0"/>
        </w:rPr>
      </w:r>
      <w:bookmarkStart w:name="_bookmark12" w:id="35"/>
      <w:bookmarkEnd w:id="35"/>
      <w:r>
        <w:rPr>
          <w:b w:val="0"/>
        </w:rPr>
      </w:r>
      <w:bookmarkStart w:name="_bookmark12" w:id="36"/>
      <w:bookmarkEnd w:id="36"/>
      <w:r>
        <w:rPr>
          <w:color w:val="4E81BD"/>
        </w:rPr>
        <w:t>The</w:t>
      </w:r>
      <w:r>
        <w:rPr>
          <w:color w:val="4E81BD"/>
          <w:spacing w:val="-2"/>
        </w:rPr>
        <w:t> </w:t>
      </w:r>
      <w:r>
        <w:rPr>
          <w:color w:val="4E81BD"/>
        </w:rPr>
        <w:t>Slovak</w:t>
      </w:r>
      <w:r>
        <w:rPr>
          <w:color w:val="4E81BD"/>
          <w:spacing w:val="-1"/>
        </w:rPr>
        <w:t> </w:t>
      </w:r>
      <w:r>
        <w:rPr>
          <w:color w:val="4E81BD"/>
        </w:rPr>
        <w:t>Republic’s</w:t>
      </w:r>
      <w:r>
        <w:rPr>
          <w:color w:val="4E81BD"/>
          <w:spacing w:val="-1"/>
        </w:rPr>
        <w:t> </w:t>
      </w:r>
      <w:r>
        <w:rPr>
          <w:color w:val="4E81BD"/>
        </w:rPr>
        <w:t>economy</w:t>
      </w:r>
      <w:r>
        <w:rPr>
          <w:color w:val="4E81BD"/>
          <w:spacing w:val="-9"/>
        </w:rPr>
        <w:t> </w:t>
      </w:r>
      <w:r>
        <w:rPr>
          <w:color w:val="4E81BD"/>
        </w:rPr>
        <w:t>and</w:t>
      </w:r>
      <w:r>
        <w:rPr>
          <w:color w:val="4E81BD"/>
          <w:spacing w:val="-1"/>
        </w:rPr>
        <w:t> </w:t>
      </w:r>
      <w:r>
        <w:rPr>
          <w:color w:val="4E81BD"/>
        </w:rPr>
        <w:t>labour</w:t>
      </w:r>
      <w:r>
        <w:rPr>
          <w:color w:val="4E81BD"/>
          <w:spacing w:val="-1"/>
        </w:rPr>
        <w:t> </w:t>
      </w:r>
      <w:r>
        <w:rPr>
          <w:color w:val="4E81BD"/>
        </w:rPr>
        <w:t>market</w:t>
      </w:r>
      <w:r>
        <w:rPr>
          <w:color w:val="4E81BD"/>
          <w:spacing w:val="-1"/>
        </w:rPr>
        <w:t> </w:t>
      </w:r>
      <w:r>
        <w:rPr>
          <w:color w:val="4E81BD"/>
        </w:rPr>
        <w:t>context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01"/>
        <w:jc w:val="both"/>
      </w:pPr>
      <w:r>
        <w:rPr/>
        <w:t>Over the past two decades, the Slovak Republic has sustained robust economic growth of almost 4% on</w:t>
      </w:r>
      <w:r>
        <w:rPr>
          <w:spacing w:val="1"/>
        </w:rPr>
        <w:t> </w:t>
      </w:r>
      <w:r>
        <w:rPr/>
        <w:t>average, experienced falling unemployment rates, and living standards converging towards the OECD</w:t>
      </w:r>
      <w:r>
        <w:rPr>
          <w:spacing w:val="1"/>
        </w:rPr>
        <w:t> </w:t>
      </w:r>
      <w:r>
        <w:rPr>
          <w:spacing w:val="-1"/>
          <w:position w:val="1"/>
        </w:rPr>
        <w:t>average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(OECD,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2019</w:t>
      </w:r>
      <w:r>
        <w:rPr>
          <w:spacing w:val="-1"/>
          <w:sz w:val="13"/>
        </w:rPr>
        <w:t>[1]</w:t>
      </w:r>
      <w:r>
        <w:rPr>
          <w:spacing w:val="-1"/>
          <w:position w:val="1"/>
        </w:rPr>
        <w:t>).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However,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the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Slovak</w:t>
      </w:r>
      <w:r>
        <w:rPr>
          <w:spacing w:val="4"/>
          <w:position w:val="1"/>
        </w:rPr>
        <w:t> </w:t>
      </w:r>
      <w:r>
        <w:rPr>
          <w:spacing w:val="-1"/>
          <w:position w:val="1"/>
        </w:rPr>
        <w:t>Republic's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benefits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from</w:t>
      </w:r>
      <w:r>
        <w:rPr>
          <w:spacing w:val="-11"/>
          <w:position w:val="1"/>
        </w:rPr>
        <w:t> </w:t>
      </w:r>
      <w:r>
        <w:rPr>
          <w:position w:val="1"/>
        </w:rPr>
        <w:t>participating</w:t>
      </w:r>
      <w:r>
        <w:rPr>
          <w:spacing w:val="-13"/>
          <w:position w:val="1"/>
        </w:rPr>
        <w:t> </w:t>
      </w:r>
      <w:r>
        <w:rPr>
          <w:position w:val="1"/>
        </w:rPr>
        <w:t>in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3"/>
          <w:position w:val="1"/>
        </w:rPr>
        <w:t> </w:t>
      </w:r>
      <w:r>
        <w:rPr>
          <w:position w:val="1"/>
        </w:rPr>
        <w:t>global</w:t>
      </w:r>
      <w:r>
        <w:rPr>
          <w:spacing w:val="-13"/>
          <w:position w:val="1"/>
        </w:rPr>
        <w:t> </w:t>
      </w:r>
      <w:r>
        <w:rPr>
          <w:position w:val="1"/>
        </w:rPr>
        <w:t>economy</w:t>
      </w:r>
      <w:r>
        <w:rPr>
          <w:spacing w:val="1"/>
          <w:position w:val="1"/>
        </w:rPr>
        <w:t> </w:t>
      </w:r>
      <w:r>
        <w:rPr/>
        <w:t>remained limited by its downstream positioning in global value chains. While the Slovak Republic has</w:t>
      </w:r>
      <w:r>
        <w:rPr>
          <w:spacing w:val="1"/>
        </w:rPr>
        <w:t> </w:t>
      </w:r>
      <w:r>
        <w:rPr/>
        <w:t>pockets of innovative activities in information communication and technology (ICT) and engineering,</w:t>
      </w:r>
      <w:r>
        <w:rPr>
          <w:spacing w:val="1"/>
        </w:rPr>
        <w:t> </w:t>
      </w:r>
      <w:r>
        <w:rPr/>
        <w:t>biomedicine, and bioeconomy, the country’s economy continues to rely on the manufacturing sector</w:t>
      </w:r>
      <w:r>
        <w:rPr>
          <w:spacing w:val="1"/>
        </w:rPr>
        <w:t> </w:t>
      </w:r>
      <w:r>
        <w:rPr>
          <w:position w:val="1"/>
        </w:rPr>
        <w:t>(MIRRI,</w:t>
      </w:r>
      <w:r>
        <w:rPr>
          <w:spacing w:val="1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[2]</w:t>
      </w:r>
      <w:r>
        <w:rPr>
          <w:position w:val="1"/>
        </w:rPr>
        <w:t>).</w:t>
      </w:r>
      <w:r>
        <w:rPr>
          <w:spacing w:val="50"/>
          <w:position w:val="1"/>
        </w:rPr>
        <w:t> </w:t>
      </w:r>
      <w:r>
        <w:rPr>
          <w:position w:val="1"/>
        </w:rPr>
        <w:t>While</w:t>
      </w:r>
      <w:r>
        <w:rPr>
          <w:spacing w:val="53"/>
          <w:position w:val="1"/>
        </w:rPr>
        <w:t> </w:t>
      </w:r>
      <w:r>
        <w:rPr>
          <w:position w:val="1"/>
        </w:rPr>
        <w:t>productivity</w:t>
      </w:r>
      <w:r>
        <w:rPr>
          <w:spacing w:val="53"/>
          <w:position w:val="1"/>
        </w:rPr>
        <w:t> </w:t>
      </w:r>
      <w:r>
        <w:rPr>
          <w:position w:val="1"/>
        </w:rPr>
        <w:t>gains</w:t>
      </w:r>
      <w:r>
        <w:rPr>
          <w:spacing w:val="53"/>
          <w:position w:val="1"/>
        </w:rPr>
        <w:t> </w:t>
      </w:r>
      <w:r>
        <w:rPr>
          <w:position w:val="1"/>
        </w:rPr>
        <w:t>in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55"/>
          <w:position w:val="1"/>
        </w:rPr>
        <w:t> </w:t>
      </w:r>
      <w:r>
        <w:rPr>
          <w:position w:val="1"/>
        </w:rPr>
        <w:t>manufacturing</w:t>
      </w:r>
      <w:r>
        <w:rPr>
          <w:spacing w:val="53"/>
          <w:position w:val="1"/>
        </w:rPr>
        <w:t> </w:t>
      </w:r>
      <w:r>
        <w:rPr>
          <w:position w:val="1"/>
        </w:rPr>
        <w:t>sector</w:t>
      </w:r>
      <w:r>
        <w:rPr>
          <w:spacing w:val="53"/>
          <w:position w:val="1"/>
        </w:rPr>
        <w:t> </w:t>
      </w:r>
      <w:r>
        <w:rPr>
          <w:position w:val="1"/>
        </w:rPr>
        <w:t>have</w:t>
      </w:r>
      <w:r>
        <w:rPr>
          <w:spacing w:val="1"/>
          <w:position w:val="1"/>
        </w:rPr>
        <w:t> </w:t>
      </w:r>
      <w:r>
        <w:rPr>
          <w:position w:val="1"/>
        </w:rPr>
        <w:t>been</w:t>
      </w:r>
      <w:r>
        <w:rPr>
          <w:spacing w:val="55"/>
          <w:position w:val="1"/>
        </w:rPr>
        <w:t> </w:t>
      </w:r>
      <w:r>
        <w:rPr>
          <w:position w:val="1"/>
        </w:rPr>
        <w:t>particularly</w:t>
      </w:r>
      <w:r>
        <w:rPr>
          <w:spacing w:val="53"/>
          <w:position w:val="1"/>
        </w:rPr>
        <w:t> </w:t>
      </w:r>
      <w:r>
        <w:rPr>
          <w:position w:val="1"/>
        </w:rPr>
        <w:t>large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71" w:lineRule="auto" w:before="0" w:after="0"/>
        <w:ind w:left="183" w:right="302" w:firstLine="0"/>
        <w:jc w:val="both"/>
        <w:rPr>
          <w:sz w:val="20"/>
        </w:rPr>
      </w:pPr>
      <w:r>
        <w:rPr>
          <w:sz w:val="20"/>
        </w:rPr>
        <w:t>multiplied by more than five since 1995, well above increases in Austria, the Czech Republic, Hungary</w:t>
      </w:r>
      <w:r>
        <w:rPr>
          <w:spacing w:val="1"/>
          <w:sz w:val="20"/>
        </w:rPr>
        <w:t> </w:t>
      </w:r>
      <w:r>
        <w:rPr>
          <w:sz w:val="20"/>
        </w:rPr>
        <w:t>and Slovenia – the productivity of business services only increased by 20% over the period, the smallest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increase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region.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Productivity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innovation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have</w:t>
      </w:r>
      <w:r>
        <w:rPr>
          <w:spacing w:val="-7"/>
          <w:sz w:val="20"/>
        </w:rPr>
        <w:t> </w:t>
      </w:r>
      <w:r>
        <w:rPr>
          <w:sz w:val="20"/>
        </w:rPr>
        <w:t>also</w:t>
      </w:r>
      <w:r>
        <w:rPr>
          <w:spacing w:val="-7"/>
          <w:sz w:val="20"/>
        </w:rPr>
        <w:t> </w:t>
      </w:r>
      <w:r>
        <w:rPr>
          <w:sz w:val="20"/>
        </w:rPr>
        <w:t>been</w:t>
      </w:r>
      <w:r>
        <w:rPr>
          <w:spacing w:val="-8"/>
          <w:sz w:val="20"/>
        </w:rPr>
        <w:t> </w:t>
      </w:r>
      <w:r>
        <w:rPr>
          <w:sz w:val="20"/>
        </w:rPr>
        <w:t>disproportionately</w:t>
      </w:r>
      <w:r>
        <w:rPr>
          <w:spacing w:val="-10"/>
          <w:sz w:val="20"/>
        </w:rPr>
        <w:t> </w:t>
      </w:r>
      <w:r>
        <w:rPr>
          <w:sz w:val="20"/>
        </w:rPr>
        <w:t>concentrated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large</w:t>
      </w:r>
      <w:r>
        <w:rPr>
          <w:spacing w:val="1"/>
          <w:sz w:val="20"/>
        </w:rPr>
        <w:t> </w:t>
      </w:r>
      <w:r>
        <w:rPr>
          <w:sz w:val="20"/>
        </w:rPr>
        <w:t>manufacturing firms, with little benefits to local small and medium-sized enterprises (SMEs) (OECD,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2019</w:t>
      </w:r>
      <w:r>
        <w:rPr>
          <w:sz w:val="13"/>
        </w:rPr>
        <w:t>[1]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While a large share of Slovaks has benefitted from the economic development of the past decades and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country</w:t>
      </w:r>
      <w:r>
        <w:rPr>
          <w:spacing w:val="-7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from</w:t>
      </w:r>
      <w:r>
        <w:rPr>
          <w:spacing w:val="-2"/>
        </w:rPr>
        <w:t> </w:t>
      </w:r>
      <w:r>
        <w:rPr/>
        <w:t>lower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7"/>
        </w:rPr>
        <w:t> </w:t>
      </w:r>
      <w:r>
        <w:rPr/>
        <w:t>than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among</w:t>
      </w:r>
      <w:r>
        <w:rPr>
          <w:spacing w:val="-5"/>
        </w:rPr>
        <w:t> </w:t>
      </w:r>
      <w:r>
        <w:rPr/>
        <w:t>OECD</w:t>
      </w:r>
      <w:r>
        <w:rPr>
          <w:spacing w:val="-5"/>
        </w:rPr>
        <w:t> </w:t>
      </w:r>
      <w:r>
        <w:rPr/>
        <w:t>countries,</w:t>
      </w:r>
      <w:r>
        <w:rPr>
          <w:spacing w:val="-6"/>
        </w:rPr>
        <w:t> </w:t>
      </w:r>
      <w:r>
        <w:rPr/>
        <w:t>some</w:t>
      </w:r>
      <w:r>
        <w:rPr>
          <w:spacing w:val="-7"/>
        </w:rPr>
        <w:t> </w:t>
      </w:r>
      <w:r>
        <w:rPr/>
        <w:t>regions</w:t>
      </w:r>
      <w:r>
        <w:rPr>
          <w:spacing w:val="1"/>
        </w:rPr>
        <w:t> </w:t>
      </w:r>
      <w:r>
        <w:rPr/>
        <w:t>and groups continue to face significant barriers to economic success. The coronavirus (COVID-19)</w:t>
      </w:r>
      <w:r>
        <w:rPr>
          <w:spacing w:val="1"/>
        </w:rPr>
        <w:t> </w:t>
      </w:r>
      <w:r>
        <w:rPr/>
        <w:t>pandemic may exacerbate these difficulties, as it has particularly affected sectors such as tourism, retail</w:t>
      </w:r>
      <w:r>
        <w:rPr>
          <w:spacing w:val="1"/>
        </w:rPr>
        <w:t> </w:t>
      </w:r>
      <w:r>
        <w:rPr/>
        <w:t>and construction, hitting workers hard in these sectors, who were already facing economic challenges,</w:t>
      </w:r>
      <w:r>
        <w:rPr>
          <w:spacing w:val="1"/>
        </w:rPr>
        <w:t> </w:t>
      </w:r>
      <w:r>
        <w:rPr>
          <w:position w:val="1"/>
        </w:rPr>
        <w:t>including</w:t>
      </w:r>
      <w:r>
        <w:rPr>
          <w:spacing w:val="-2"/>
          <w:position w:val="1"/>
        </w:rPr>
        <w:t> </w:t>
      </w:r>
      <w:r>
        <w:rPr>
          <w:position w:val="1"/>
        </w:rPr>
        <w:t>low-skilled workers,</w:t>
      </w:r>
      <w:r>
        <w:rPr>
          <w:spacing w:val="-2"/>
          <w:position w:val="1"/>
        </w:rPr>
        <w:t> </w:t>
      </w:r>
      <w:r>
        <w:rPr>
          <w:position w:val="1"/>
        </w:rPr>
        <w:t>women,</w:t>
      </w:r>
      <w:r>
        <w:rPr>
          <w:spacing w:val="-1"/>
          <w:position w:val="1"/>
        </w:rPr>
        <w:t> </w:t>
      </w:r>
      <w:r>
        <w:rPr>
          <w:position w:val="1"/>
        </w:rPr>
        <w:t>youth,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1"/>
          <w:position w:val="1"/>
        </w:rPr>
        <w:t> </w:t>
      </w:r>
      <w:r>
        <w:rPr>
          <w:position w:val="1"/>
        </w:rPr>
        <w:t>Roma</w:t>
      </w:r>
      <w:r>
        <w:rPr>
          <w:spacing w:val="-2"/>
          <w:position w:val="1"/>
        </w:rPr>
        <w:t> </w:t>
      </w:r>
      <w:r>
        <w:rPr>
          <w:position w:val="1"/>
        </w:rPr>
        <w:t>populations</w:t>
      </w:r>
      <w:r>
        <w:rPr>
          <w:spacing w:val="3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[3]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0"/>
        <w:jc w:val="both"/>
      </w:pPr>
      <w:r>
        <w:rPr/>
        <w:t>The pandemic may also accelerate the digital transformation across economic sectors and increase</w:t>
      </w:r>
      <w:r>
        <w:rPr>
          <w:spacing w:val="1"/>
        </w:rPr>
        <w:t> </w:t>
      </w:r>
      <w:r>
        <w:rPr/>
        <w:t>automation, already taking place at a fast pace in the Slovak Republic. OECD estimates based on 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Competencies, PIAAC) suggest that about 34% of Slovak workers face a high risk of seeing their jobs</w:t>
      </w:r>
      <w:r>
        <w:rPr>
          <w:spacing w:val="1"/>
        </w:rPr>
        <w:t> </w:t>
      </w:r>
      <w:r>
        <w:rPr/>
        <w:t>automated, and another 31% face significant changes in their job tasks due to automation (Nedelkoska</w:t>
      </w:r>
      <w:r>
        <w:rPr>
          <w:spacing w:val="1"/>
        </w:rPr>
        <w:t> </w:t>
      </w:r>
      <w:r>
        <w:rPr>
          <w:position w:val="1"/>
        </w:rPr>
        <w:t>and</w:t>
      </w:r>
      <w:r>
        <w:rPr>
          <w:spacing w:val="-7"/>
          <w:position w:val="1"/>
        </w:rPr>
        <w:t> </w:t>
      </w:r>
      <w:r>
        <w:rPr>
          <w:position w:val="1"/>
        </w:rPr>
        <w:t>Quintini,</w:t>
      </w:r>
      <w:r>
        <w:rPr>
          <w:spacing w:val="-6"/>
          <w:position w:val="1"/>
        </w:rPr>
        <w:t> </w:t>
      </w:r>
      <w:r>
        <w:rPr>
          <w:position w:val="1"/>
        </w:rPr>
        <w:t>2018</w:t>
      </w:r>
      <w:r>
        <w:rPr>
          <w:sz w:val="13"/>
        </w:rPr>
        <w:t>[4]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Moreover,</w:t>
      </w:r>
      <w:r>
        <w:rPr>
          <w:spacing w:val="-3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share</w:t>
      </w:r>
      <w:r>
        <w:rPr>
          <w:spacing w:val="-6"/>
          <w:position w:val="1"/>
        </w:rPr>
        <w:t> </w:t>
      </w:r>
      <w:r>
        <w:rPr>
          <w:position w:val="1"/>
        </w:rPr>
        <w:t>of</w:t>
      </w:r>
      <w:r>
        <w:rPr>
          <w:spacing w:val="-4"/>
          <w:position w:val="1"/>
        </w:rPr>
        <w:t> </w:t>
      </w:r>
      <w:r>
        <w:rPr>
          <w:position w:val="1"/>
        </w:rPr>
        <w:t>jobs</w:t>
      </w:r>
      <w:r>
        <w:rPr>
          <w:spacing w:val="-5"/>
          <w:position w:val="1"/>
        </w:rPr>
        <w:t> </w:t>
      </w:r>
      <w:r>
        <w:rPr>
          <w:position w:val="1"/>
        </w:rPr>
        <w:t>at</w:t>
      </w:r>
      <w:r>
        <w:rPr>
          <w:spacing w:val="-7"/>
          <w:position w:val="1"/>
        </w:rPr>
        <w:t> </w:t>
      </w:r>
      <w:r>
        <w:rPr>
          <w:position w:val="1"/>
        </w:rPr>
        <w:t>risk</w:t>
      </w:r>
      <w:r>
        <w:rPr>
          <w:spacing w:val="-3"/>
          <w:position w:val="1"/>
        </w:rPr>
        <w:t> </w:t>
      </w:r>
      <w:r>
        <w:rPr>
          <w:position w:val="1"/>
        </w:rPr>
        <w:t>of</w:t>
      </w:r>
      <w:r>
        <w:rPr>
          <w:spacing w:val="-3"/>
          <w:position w:val="1"/>
        </w:rPr>
        <w:t> </w:t>
      </w:r>
      <w:r>
        <w:rPr>
          <w:position w:val="1"/>
        </w:rPr>
        <w:t>being</w:t>
      </w:r>
      <w:r>
        <w:rPr>
          <w:spacing w:val="-5"/>
          <w:position w:val="1"/>
        </w:rPr>
        <w:t> </w:t>
      </w:r>
      <w:r>
        <w:rPr>
          <w:position w:val="1"/>
        </w:rPr>
        <w:t>automated</w:t>
      </w:r>
      <w:r>
        <w:rPr>
          <w:spacing w:val="-7"/>
          <w:position w:val="1"/>
        </w:rPr>
        <w:t> </w:t>
      </w:r>
      <w:r>
        <w:rPr>
          <w:position w:val="1"/>
        </w:rPr>
        <w:t>is</w:t>
      </w:r>
      <w:r>
        <w:rPr>
          <w:spacing w:val="-5"/>
          <w:position w:val="1"/>
        </w:rPr>
        <w:t> </w:t>
      </w:r>
      <w:r>
        <w:rPr>
          <w:position w:val="1"/>
        </w:rPr>
        <w:t>the</w:t>
      </w:r>
      <w:r>
        <w:rPr>
          <w:spacing w:val="-3"/>
          <w:position w:val="1"/>
        </w:rPr>
        <w:t> </w:t>
      </w:r>
      <w:r>
        <w:rPr>
          <w:position w:val="1"/>
        </w:rPr>
        <w:t>highest</w:t>
      </w:r>
      <w:r>
        <w:rPr>
          <w:spacing w:val="-6"/>
          <w:position w:val="1"/>
        </w:rPr>
        <w:t> </w:t>
      </w:r>
      <w:r>
        <w:rPr>
          <w:position w:val="1"/>
        </w:rPr>
        <w:t>among</w:t>
      </w:r>
      <w:r>
        <w:rPr>
          <w:spacing w:val="-7"/>
          <w:position w:val="1"/>
        </w:rPr>
        <w:t> </w:t>
      </w:r>
      <w:r>
        <w:rPr>
          <w:position w:val="1"/>
        </w:rPr>
        <w:t>OECD-</w:t>
      </w:r>
      <w:r>
        <w:rPr>
          <w:spacing w:val="1"/>
          <w:position w:val="1"/>
        </w:rPr>
        <w:t> </w:t>
      </w:r>
      <w:r>
        <w:rPr>
          <w:position w:val="1"/>
        </w:rPr>
        <w:t>PIAAC</w:t>
      </w:r>
      <w:r>
        <w:rPr>
          <w:spacing w:val="-2"/>
          <w:position w:val="1"/>
        </w:rPr>
        <w:t> </w:t>
      </w:r>
      <w:r>
        <w:rPr>
          <w:position w:val="1"/>
        </w:rPr>
        <w:t>countries</w:t>
      </w:r>
      <w:r>
        <w:rPr>
          <w:spacing w:val="-1"/>
          <w:position w:val="1"/>
        </w:rPr>
        <w:t> </w:t>
      </w:r>
      <w:r>
        <w:rPr>
          <w:position w:val="1"/>
        </w:rPr>
        <w:t>due</w:t>
      </w:r>
      <w:r>
        <w:rPr>
          <w:spacing w:val="-2"/>
          <w:position w:val="1"/>
        </w:rPr>
        <w:t> </w:t>
      </w:r>
      <w:r>
        <w:rPr>
          <w:position w:val="1"/>
        </w:rPr>
        <w:t>to the size of the Slovak</w:t>
      </w:r>
      <w:r>
        <w:rPr>
          <w:spacing w:val="-1"/>
          <w:position w:val="1"/>
        </w:rPr>
        <w:t> </w:t>
      </w:r>
      <w:r>
        <w:rPr>
          <w:position w:val="1"/>
        </w:rPr>
        <w:t>manufacturing sector</w:t>
      </w:r>
      <w:r>
        <w:rPr>
          <w:spacing w:val="4"/>
          <w:position w:val="1"/>
        </w:rPr>
        <w:t> </w:t>
      </w:r>
      <w:r>
        <w:rPr>
          <w:position w:val="1"/>
          <w:shd w:fill="E1E1E1" w:color="auto" w:val="clear"/>
        </w:rPr>
        <w:t>(OECD,</w:t>
      </w:r>
      <w:r>
        <w:rPr>
          <w:spacing w:val="1"/>
          <w:position w:val="1"/>
          <w:shd w:fill="E1E1E1" w:color="auto" w:val="clear"/>
        </w:rPr>
        <w:t> </w:t>
      </w:r>
      <w:r>
        <w:rPr>
          <w:position w:val="1"/>
          <w:shd w:fill="E1E1E1" w:color="auto" w:val="clear"/>
        </w:rPr>
        <w:t>2020</w:t>
      </w:r>
      <w:r>
        <w:rPr>
          <w:sz w:val="13"/>
          <w:shd w:fill="E1E1E1" w:color="auto" w:val="clear"/>
        </w:rPr>
        <w:t>[5]</w:t>
      </w:r>
      <w:r>
        <w:rPr>
          <w:position w:val="1"/>
          <w:shd w:fill="E1E1E1" w:color="auto" w:val="clear"/>
        </w:rPr>
        <w:t>)</w:t>
      </w:r>
      <w:r>
        <w:rPr>
          <w:position w:val="1"/>
        </w:rPr>
        <w:t>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The</w:t>
      </w:r>
      <w:r>
        <w:rPr>
          <w:spacing w:val="-9"/>
        </w:rPr>
        <w:t> </w:t>
      </w:r>
      <w:r>
        <w:rPr/>
        <w:t>impact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digital</w:t>
      </w:r>
      <w:r>
        <w:rPr>
          <w:spacing w:val="-8"/>
        </w:rPr>
        <w:t> </w:t>
      </w:r>
      <w:r>
        <w:rPr/>
        <w:t>transformation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labour</w:t>
      </w:r>
      <w:r>
        <w:rPr>
          <w:spacing w:val="-8"/>
        </w:rPr>
        <w:t> </w:t>
      </w:r>
      <w:r>
        <w:rPr/>
        <w:t>market</w:t>
      </w:r>
      <w:r>
        <w:rPr>
          <w:spacing w:val="-8"/>
        </w:rPr>
        <w:t> </w:t>
      </w:r>
      <w:r>
        <w:rPr/>
        <w:t>demand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difficult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predict,</w:t>
      </w:r>
      <w:r>
        <w:rPr>
          <w:spacing w:val="-9"/>
        </w:rPr>
        <w:t> </w:t>
      </w:r>
      <w:r>
        <w:rPr/>
        <w:t>particularly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disruption caused by the pandemic. Forecasts on future labour market demand in the Slovak Republic</w:t>
      </w:r>
      <w:r>
        <w:rPr>
          <w:spacing w:val="1"/>
        </w:rPr>
        <w:t> </w:t>
      </w:r>
      <w:r>
        <w:rPr/>
        <w:t>conducted before the pandemic by Cedefop, and the National Project on Forecasting Labour Market</w:t>
      </w:r>
      <w:r>
        <w:rPr>
          <w:spacing w:val="1"/>
        </w:rPr>
        <w:t> </w:t>
      </w:r>
      <w:r>
        <w:rPr/>
        <w:t>Developments (Národný projekt: Prognózy vývoja na trhu práce, NPPVTP) suggested that strong labour</w:t>
      </w:r>
      <w:r>
        <w:rPr>
          <w:spacing w:val="1"/>
        </w:rPr>
        <w:t> </w:t>
      </w:r>
      <w:r>
        <w:rPr/>
        <w:t>market demand across both high-skilled and medium-skilled occupations was likely to extend into the</w:t>
      </w:r>
      <w:r>
        <w:rPr>
          <w:spacing w:val="1"/>
        </w:rPr>
        <w:t> </w:t>
      </w:r>
      <w:r>
        <w:rPr/>
        <w:t>future. Most employment growth is expected in medium-skilled occupations, followed by high-skilled</w:t>
      </w:r>
      <w:r>
        <w:rPr>
          <w:spacing w:val="1"/>
        </w:rPr>
        <w:t> </w:t>
      </w:r>
      <w:r>
        <w:rPr/>
        <w:t>occupations. Forecasts suggest that employment growth in medium-skilled occupations will be driven by</w:t>
      </w:r>
      <w:r>
        <w:rPr>
          <w:spacing w:val="1"/>
        </w:rPr>
        <w:t> </w:t>
      </w:r>
      <w:r>
        <w:rPr/>
        <w:t>replacement</w:t>
      </w:r>
      <w:r>
        <w:rPr>
          <w:spacing w:val="-13"/>
        </w:rPr>
        <w:t> </w:t>
      </w:r>
      <w:r>
        <w:rPr/>
        <w:t>demand</w:t>
      </w:r>
      <w:r>
        <w:rPr>
          <w:spacing w:val="-14"/>
        </w:rPr>
        <w:t> </w:t>
      </w:r>
      <w:r>
        <w:rPr/>
        <w:t>resulting</w:t>
      </w:r>
      <w:r>
        <w:rPr>
          <w:spacing w:val="-13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large</w:t>
      </w:r>
      <w:r>
        <w:rPr>
          <w:spacing w:val="-13"/>
        </w:rPr>
        <w:t> </w:t>
      </w:r>
      <w:r>
        <w:rPr/>
        <w:t>shares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workers</w:t>
      </w:r>
      <w:r>
        <w:rPr>
          <w:spacing w:val="-10"/>
        </w:rPr>
        <w:t> </w:t>
      </w:r>
      <w:r>
        <w:rPr/>
        <w:t>nearing</w:t>
      </w:r>
      <w:r>
        <w:rPr>
          <w:spacing w:val="-14"/>
        </w:rPr>
        <w:t> </w:t>
      </w:r>
      <w:r>
        <w:rPr/>
        <w:t>retirement</w:t>
      </w:r>
      <w:r>
        <w:rPr>
          <w:spacing w:val="-13"/>
        </w:rPr>
        <w:t> </w:t>
      </w:r>
      <w:r>
        <w:rPr/>
        <w:t>age,</w:t>
      </w:r>
      <w:r>
        <w:rPr>
          <w:spacing w:val="-10"/>
        </w:rPr>
        <w:t> </w:t>
      </w:r>
      <w:r>
        <w:rPr/>
        <w:t>while</w:t>
      </w:r>
      <w:r>
        <w:rPr>
          <w:spacing w:val="-11"/>
        </w:rPr>
        <w:t> </w:t>
      </w:r>
      <w:r>
        <w:rPr/>
        <w:t>employment</w:t>
      </w:r>
      <w:r>
        <w:rPr>
          <w:spacing w:val="1"/>
        </w:rPr>
        <w:t> </w:t>
      </w:r>
      <w:r>
        <w:rPr>
          <w:position w:val="1"/>
        </w:rPr>
        <w:t>growth</w:t>
      </w:r>
      <w:r>
        <w:rPr>
          <w:spacing w:val="-1"/>
          <w:position w:val="1"/>
        </w:rPr>
        <w:t> </w:t>
      </w:r>
      <w:r>
        <w:rPr>
          <w:position w:val="1"/>
        </w:rPr>
        <w:t>in high-skilled</w:t>
      </w:r>
      <w:r>
        <w:rPr>
          <w:spacing w:val="-1"/>
          <w:position w:val="1"/>
        </w:rPr>
        <w:t> </w:t>
      </w:r>
      <w:r>
        <w:rPr>
          <w:position w:val="1"/>
        </w:rPr>
        <w:t>occupations</w:t>
      </w:r>
      <w:r>
        <w:rPr>
          <w:spacing w:val="1"/>
          <w:position w:val="1"/>
        </w:rPr>
        <w:t> </w:t>
      </w:r>
      <w:r>
        <w:rPr>
          <w:position w:val="1"/>
        </w:rPr>
        <w:t>will</w:t>
      </w:r>
      <w:r>
        <w:rPr>
          <w:spacing w:val="-3"/>
          <w:position w:val="1"/>
        </w:rPr>
        <w:t> </w:t>
      </w:r>
      <w:r>
        <w:rPr>
          <w:position w:val="1"/>
        </w:rPr>
        <w:t>be driven</w:t>
      </w:r>
      <w:r>
        <w:rPr>
          <w:spacing w:val="-2"/>
          <w:position w:val="1"/>
        </w:rPr>
        <w:t> </w:t>
      </w:r>
      <w:r>
        <w:rPr>
          <w:position w:val="1"/>
        </w:rPr>
        <w:t>by</w:t>
      </w:r>
      <w:r>
        <w:rPr>
          <w:spacing w:val="-5"/>
          <w:position w:val="1"/>
        </w:rPr>
        <w:t> </w:t>
      </w:r>
      <w:r>
        <w:rPr>
          <w:position w:val="1"/>
        </w:rPr>
        <w:t>new</w:t>
      </w:r>
      <w:r>
        <w:rPr>
          <w:spacing w:val="-4"/>
          <w:position w:val="1"/>
        </w:rPr>
        <w:t> </w:t>
      </w:r>
      <w:r>
        <w:rPr>
          <w:position w:val="1"/>
        </w:rPr>
        <w:t>job</w:t>
      </w:r>
      <w:r>
        <w:rPr>
          <w:spacing w:val="-2"/>
          <w:position w:val="1"/>
        </w:rPr>
        <w:t> </w:t>
      </w:r>
      <w:r>
        <w:rPr>
          <w:position w:val="1"/>
        </w:rPr>
        <w:t>creation</w:t>
      </w:r>
      <w:r>
        <w:rPr>
          <w:spacing w:val="3"/>
          <w:position w:val="1"/>
        </w:rPr>
        <w:t> </w:t>
      </w:r>
      <w:r>
        <w:rPr>
          <w:position w:val="1"/>
          <w:shd w:fill="E1E1E1" w:color="auto" w:val="clear"/>
        </w:rPr>
        <w:t>(OECD, 2020</w:t>
      </w:r>
      <w:r>
        <w:rPr>
          <w:sz w:val="13"/>
          <w:shd w:fill="E1E1E1" w:color="auto" w:val="clear"/>
        </w:rPr>
        <w:t>[5]</w:t>
      </w:r>
      <w:r>
        <w:rPr>
          <w:position w:val="1"/>
          <w:shd w:fill="E1E1E1" w:color="auto" w:val="clear"/>
        </w:rPr>
        <w:t>)</w:t>
      </w:r>
      <w:r>
        <w:rPr>
          <w:position w:val="1"/>
        </w:rPr>
        <w:t>.</w:t>
      </w:r>
    </w:p>
    <w:p>
      <w:pPr>
        <w:pStyle w:val="BodyText"/>
        <w:spacing w:line="271" w:lineRule="auto" w:before="121"/>
        <w:ind w:left="183" w:right="303"/>
        <w:jc w:val="both"/>
      </w:pPr>
      <w:r>
        <w:rPr/>
        <w:t>With a population of 5.4 million, the Slovak Republic has one of the fastest ageing populations among</w:t>
      </w:r>
      <w:r>
        <w:rPr>
          <w:spacing w:val="1"/>
        </w:rPr>
        <w:t> </w:t>
      </w:r>
      <w:r>
        <w:rPr/>
        <w:t>OECD countries, resulting in a shrinking working-age population. For every ten adults of working age in</w:t>
      </w:r>
      <w:r>
        <w:rPr>
          <w:spacing w:val="1"/>
        </w:rPr>
        <w:t> </w:t>
      </w:r>
      <w:r>
        <w:rPr/>
        <w:t>the Slovak Republic, approximately two adults are currently aged 65 and over. This ratio is currently low</w:t>
      </w:r>
      <w:r>
        <w:rPr>
          <w:spacing w:val="1"/>
        </w:rPr>
        <w:t> </w:t>
      </w:r>
      <w:r>
        <w:rPr/>
        <w:t>compared to most OECD countries but will increase drastically and surpass the European Union (EU)</w:t>
      </w:r>
      <w:r>
        <w:rPr>
          <w:spacing w:val="1"/>
        </w:rPr>
        <w:t> </w:t>
      </w:r>
      <w:r>
        <w:rPr/>
        <w:t>average in 2050. In 2060, it is projected that there will be six adults aged 65 and over for every ten adults</w:t>
      </w:r>
      <w:r>
        <w:rPr>
          <w:spacing w:val="-53"/>
        </w:rPr>
        <w:t> </w:t>
      </w:r>
      <w:r>
        <w:rPr/>
        <w:t>of working age. This trend poses a significant challenge to the Slovak economy. For instance, the total</w:t>
      </w:r>
      <w:r>
        <w:rPr>
          <w:spacing w:val="1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employed</w:t>
      </w:r>
      <w:r>
        <w:rPr>
          <w:spacing w:val="-4"/>
        </w:rPr>
        <w:t> </w:t>
      </w:r>
      <w:r>
        <w:rPr/>
        <w:t>persons</w:t>
      </w:r>
      <w:r>
        <w:rPr>
          <w:spacing w:val="-4"/>
        </w:rPr>
        <w:t> </w:t>
      </w:r>
      <w:r>
        <w:rPr/>
        <w:t>could</w:t>
      </w:r>
      <w:r>
        <w:rPr>
          <w:spacing w:val="-4"/>
        </w:rPr>
        <w:t> </w:t>
      </w:r>
      <w:r>
        <w:rPr/>
        <w:t>decrease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one-fifth,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catch-up</w:t>
      </w:r>
      <w:r>
        <w:rPr>
          <w:spacing w:val="-6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per</w:t>
      </w:r>
      <w:r>
        <w:rPr>
          <w:spacing w:val="-4"/>
        </w:rPr>
        <w:t> </w:t>
      </w:r>
      <w:r>
        <w:rPr/>
        <w:t>capita</w:t>
      </w:r>
      <w:r>
        <w:rPr>
          <w:spacing w:val="-3"/>
        </w:rPr>
        <w:t> </w:t>
      </w:r>
      <w:r>
        <w:rPr/>
        <w:t>income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the average for OECD countries might slow down and even be reversed in the long term. This drop in the</w:t>
      </w:r>
      <w:r>
        <w:rPr>
          <w:spacing w:val="-53"/>
        </w:rPr>
        <w:t> </w:t>
      </w:r>
      <w:r>
        <w:rPr/>
        <w:t>contribution of labour utilisation to economic growth will make productivity improvements an even more</w:t>
      </w:r>
      <w:r>
        <w:rPr>
          <w:spacing w:val="1"/>
        </w:rPr>
        <w:t> </w:t>
      </w:r>
      <w:r>
        <w:rPr>
          <w:position w:val="1"/>
        </w:rPr>
        <w:t>critical</w:t>
      </w:r>
      <w:r>
        <w:rPr>
          <w:spacing w:val="-8"/>
          <w:position w:val="1"/>
        </w:rPr>
        <w:t> </w:t>
      </w:r>
      <w:r>
        <w:rPr>
          <w:position w:val="1"/>
        </w:rPr>
        <w:t>driver</w:t>
      </w:r>
      <w:r>
        <w:rPr>
          <w:spacing w:val="-6"/>
          <w:position w:val="1"/>
        </w:rPr>
        <w:t> </w:t>
      </w:r>
      <w:r>
        <w:rPr>
          <w:position w:val="1"/>
        </w:rPr>
        <w:t>of</w:t>
      </w:r>
      <w:r>
        <w:rPr>
          <w:spacing w:val="-7"/>
          <w:position w:val="1"/>
        </w:rPr>
        <w:t> </w:t>
      </w:r>
      <w:r>
        <w:rPr>
          <w:position w:val="1"/>
        </w:rPr>
        <w:t>economic</w:t>
      </w:r>
      <w:r>
        <w:rPr>
          <w:spacing w:val="-8"/>
          <w:position w:val="1"/>
        </w:rPr>
        <w:t> </w:t>
      </w:r>
      <w:r>
        <w:rPr>
          <w:position w:val="1"/>
        </w:rPr>
        <w:t>growth</w:t>
      </w:r>
      <w:r>
        <w:rPr>
          <w:spacing w:val="-7"/>
          <w:position w:val="1"/>
        </w:rPr>
        <w:t> </w:t>
      </w:r>
      <w:r>
        <w:rPr>
          <w:position w:val="1"/>
        </w:rPr>
        <w:t>in</w:t>
      </w:r>
      <w:r>
        <w:rPr>
          <w:spacing w:val="-3"/>
          <w:position w:val="1"/>
        </w:rPr>
        <w:t> </w:t>
      </w:r>
      <w:r>
        <w:rPr>
          <w:position w:val="1"/>
        </w:rPr>
        <w:t>the</w:t>
      </w:r>
      <w:r>
        <w:rPr>
          <w:spacing w:val="-9"/>
          <w:position w:val="1"/>
        </w:rPr>
        <w:t> </w:t>
      </w:r>
      <w:r>
        <w:rPr>
          <w:position w:val="1"/>
        </w:rPr>
        <w:t>future</w:t>
      </w:r>
      <w:r>
        <w:rPr>
          <w:spacing w:val="-8"/>
          <w:position w:val="1"/>
        </w:rPr>
        <w:t> </w:t>
      </w:r>
      <w:r>
        <w:rPr>
          <w:position w:val="1"/>
        </w:rPr>
        <w:t>(OECD,</w:t>
      </w:r>
      <w:r>
        <w:rPr>
          <w:spacing w:val="-4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[5]</w:t>
      </w:r>
      <w:r>
        <w:rPr>
          <w:position w:val="1"/>
        </w:rPr>
        <w:t>).</w:t>
      </w:r>
      <w:r>
        <w:rPr>
          <w:spacing w:val="-8"/>
          <w:position w:val="1"/>
        </w:rPr>
        <w:t> </w:t>
      </w:r>
      <w:r>
        <w:rPr>
          <w:position w:val="1"/>
        </w:rPr>
        <w:t>The</w:t>
      </w:r>
      <w:r>
        <w:rPr>
          <w:spacing w:val="-9"/>
          <w:position w:val="1"/>
        </w:rPr>
        <w:t> </w:t>
      </w:r>
      <w:r>
        <w:rPr>
          <w:position w:val="1"/>
        </w:rPr>
        <w:t>knowledge</w:t>
      </w:r>
      <w:r>
        <w:rPr>
          <w:spacing w:val="-7"/>
          <w:position w:val="1"/>
        </w:rPr>
        <w:t> </w:t>
      </w:r>
      <w:r>
        <w:rPr>
          <w:position w:val="1"/>
        </w:rPr>
        <w:t>and</w:t>
      </w:r>
      <w:r>
        <w:rPr>
          <w:spacing w:val="-9"/>
          <w:position w:val="1"/>
        </w:rPr>
        <w:t> </w:t>
      </w:r>
      <w:r>
        <w:rPr>
          <w:position w:val="1"/>
        </w:rPr>
        <w:t>skills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-5"/>
          <w:position w:val="1"/>
        </w:rPr>
        <w:t> </w:t>
      </w:r>
      <w:r>
        <w:rPr>
          <w:position w:val="1"/>
        </w:rPr>
        <w:t>workers</w:t>
      </w:r>
      <w:r>
        <w:rPr>
          <w:spacing w:val="-7"/>
          <w:position w:val="1"/>
        </w:rPr>
        <w:t> </w:t>
      </w:r>
      <w:r>
        <w:rPr>
          <w:position w:val="1"/>
        </w:rPr>
        <w:t>in</w:t>
      </w:r>
      <w:r>
        <w:rPr>
          <w:spacing w:val="-8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/>
        <w:t>Slovak Republic thus represent an increasingly important focus of government policy to sustain and</w:t>
      </w:r>
      <w:r>
        <w:rPr>
          <w:spacing w:val="1"/>
        </w:rPr>
        <w:t> </w:t>
      </w:r>
      <w:r>
        <w:rPr/>
        <w:t>promote</w:t>
      </w:r>
      <w:r>
        <w:rPr>
          <w:spacing w:val="-3"/>
        </w:rPr>
        <w:t> </w:t>
      </w:r>
      <w:r>
        <w:rPr/>
        <w:t>economic prosperity</w:t>
      </w:r>
      <w:r>
        <w:rPr>
          <w:spacing w:val="-5"/>
        </w:rPr>
        <w:t> </w:t>
      </w:r>
      <w:r>
        <w:rPr/>
        <w:t>and well-being in</w:t>
      </w:r>
      <w:r>
        <w:rPr>
          <w:spacing w:val="1"/>
        </w:rPr>
        <w:t> </w:t>
      </w:r>
      <w:r>
        <w:rPr/>
        <w:t>the country.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2"/>
        <w:jc w:val="both"/>
      </w:pPr>
      <w:r>
        <w:rPr/>
        <w:t>The Slovak Republic has seen impressive growth in the higher education attainment rate, which doubled</w:t>
      </w:r>
      <w:r>
        <w:rPr>
          <w:spacing w:val="1"/>
        </w:rPr>
        <w:t> </w:t>
      </w:r>
      <w:r>
        <w:rPr>
          <w:position w:val="1"/>
        </w:rPr>
        <w:t>for</w:t>
      </w:r>
      <w:r>
        <w:rPr>
          <w:spacing w:val="55"/>
          <w:position w:val="1"/>
        </w:rPr>
        <w:t> </w:t>
      </w:r>
      <w:r>
        <w:rPr>
          <w:position w:val="1"/>
        </w:rPr>
        <w:t>2534 year-olds-</w:t>
      </w:r>
      <w:r>
        <w:rPr>
          <w:spacing w:val="56"/>
          <w:position w:val="1"/>
        </w:rPr>
        <w:t> </w:t>
      </w:r>
      <w:r>
        <w:rPr>
          <w:position w:val="1"/>
        </w:rPr>
        <w:t>from</w:t>
      </w:r>
      <w:r>
        <w:rPr>
          <w:spacing w:val="55"/>
          <w:position w:val="1"/>
        </w:rPr>
        <w:t> </w:t>
      </w:r>
      <w:r>
        <w:rPr>
          <w:position w:val="1"/>
        </w:rPr>
        <w:t>16.3%</w:t>
      </w:r>
      <w:r>
        <w:rPr>
          <w:spacing w:val="56"/>
          <w:position w:val="1"/>
        </w:rPr>
        <w:t> </w:t>
      </w:r>
      <w:r>
        <w:rPr>
          <w:position w:val="1"/>
        </w:rPr>
        <w:t>in</w:t>
      </w:r>
      <w:r>
        <w:rPr>
          <w:spacing w:val="55"/>
          <w:position w:val="1"/>
        </w:rPr>
        <w:t> </w:t>
      </w:r>
      <w:r>
        <w:rPr>
          <w:position w:val="1"/>
        </w:rPr>
        <w:t>2005</w:t>
      </w:r>
      <w:r>
        <w:rPr>
          <w:spacing w:val="56"/>
          <w:position w:val="1"/>
        </w:rPr>
        <w:t> </w:t>
      </w:r>
      <w:r>
        <w:rPr>
          <w:position w:val="1"/>
        </w:rPr>
        <w:t>to</w:t>
      </w:r>
      <w:r>
        <w:rPr>
          <w:spacing w:val="55"/>
          <w:position w:val="1"/>
        </w:rPr>
        <w:t> </w:t>
      </w:r>
      <w:r>
        <w:rPr>
          <w:position w:val="1"/>
        </w:rPr>
        <w:t>31.3%</w:t>
      </w:r>
      <w:r>
        <w:rPr>
          <w:spacing w:val="56"/>
          <w:position w:val="1"/>
        </w:rPr>
        <w:t> </w:t>
      </w:r>
      <w:r>
        <w:rPr>
          <w:position w:val="1"/>
        </w:rPr>
        <w:t>in</w:t>
      </w:r>
      <w:r>
        <w:rPr>
          <w:spacing w:val="56"/>
          <w:position w:val="1"/>
        </w:rPr>
        <w:t> </w:t>
      </w:r>
      <w:r>
        <w:rPr>
          <w:position w:val="1"/>
        </w:rPr>
        <w:t>2015</w:t>
      </w:r>
      <w:r>
        <w:rPr>
          <w:spacing w:val="55"/>
          <w:position w:val="1"/>
        </w:rPr>
        <w:t> </w:t>
      </w:r>
      <w:r>
        <w:rPr>
          <w:position w:val="1"/>
        </w:rPr>
        <w:t>(OECD,</w:t>
      </w:r>
      <w:r>
        <w:rPr>
          <w:spacing w:val="56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[6]</w:t>
      </w:r>
      <w:r>
        <w:rPr>
          <w:position w:val="1"/>
        </w:rPr>
        <w:t>).</w:t>
      </w:r>
      <w:r>
        <w:rPr>
          <w:spacing w:val="55"/>
          <w:position w:val="1"/>
        </w:rPr>
        <w:t> </w:t>
      </w:r>
      <w:r>
        <w:rPr>
          <w:position w:val="1"/>
        </w:rPr>
        <w:t>The</w:t>
      </w:r>
      <w:r>
        <w:rPr>
          <w:spacing w:val="56"/>
          <w:position w:val="1"/>
        </w:rPr>
        <w:t> </w:t>
      </w:r>
      <w:r>
        <w:rPr>
          <w:position w:val="1"/>
        </w:rPr>
        <w:t>attainment</w:t>
      </w:r>
      <w:r>
        <w:rPr>
          <w:spacing w:val="55"/>
          <w:position w:val="1"/>
        </w:rPr>
        <w:t> </w:t>
      </w:r>
      <w:r>
        <w:rPr>
          <w:position w:val="1"/>
        </w:rPr>
        <w:t>rate</w:t>
      </w:r>
      <w:r>
        <w:rPr>
          <w:spacing w:val="1"/>
          <w:position w:val="1"/>
        </w:rPr>
        <w:t> </w:t>
      </w:r>
      <w:r>
        <w:rPr>
          <w:position w:val="1"/>
        </w:rPr>
        <w:t>for 25-34 year-olds reached 39.2% in 2019, just below the rate in the EU28 of 40.9% (Eurostat, 2021</w:t>
      </w:r>
      <w:r>
        <w:rPr>
          <w:sz w:val="13"/>
        </w:rPr>
        <w:t>[7]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/>
        <w:t>This rapid and recent expansion can be explained by historical events, such as the change of political</w:t>
      </w:r>
      <w:r>
        <w:rPr>
          <w:spacing w:val="1"/>
        </w:rPr>
        <w:t> </w:t>
      </w:r>
      <w:r>
        <w:rPr/>
        <w:t>regime, the separation of the Czechoslovak Republic into two independent states, the creation of new</w:t>
      </w:r>
      <w:r>
        <w:rPr>
          <w:spacing w:val="1"/>
        </w:rPr>
        <w:t> </w:t>
      </w:r>
      <w:r>
        <w:rPr/>
        <w:t>public universities in the country, and the convergence with economic and social trends seen in Western</w:t>
      </w:r>
      <w:r>
        <w:rPr>
          <w:spacing w:val="1"/>
        </w:rPr>
        <w:t> </w:t>
      </w:r>
      <w:r>
        <w:rPr/>
        <w:t>Europe. It can also be explained by the high premium for higher education when attainment was low,</w:t>
      </w:r>
      <w:r>
        <w:rPr>
          <w:spacing w:val="1"/>
        </w:rPr>
        <w:t> </w:t>
      </w:r>
      <w:r>
        <w:rPr/>
        <w:t>attracting many young people to pursue a higher education degree, traditionally conceived of as a</w:t>
      </w:r>
      <w:r>
        <w:rPr>
          <w:spacing w:val="1"/>
        </w:rPr>
        <w:t> </w:t>
      </w:r>
      <w:r>
        <w:rPr/>
        <w:t>theoretical</w:t>
      </w:r>
      <w:r>
        <w:rPr>
          <w:spacing w:val="-5"/>
        </w:rPr>
        <w:t> </w:t>
      </w:r>
      <w:r>
        <w:rPr/>
        <w:t>programme,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very</w:t>
      </w:r>
      <w:r>
        <w:rPr>
          <w:spacing w:val="-6"/>
        </w:rPr>
        <w:t> </w:t>
      </w:r>
      <w:r>
        <w:rPr/>
        <w:t>few</w:t>
      </w:r>
      <w:r>
        <w:rPr>
          <w:spacing w:val="-6"/>
        </w:rPr>
        <w:t> </w:t>
      </w:r>
      <w:r>
        <w:rPr/>
        <w:t>options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short-cycle</w:t>
      </w:r>
      <w:r>
        <w:rPr>
          <w:spacing w:val="-4"/>
        </w:rPr>
        <w:t> </w:t>
      </w:r>
      <w:r>
        <w:rPr/>
        <w:t>or vocationally</w:t>
      </w:r>
      <w:r>
        <w:rPr>
          <w:spacing w:val="-5"/>
        </w:rPr>
        <w:t> </w:t>
      </w:r>
      <w:r>
        <w:rPr/>
        <w:t>oriented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education.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However, the Slovak Republic faces significant challenges across its “skills pipeline”, from school-level</w:t>
      </w:r>
      <w:r>
        <w:rPr>
          <w:spacing w:val="1"/>
        </w:rPr>
        <w:t> </w:t>
      </w:r>
      <w:r>
        <w:rPr>
          <w:position w:val="1"/>
        </w:rPr>
        <w:t>education, higher education through to adult education (OECD, 2020</w:t>
      </w:r>
      <w:r>
        <w:rPr>
          <w:sz w:val="13"/>
        </w:rPr>
        <w:t>[5]</w:t>
      </w:r>
      <w:r>
        <w:rPr>
          <w:position w:val="1"/>
        </w:rPr>
        <w:t>). The higher education system</w:t>
      </w:r>
      <w:r>
        <w:rPr>
          <w:spacing w:val="1"/>
          <w:position w:val="1"/>
        </w:rPr>
        <w:t> </w:t>
      </w:r>
      <w:r>
        <w:rPr/>
        <w:t>plays a pivotal role in helping Slovaks of all ages succeed in a labour market that is likely to transform in</w:t>
      </w:r>
      <w:r>
        <w:rPr>
          <w:spacing w:val="1"/>
        </w:rPr>
        <w:t> </w:t>
      </w:r>
      <w:r>
        <w:rPr/>
        <w:t>important ways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future</w:t>
      </w:r>
      <w:r>
        <w:rPr>
          <w:spacing w:val="3"/>
        </w:rPr>
        <w:t> </w:t>
      </w:r>
      <w:r>
        <w:rPr/>
        <w:t>years.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6"/>
        </w:numPr>
        <w:tabs>
          <w:tab w:pos="652" w:val="left" w:leader="none"/>
        </w:tabs>
        <w:spacing w:line="240" w:lineRule="auto" w:before="192" w:after="0"/>
        <w:ind w:left="651" w:right="0" w:hanging="469"/>
        <w:jc w:val="left"/>
      </w:pPr>
      <w:bookmarkStart w:name="2.2. Key features of the Slovak Republic" w:id="37"/>
      <w:bookmarkEnd w:id="37"/>
      <w:r>
        <w:rPr>
          <w:b w:val="0"/>
        </w:rPr>
      </w:r>
      <w:bookmarkStart w:name="_bookmark13" w:id="38"/>
      <w:bookmarkEnd w:id="38"/>
      <w:r>
        <w:rPr>
          <w:b w:val="0"/>
        </w:rPr>
      </w:r>
      <w:bookmarkStart w:name="_bookmark13" w:id="39"/>
      <w:bookmarkEnd w:id="39"/>
      <w:r>
        <w:rPr>
          <w:color w:val="4E81BD"/>
        </w:rPr>
        <w:t>K</w:t>
      </w:r>
      <w:r>
        <w:rPr>
          <w:color w:val="4E81BD"/>
        </w:rPr>
        <w:t>ey</w:t>
      </w:r>
      <w:r>
        <w:rPr>
          <w:color w:val="4E81BD"/>
          <w:spacing w:val="-7"/>
        </w:rPr>
        <w:t> </w:t>
      </w:r>
      <w:r>
        <w:rPr>
          <w:color w:val="4E81BD"/>
        </w:rPr>
        <w:t>features</w:t>
      </w:r>
      <w:r>
        <w:rPr>
          <w:color w:val="4E81BD"/>
          <w:spacing w:val="-2"/>
        </w:rPr>
        <w:t> </w:t>
      </w:r>
      <w:r>
        <w:rPr>
          <w:color w:val="4E81BD"/>
        </w:rPr>
        <w:t>of</w:t>
      </w:r>
      <w:r>
        <w:rPr>
          <w:color w:val="4E81BD"/>
          <w:spacing w:val="-2"/>
        </w:rPr>
        <w:t> </w:t>
      </w:r>
      <w:r>
        <w:rPr>
          <w:color w:val="4E81BD"/>
        </w:rPr>
        <w:t>the</w:t>
      </w:r>
      <w:r>
        <w:rPr>
          <w:color w:val="4E81BD"/>
          <w:spacing w:val="-2"/>
        </w:rPr>
        <w:t> </w:t>
      </w:r>
      <w:r>
        <w:rPr>
          <w:color w:val="4E81BD"/>
        </w:rPr>
        <w:t>Slovak</w:t>
      </w:r>
      <w:r>
        <w:rPr>
          <w:color w:val="4E81BD"/>
          <w:spacing w:val="-3"/>
        </w:rPr>
        <w:t> </w:t>
      </w:r>
      <w:r>
        <w:rPr>
          <w:color w:val="4E81BD"/>
        </w:rPr>
        <w:t>Republic’s</w:t>
      </w:r>
      <w:r>
        <w:rPr>
          <w:color w:val="4E81BD"/>
          <w:spacing w:val="-2"/>
        </w:rPr>
        <w:t> </w:t>
      </w:r>
      <w:r>
        <w:rPr>
          <w:color w:val="4E81BD"/>
        </w:rPr>
        <w:t>higher</w:t>
      </w:r>
      <w:r>
        <w:rPr>
          <w:color w:val="4E81BD"/>
          <w:spacing w:val="-3"/>
        </w:rPr>
        <w:t> </w:t>
      </w:r>
      <w:r>
        <w:rPr>
          <w:color w:val="4E81BD"/>
        </w:rPr>
        <w:t>education</w:t>
      </w:r>
      <w:r>
        <w:rPr>
          <w:color w:val="4E81BD"/>
          <w:spacing w:val="-2"/>
        </w:rPr>
        <w:t> </w:t>
      </w:r>
      <w:r>
        <w:rPr>
          <w:color w:val="4E81BD"/>
        </w:rPr>
        <w:t>system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Heading5"/>
      </w:pPr>
      <w:bookmarkStart w:name="Historical context and the current lands" w:id="40"/>
      <w:bookmarkEnd w:id="40"/>
      <w:r>
        <w:rPr>
          <w:b w:val="0"/>
          <w:i w:val="0"/>
        </w:rPr>
      </w:r>
      <w:r>
        <w:rPr/>
        <w:t>Historical</w:t>
      </w:r>
      <w:r>
        <w:rPr>
          <w:spacing w:val="-4"/>
        </w:rPr>
        <w:t> </w:t>
      </w:r>
      <w:r>
        <w:rPr/>
        <w:t>context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5"/>
        </w:rPr>
        <w:t> </w:t>
      </w:r>
      <w:r>
        <w:rPr/>
        <w:t>landscape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71" w:lineRule="auto"/>
        <w:ind w:left="183" w:right="301"/>
        <w:jc w:val="both"/>
      </w:pPr>
      <w:r>
        <w:rPr/>
        <w:t>Slovak higher education has witnessed significant changes during the last three decades of independent</w:t>
      </w:r>
      <w:r>
        <w:rPr>
          <w:spacing w:val="1"/>
        </w:rPr>
        <w:t> </w:t>
      </w:r>
      <w:r>
        <w:rPr/>
        <w:t>statehood, after being a part of the Czechoslovak education system from 1918 until 1993 (except for 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statehood</w:t>
      </w:r>
      <w:r>
        <w:rPr>
          <w:spacing w:val="55"/>
        </w:rPr>
        <w:t> </w:t>
      </w:r>
      <w:r>
        <w:rPr/>
        <w:t>during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Second</w:t>
      </w:r>
      <w:r>
        <w:rPr>
          <w:spacing w:val="56"/>
        </w:rPr>
        <w:t> </w:t>
      </w:r>
      <w:r>
        <w:rPr/>
        <w:t>World</w:t>
      </w:r>
      <w:r>
        <w:rPr>
          <w:spacing w:val="55"/>
        </w:rPr>
        <w:t> </w:t>
      </w:r>
      <w:r>
        <w:rPr/>
        <w:t>War).</w:t>
      </w:r>
      <w:r>
        <w:rPr>
          <w:spacing w:val="56"/>
        </w:rPr>
        <w:t> </w:t>
      </w:r>
      <w:r>
        <w:rPr/>
        <w:t>Since</w:t>
      </w:r>
      <w:r>
        <w:rPr>
          <w:spacing w:val="55"/>
        </w:rPr>
        <w:t> </w:t>
      </w:r>
      <w:r>
        <w:rPr/>
        <w:t>1993,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 has been building its higher education system in the face of challenges similar to those</w:t>
      </w:r>
      <w:r>
        <w:rPr>
          <w:spacing w:val="1"/>
        </w:rPr>
        <w:t> </w:t>
      </w:r>
      <w:r>
        <w:rPr/>
        <w:t>met by other post-communist Central and Eastern European (CEE) countries. Among other issues, the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underwent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structures of its higher education institutions (HEIs), curricula changes, and the incorporation of research</w:t>
      </w:r>
      <w:r>
        <w:rPr>
          <w:spacing w:val="1"/>
        </w:rPr>
        <w:t> </w:t>
      </w:r>
      <w:r>
        <w:rPr>
          <w:position w:val="1"/>
        </w:rPr>
        <w:t>into the mission of mainly teaching-oriented institutions (Westerheijden and Sorensen, 1999</w:t>
      </w:r>
      <w:r>
        <w:rPr>
          <w:sz w:val="13"/>
        </w:rPr>
        <w:t>[8]</w:t>
      </w:r>
      <w:r>
        <w:rPr>
          <w:position w:val="1"/>
        </w:rPr>
        <w:t>). Most</w:t>
      </w:r>
      <w:r>
        <w:rPr>
          <w:spacing w:val="1"/>
          <w:position w:val="1"/>
        </w:rPr>
        <w:t> </w:t>
      </w:r>
      <w:r>
        <w:rPr/>
        <w:t>importantly, CEE post-communist countries had to deal with the massification of higher education, which</w:t>
      </w:r>
      <w:r>
        <w:rPr>
          <w:spacing w:val="1"/>
        </w:rPr>
        <w:t> </w:t>
      </w:r>
      <w:r>
        <w:rPr>
          <w:w w:val="95"/>
          <w:position w:val="1"/>
        </w:rPr>
        <w:t>took place in Western European countries decades earlier (Trow, 1972</w:t>
      </w:r>
      <w:r>
        <w:rPr>
          <w:w w:val="95"/>
          <w:sz w:val="13"/>
        </w:rPr>
        <w:t>[9]</w:t>
      </w:r>
      <w:r>
        <w:rPr>
          <w:w w:val="95"/>
          <w:position w:val="1"/>
        </w:rPr>
        <w:t>; Neave, 1986</w:t>
      </w:r>
      <w:r>
        <w:rPr>
          <w:w w:val="95"/>
          <w:sz w:val="13"/>
        </w:rPr>
        <w:t>[10]</w:t>
      </w:r>
      <w:r>
        <w:rPr>
          <w:w w:val="95"/>
          <w:position w:val="1"/>
        </w:rPr>
        <w:t>; OECD, 2006</w:t>
      </w:r>
      <w:r>
        <w:rPr>
          <w:w w:val="95"/>
          <w:sz w:val="13"/>
        </w:rPr>
        <w:t>[11]</w:t>
      </w:r>
      <w:r>
        <w:rPr>
          <w:w w:val="95"/>
          <w:position w:val="1"/>
        </w:rPr>
        <w:t>).</w:t>
      </w:r>
      <w:r>
        <w:rPr>
          <w:spacing w:val="1"/>
          <w:w w:val="95"/>
          <w:position w:val="1"/>
        </w:rPr>
        <w:t> </w:t>
      </w:r>
      <w:r>
        <w:rPr/>
        <w:t>Furthermore, Slovak higher education, its structure and regional distribution played an important role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 building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newly</w:t>
      </w:r>
      <w:r>
        <w:rPr>
          <w:spacing w:val="-4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The</w:t>
      </w:r>
      <w:r>
        <w:rPr>
          <w:spacing w:val="-7"/>
        </w:rPr>
        <w:t> </w:t>
      </w:r>
      <w:r>
        <w:rPr/>
        <w:t>Slovak</w:t>
      </w:r>
      <w:r>
        <w:rPr>
          <w:spacing w:val="-2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sector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since</w:t>
      </w:r>
      <w:r>
        <w:rPr>
          <w:spacing w:val="-6"/>
        </w:rPr>
        <w:t> </w:t>
      </w:r>
      <w:r>
        <w:rPr/>
        <w:t>grown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changed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structure.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1991,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-53"/>
        </w:rPr>
        <w:t> </w:t>
      </w:r>
      <w:r>
        <w:rPr>
          <w:spacing w:val="-1"/>
        </w:rPr>
        <w:t>higher</w:t>
      </w:r>
      <w:r>
        <w:rPr>
          <w:spacing w:val="-12"/>
        </w:rPr>
        <w:t> </w:t>
      </w:r>
      <w:r>
        <w:rPr>
          <w:spacing w:val="-1"/>
        </w:rPr>
        <w:t>education</w:t>
      </w:r>
      <w:r>
        <w:rPr>
          <w:spacing w:val="-13"/>
        </w:rPr>
        <w:t> </w:t>
      </w:r>
      <w:r>
        <w:rPr>
          <w:spacing w:val="-1"/>
        </w:rPr>
        <w:t>system</w:t>
      </w:r>
      <w:r>
        <w:rPr>
          <w:spacing w:val="-9"/>
        </w:rPr>
        <w:t> </w:t>
      </w:r>
      <w:r>
        <w:rPr>
          <w:spacing w:val="-1"/>
        </w:rPr>
        <w:t>(still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part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then</w:t>
      </w:r>
      <w:r>
        <w:rPr>
          <w:spacing w:val="-9"/>
        </w:rPr>
        <w:t> </w:t>
      </w:r>
      <w:r>
        <w:rPr/>
        <w:t>Czechoslovak</w:t>
      </w:r>
      <w:r>
        <w:rPr>
          <w:spacing w:val="-7"/>
        </w:rPr>
        <w:t> </w:t>
      </w:r>
      <w:r>
        <w:rPr/>
        <w:t>Republic)</w:t>
      </w:r>
      <w:r>
        <w:rPr>
          <w:spacing w:val="-12"/>
        </w:rPr>
        <w:t> </w:t>
      </w:r>
      <w:r>
        <w:rPr/>
        <w:t>consisted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13</w:t>
      </w:r>
      <w:r>
        <w:rPr>
          <w:spacing w:val="-3"/>
        </w:rPr>
        <w:t> </w:t>
      </w:r>
      <w:r>
        <w:rPr/>
        <w:t>HEIs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52</w:t>
      </w:r>
      <w:r>
        <w:rPr>
          <w:spacing w:val="-3"/>
        </w:rPr>
        <w:t> </w:t>
      </w:r>
      <w:r>
        <w:rPr/>
        <w:t>faculties</w:t>
      </w:r>
      <w:r>
        <w:rPr>
          <w:position w:val="6"/>
          <w:sz w:val="13"/>
        </w:rPr>
        <w:t>1</w:t>
      </w:r>
      <w:r>
        <w:rPr>
          <w:spacing w:val="1"/>
          <w:position w:val="6"/>
          <w:sz w:val="13"/>
        </w:rPr>
        <w:t> </w:t>
      </w:r>
      <w:r>
        <w:rPr>
          <w:position w:val="1"/>
        </w:rPr>
        <w:t>accommodating</w:t>
      </w:r>
      <w:r>
        <w:rPr>
          <w:spacing w:val="-8"/>
          <w:position w:val="1"/>
        </w:rPr>
        <w:t> </w:t>
      </w:r>
      <w:r>
        <w:rPr>
          <w:position w:val="1"/>
        </w:rPr>
        <w:t>approximately</w:t>
      </w:r>
      <w:r>
        <w:rPr>
          <w:spacing w:val="-9"/>
          <w:position w:val="1"/>
        </w:rPr>
        <w:t> </w:t>
      </w:r>
      <w:r>
        <w:rPr>
          <w:position w:val="1"/>
        </w:rPr>
        <w:t>62</w:t>
      </w:r>
      <w:r>
        <w:rPr>
          <w:spacing w:val="-8"/>
          <w:position w:val="1"/>
        </w:rPr>
        <w:t> </w:t>
      </w:r>
      <w:r>
        <w:rPr>
          <w:position w:val="1"/>
        </w:rPr>
        <w:t>000</w:t>
      </w:r>
      <w:r>
        <w:rPr>
          <w:spacing w:val="-5"/>
          <w:position w:val="1"/>
        </w:rPr>
        <w:t> </w:t>
      </w:r>
      <w:r>
        <w:rPr>
          <w:position w:val="1"/>
        </w:rPr>
        <w:t>students</w:t>
      </w:r>
      <w:r>
        <w:rPr>
          <w:spacing w:val="-6"/>
          <w:position w:val="1"/>
        </w:rPr>
        <w:t> </w:t>
      </w:r>
      <w:r>
        <w:rPr>
          <w:position w:val="1"/>
        </w:rPr>
        <w:t>(CVTI,</w:t>
      </w:r>
      <w:r>
        <w:rPr>
          <w:spacing w:val="-8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[12]</w:t>
      </w:r>
      <w:r>
        <w:rPr>
          <w:position w:val="1"/>
        </w:rPr>
        <w:t>).</w:t>
      </w:r>
      <w:r>
        <w:rPr>
          <w:spacing w:val="-7"/>
          <w:position w:val="1"/>
        </w:rPr>
        <w:t> </w:t>
      </w:r>
      <w:r>
        <w:rPr>
          <w:position w:val="1"/>
        </w:rPr>
        <w:t>Following</w:t>
      </w:r>
      <w:r>
        <w:rPr>
          <w:spacing w:val="-8"/>
          <w:position w:val="1"/>
        </w:rPr>
        <w:t> </w:t>
      </w:r>
      <w:r>
        <w:rPr>
          <w:position w:val="1"/>
        </w:rPr>
        <w:t>a</w:t>
      </w:r>
      <w:r>
        <w:rPr>
          <w:spacing w:val="-9"/>
          <w:position w:val="1"/>
        </w:rPr>
        <w:t> </w:t>
      </w:r>
      <w:r>
        <w:rPr>
          <w:position w:val="1"/>
        </w:rPr>
        <w:t>period</w:t>
      </w:r>
      <w:r>
        <w:rPr>
          <w:spacing w:val="-6"/>
          <w:position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rapid</w:t>
      </w:r>
      <w:r>
        <w:rPr>
          <w:spacing w:val="-9"/>
          <w:position w:val="1"/>
        </w:rPr>
        <w:t> </w:t>
      </w:r>
      <w:r>
        <w:rPr>
          <w:position w:val="1"/>
        </w:rPr>
        <w:t>massification,</w:t>
      </w:r>
      <w:r>
        <w:rPr>
          <w:spacing w:val="1"/>
          <w:position w:val="1"/>
        </w:rPr>
        <w:t> </w:t>
      </w:r>
      <w:r>
        <w:rPr/>
        <w:t>the number of students in</w:t>
      </w:r>
      <w:r>
        <w:rPr>
          <w:spacing w:val="55"/>
        </w:rPr>
        <w:t> </w:t>
      </w:r>
      <w:r>
        <w:rPr/>
        <w:t>Slovak</w:t>
      </w:r>
      <w:r>
        <w:rPr>
          <w:spacing w:val="56"/>
        </w:rPr>
        <w:t> </w:t>
      </w:r>
      <w:r>
        <w:rPr/>
        <w:t>HEIs peaked in 2008, then decreased steadily.</w:t>
      </w:r>
      <w:r>
        <w:rPr>
          <w:spacing w:val="55"/>
        </w:rPr>
        <w:t> </w:t>
      </w:r>
      <w:r>
        <w:rPr/>
        <w:t>In 2020, there</w:t>
      </w:r>
      <w:r>
        <w:rPr>
          <w:spacing w:val="56"/>
        </w:rPr>
        <w:t> </w:t>
      </w:r>
      <w:r>
        <w:rPr/>
        <w:t>were</w:t>
      </w:r>
      <w:r>
        <w:rPr>
          <w:spacing w:val="1"/>
        </w:rPr>
        <w:t> </w:t>
      </w:r>
      <w:r>
        <w:rPr>
          <w:position w:val="1"/>
        </w:rPr>
        <w:t>33 HEIs and</w:t>
      </w:r>
      <w:r>
        <w:rPr>
          <w:spacing w:val="1"/>
          <w:position w:val="1"/>
        </w:rPr>
        <w:t> </w:t>
      </w:r>
      <w:r>
        <w:rPr>
          <w:position w:val="1"/>
        </w:rPr>
        <w:t>128 faculties, with a total student enrolment of</w:t>
      </w:r>
      <w:r>
        <w:rPr>
          <w:spacing w:val="1"/>
          <w:position w:val="1"/>
        </w:rPr>
        <w:t> </w:t>
      </w:r>
      <w:r>
        <w:rPr>
          <w:position w:val="1"/>
        </w:rPr>
        <w:t>around 137 000</w:t>
      </w:r>
      <w:r>
        <w:rPr>
          <w:spacing w:val="1"/>
          <w:position w:val="1"/>
        </w:rPr>
        <w:t> </w:t>
      </w:r>
      <w:r>
        <w:rPr>
          <w:position w:val="1"/>
        </w:rPr>
        <w:t>(CVTI, 2021</w:t>
      </w:r>
      <w:r>
        <w:rPr>
          <w:sz w:val="13"/>
        </w:rPr>
        <w:t>[13]</w:t>
      </w:r>
      <w:r>
        <w:rPr>
          <w:position w:val="1"/>
        </w:rPr>
        <w:t>). This</w:t>
      </w:r>
      <w:r>
        <w:rPr>
          <w:spacing w:val="1"/>
          <w:position w:val="1"/>
        </w:rPr>
        <w:t> </w:t>
      </w:r>
      <w:r>
        <w:rPr/>
        <w:t>downward</w:t>
      </w:r>
      <w:r>
        <w:rPr>
          <w:spacing w:val="-10"/>
        </w:rPr>
        <w:t> </w:t>
      </w:r>
      <w:r>
        <w:rPr/>
        <w:t>trend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key</w:t>
      </w:r>
      <w:r>
        <w:rPr>
          <w:spacing w:val="-12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contemporary</w:t>
      </w:r>
      <w:r>
        <w:rPr>
          <w:spacing w:val="-12"/>
        </w:rPr>
        <w:t> </w:t>
      </w:r>
      <w:r>
        <w:rPr/>
        <w:t>Slovak</w:t>
      </w:r>
      <w:r>
        <w:rPr>
          <w:spacing w:val="-7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education,</w:t>
      </w:r>
      <w:r>
        <w:rPr>
          <w:spacing w:val="-8"/>
        </w:rPr>
        <w:t> </w:t>
      </w:r>
      <w:r>
        <w:rPr/>
        <w:t>resulting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combination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demographic factors and issues specific to the higher education system, including a decline in the share</w:t>
      </w:r>
      <w:r>
        <w:rPr>
          <w:spacing w:val="1"/>
        </w:rPr>
        <w:t> </w:t>
      </w:r>
      <w:r>
        <w:rPr/>
        <w:t>of young Slovaks applying to Slovak HEIs and a high share preferring to study abroad (see the section</w:t>
      </w:r>
      <w:r>
        <w:rPr>
          <w:spacing w:val="1"/>
        </w:rPr>
        <w:t> </w:t>
      </w:r>
      <w:r>
        <w:rPr/>
        <w:t>entitled</w:t>
      </w:r>
      <w:r>
        <w:rPr>
          <w:spacing w:val="-2"/>
        </w:rPr>
        <w:t> </w:t>
      </w:r>
      <w:r>
        <w:rPr/>
        <w:t>“Performance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higher education”).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The types of HEIs in the Slovak Republic have also changed over the past decades, with the introduction</w:t>
      </w:r>
      <w:r>
        <w:rPr>
          <w:spacing w:val="-53"/>
        </w:rPr>
        <w:t> </w:t>
      </w:r>
      <w:r>
        <w:rPr/>
        <w:t>of</w:t>
      </w:r>
      <w:r>
        <w:rPr>
          <w:spacing w:val="-8"/>
        </w:rPr>
        <w:t> </w:t>
      </w:r>
      <w:r>
        <w:rPr/>
        <w:t>state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private</w:t>
      </w:r>
      <w:r>
        <w:rPr>
          <w:spacing w:val="-7"/>
        </w:rPr>
        <w:t> </w:t>
      </w:r>
      <w:r>
        <w:rPr/>
        <w:t>HEIs</w:t>
      </w:r>
      <w:r>
        <w:rPr>
          <w:spacing w:val="-6"/>
        </w:rPr>
        <w:t> </w:t>
      </w:r>
      <w:r>
        <w:rPr/>
        <w:t>alongside</w:t>
      </w:r>
      <w:r>
        <w:rPr>
          <w:spacing w:val="-5"/>
        </w:rPr>
        <w:t> </w:t>
      </w:r>
      <w:r>
        <w:rPr/>
        <w:t>public</w:t>
      </w:r>
      <w:r>
        <w:rPr>
          <w:spacing w:val="-9"/>
        </w:rPr>
        <w:t> </w:t>
      </w:r>
      <w:r>
        <w:rPr/>
        <w:t>HEIs.</w:t>
      </w:r>
      <w:r>
        <w:rPr>
          <w:spacing w:val="-6"/>
        </w:rPr>
        <w:t> </w:t>
      </w:r>
      <w:r>
        <w:rPr/>
        <w:t>State</w:t>
      </w:r>
      <w:r>
        <w:rPr>
          <w:spacing w:val="-8"/>
        </w:rPr>
        <w:t> </w:t>
      </w:r>
      <w:r>
        <w:rPr/>
        <w:t>HEIs</w:t>
      </w:r>
      <w:r>
        <w:rPr>
          <w:spacing w:val="-9"/>
        </w:rPr>
        <w:t> </w:t>
      </w:r>
      <w:r>
        <w:rPr/>
        <w:t>provide</w:t>
      </w:r>
      <w:r>
        <w:rPr>
          <w:spacing w:val="-7"/>
        </w:rPr>
        <w:t> </w:t>
      </w:r>
      <w:r>
        <w:rPr/>
        <w:t>professional</w:t>
      </w:r>
      <w:r>
        <w:rPr>
          <w:spacing w:val="-9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key</w:t>
      </w:r>
      <w:r>
        <w:rPr>
          <w:spacing w:val="-11"/>
        </w:rPr>
        <w:t> </w:t>
      </w:r>
      <w:r>
        <w:rPr/>
        <w:t>areas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public</w:t>
      </w:r>
      <w:r>
        <w:rPr>
          <w:spacing w:val="-13"/>
        </w:rPr>
        <w:t> </w:t>
      </w:r>
      <w:r>
        <w:rPr>
          <w:spacing w:val="-1"/>
        </w:rPr>
        <w:t>service</w:t>
      </w:r>
      <w:r>
        <w:rPr>
          <w:spacing w:val="-12"/>
        </w:rPr>
        <w:t> </w:t>
      </w:r>
      <w:r>
        <w:rPr>
          <w:spacing w:val="-1"/>
        </w:rPr>
        <w:t>(e.g. health,</w:t>
      </w:r>
      <w:r>
        <w:rPr>
          <w:spacing w:val="-10"/>
        </w:rPr>
        <w:t> </w:t>
      </w:r>
      <w:r>
        <w:rPr>
          <w:spacing w:val="-1"/>
        </w:rPr>
        <w:t>defence,</w:t>
      </w:r>
      <w:r>
        <w:rPr>
          <w:spacing w:val="-12"/>
        </w:rPr>
        <w:t> </w:t>
      </w:r>
      <w:r>
        <w:rPr>
          <w:spacing w:val="-1"/>
        </w:rPr>
        <w:t>police).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/>
        <w:t>shown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hyperlink w:history="true" w:anchor="_bookmark14">
        <w:r>
          <w:rPr/>
          <w:t>Figure</w:t>
        </w:r>
        <w:r>
          <w:rPr>
            <w:spacing w:val="1"/>
          </w:rPr>
          <w:t> </w:t>
        </w:r>
        <w:r>
          <w:rPr/>
          <w:t>2.1.</w:t>
        </w:r>
        <w:r>
          <w:rPr>
            <w:spacing w:val="-12"/>
          </w:rPr>
          <w:t> </w:t>
        </w:r>
        <w:r>
          <w:rPr/>
          <w:t>,</w:t>
        </w:r>
        <w:r>
          <w:rPr>
            <w:spacing w:val="-9"/>
          </w:rPr>
          <w:t> </w:t>
        </w:r>
      </w:hyperlink>
      <w:r>
        <w:rPr/>
        <w:t>while</w:t>
      </w:r>
      <w:r>
        <w:rPr>
          <w:spacing w:val="-14"/>
        </w:rPr>
        <w:t> </w:t>
      </w:r>
      <w:r>
        <w:rPr/>
        <w:t>student</w:t>
      </w:r>
      <w:r>
        <w:rPr>
          <w:spacing w:val="-12"/>
        </w:rPr>
        <w:t> </w:t>
      </w:r>
      <w:r>
        <w:rPr/>
        <w:t>enrolment</w:t>
      </w:r>
      <w:r>
        <w:rPr>
          <w:spacing w:val="-14"/>
        </w:rPr>
        <w:t> </w:t>
      </w:r>
      <w:r>
        <w:rPr/>
        <w:t>has</w:t>
      </w:r>
      <w:r>
        <w:rPr>
          <w:spacing w:val="-13"/>
        </w:rPr>
        <w:t> </w:t>
      </w:r>
      <w:r>
        <w:rPr/>
        <w:t>declined</w:t>
      </w:r>
      <w:r>
        <w:rPr>
          <w:spacing w:val="1"/>
        </w:rPr>
        <w:t> </w:t>
      </w:r>
      <w:r>
        <w:rPr/>
        <w:t>substantially since 2009, the number of HEIs and faculties within HEIs (that used to exist as independent</w:t>
      </w:r>
      <w:r>
        <w:rPr>
          <w:spacing w:val="-53"/>
        </w:rPr>
        <w:t> </w:t>
      </w:r>
      <w:r>
        <w:rPr/>
        <w:t>legal</w:t>
      </w:r>
      <w:r>
        <w:rPr>
          <w:spacing w:val="-1"/>
        </w:rPr>
        <w:t> </w:t>
      </w:r>
      <w:r>
        <w:rPr/>
        <w:t>entities until 2002)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remained</w:t>
      </w:r>
      <w:r>
        <w:rPr>
          <w:spacing w:val="-1"/>
        </w:rPr>
        <w:t> </w:t>
      </w:r>
      <w:r>
        <w:rPr/>
        <w:t>broadly</w:t>
      </w:r>
      <w:r>
        <w:rPr>
          <w:spacing w:val="-5"/>
        </w:rPr>
        <w:t> </w:t>
      </w:r>
      <w:r>
        <w:rPr/>
        <w:t>stable.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before="165"/>
        <w:ind w:left="183" w:right="0" w:firstLine="0"/>
        <w:jc w:val="left"/>
        <w:rPr>
          <w:rFonts w:ascii="Arial"/>
          <w:b/>
          <w:sz w:val="24"/>
        </w:rPr>
      </w:pPr>
      <w:bookmarkStart w:name="_bookmark14" w:id="41"/>
      <w:bookmarkEnd w:id="41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2.1.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Number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students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system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(1991-2020)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ind w:left="846"/>
        <w:rPr>
          <w:rFonts w:ascii="Arial"/>
        </w:rPr>
      </w:pPr>
      <w:r>
        <w:rPr>
          <w:rFonts w:ascii="Arial"/>
        </w:rPr>
        <w:pict>
          <v:group style="width:400.7pt;height:16.95pt;mso-position-horizontal-relative:char;mso-position-vertical-relative:line" coordorigin="0,0" coordsize="8014,339">
            <v:rect style="position:absolute;left:0;top:0;width:8014;height:339" filled="true" fillcolor="#f1f1f1" stroked="false">
              <v:fill type="solid"/>
            </v:rect>
            <v:rect style="position:absolute;left:398;top:125;width:420;height:84" filled="true" fillcolor="#002f6c" stroked="false">
              <v:fill type="solid"/>
            </v:rect>
            <v:rect style="position:absolute;left:1897;top:125;width:420;height:84" filled="true" fillcolor="#7fa8d9" stroked="false">
              <v:fill type="solid"/>
            </v:rect>
            <v:line style="position:absolute" from="3783,169" to="4202,169" stroked="true" strokeweight="1.703299pt" strokecolor="#006bb6">
              <v:stroke dashstyle="solid"/>
            </v:line>
            <v:line style="position:absolute" from="5547,169" to="5966,169" stroked="true" strokeweight="1.703299pt" strokecolor="#00aacc">
              <v:stroke dashstyle="solid"/>
            </v:line>
            <v:shape style="position:absolute;left:0;top:0;width:8014;height:339" type="#_x0000_t202" filled="false" stroked="false">
              <v:textbox inset="0,0,0,0">
                <w:txbxContent>
                  <w:p>
                    <w:pPr>
                      <w:tabs>
                        <w:tab w:pos="2361" w:val="left" w:leader="none"/>
                        <w:tab w:pos="4246" w:val="left" w:leader="none"/>
                        <w:tab w:pos="6013" w:val="left" w:leader="none"/>
                      </w:tabs>
                      <w:spacing w:before="75"/>
                      <w:ind w:left="863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95"/>
                        <w:sz w:val="16"/>
                      </w:rPr>
                      <w:t>Institutions</w:t>
                      <w:tab/>
                    </w:r>
                    <w:r>
                      <w:rPr>
                        <w:rFonts w:ascii="Microsoft Sans Serif"/>
                        <w:w w:val="90"/>
                        <w:sz w:val="16"/>
                      </w:rPr>
                      <w:t>Faculties/schools</w:t>
                      <w:tab/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6"/>
                      </w:rPr>
                      <w:t>Students</w:t>
                    </w:r>
                    <w:r>
                      <w:rPr>
                        <w:rFonts w:ascii="Microsoft Sans Serif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6"/>
                      </w:rPr>
                      <w:t>(total)</w:t>
                      <w:tab/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6"/>
                      </w:rPr>
                      <w:t>Students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6"/>
                      </w:rPr>
                      <w:t>(public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6"/>
                      </w:rPr>
                      <w:t>institutions)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pgSz w:w="11910" w:h="15880"/>
          <w:pgMar w:header="734" w:footer="731" w:top="1140" w:bottom="920" w:left="1120" w:right="1000"/>
        </w:sectPr>
      </w:pPr>
    </w:p>
    <w:p>
      <w:pPr>
        <w:spacing w:before="86"/>
        <w:ind w:left="466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80"/>
          <w:sz w:val="16"/>
        </w:rPr>
        <w:t>Number</w:t>
      </w:r>
      <w:r>
        <w:rPr>
          <w:rFonts w:ascii="Microsoft Sans Serif"/>
          <w:spacing w:val="7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of</w:t>
      </w:r>
      <w:r>
        <w:rPr>
          <w:rFonts w:ascii="Microsoft Sans Serif"/>
          <w:spacing w:val="14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HEIs</w:t>
      </w:r>
      <w:r>
        <w:rPr>
          <w:rFonts w:ascii="Microsoft Sans Serif"/>
          <w:spacing w:val="20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and</w:t>
      </w:r>
    </w:p>
    <w:p>
      <w:pPr>
        <w:spacing w:line="278" w:lineRule="auto" w:before="5"/>
        <w:ind w:left="416" w:right="141" w:firstLine="165"/>
        <w:jc w:val="left"/>
        <w:rPr>
          <w:rFonts w:ascii="Microsoft Sans Serif"/>
          <w:sz w:val="16"/>
        </w:rPr>
      </w:pPr>
      <w:r>
        <w:rPr/>
        <w:pict>
          <v:group style="position:absolute;margin-left:90.75489pt;margin-top:15.016912pt;width:409.05pt;height:171.05pt;mso-position-horizontal-relative:page;mso-position-vertical-relative:paragraph;z-index:-19720192" coordorigin="1815,300" coordsize="8181,3421">
            <v:rect style="position:absolute;left:1903;top:308;width:8085;height:3061" filled="true" fillcolor="#f1f1f1" stroked="false">
              <v:fill type="solid"/>
            </v:rect>
            <v:shape style="position:absolute;left:1903;top:308;width:8085;height:3061" coordorigin="1903,308" coordsize="8085,3061" path="m2173,308l2173,3369m2443,308l2443,3369m2713,308l2713,3369m2980,308l2980,3369m3250,308l3250,3369m3520,308l3520,3369m3790,308l3790,3369m4060,308l4060,3369m4330,308l4330,3369m4597,308l4597,3369m4867,308l4867,3369m5137,308l5137,3369m5407,308l5407,3369m5677,308l5677,3369m5944,308l5944,3369m6214,308l6214,3369m6484,308l6484,3369m6754,308l6754,3369m7024,308l7024,3369m7294,308l7294,3369m7561,308l7561,3369m7831,308l7831,3369m8101,308l8101,3369m8371,308l8371,3369m8641,308l8641,3369m8911,308l8911,3369m9178,308l9178,3369m9448,308l9448,3369m9718,308l9718,3369m9988,308l9988,3369m1903,2934l9988,2934m1903,2496l9988,2496m1903,2059l9988,2059m1903,1621l9988,1621m1903,1183l9988,1183m1903,746l9988,746m1903,308l9988,308e" filled="false" stroked="true" strokeweight=".786153pt" strokecolor="#ffffff">
              <v:path arrowok="t"/>
              <v:stroke dashstyle="solid"/>
            </v:shape>
            <v:shape style="position:absolute;left:1961;top:2582;width:7894;height:787" coordorigin="1961,2583" coordsize="7894,787" path="m2037,3086l1961,3086,1961,3369,2037,3369,2037,3086xm2307,3065l2231,3065,2231,3369,2307,3369,2307,3065xm2577,3065l2501,3065,2501,3369,2577,3369,2577,3065xm2847,3065l2771,3065,2771,3369,2847,3369,2847,3065xm3117,3065l3038,3065,3038,3369,3117,3369,3117,3065xm3387,3065l3308,3065,3308,3369,3387,3369,3387,3065xm3654,2976l3578,2976,3578,3369,3654,3369,3654,2976xm3924,2976l3848,2976,3848,3369,3924,3369,3924,2976xm4194,2976l4118,2976,4118,3369,4194,3369,4194,2976xm4464,2868l4388,2868,4388,3369,4464,3369,4464,2868xm4734,2868l4655,2868,4655,3369,4734,3369,4734,2868xm5004,2868l4925,2868,4925,3369,5004,3369,5004,2868xm5271,2824l5195,2824,5195,3369,5271,3369,5271,2824xm5541,2779l5465,2779,5465,3369,5541,3369,5541,2779xm5811,2758l5735,2758,5735,3369,5811,3369,5811,2758xm6081,2693l6005,2693,6005,3369,6081,3369,6081,2693xm6351,2693l6272,2693,6272,3369,6351,3369,6351,2693xm6621,2669l6542,2669,6542,3369,6621,3369,6621,2669xm6888,2669l6812,2669,6812,3369,6888,3369,6888,2669xm7158,2669l7082,2669,7082,3369,7158,3369,7158,2669xm7428,2604l7352,2604,7352,3369,7428,3369,7428,2604xm7698,2604l7619,2604,7619,3369,7698,3369,7698,2604xm7967,2583l7889,2583,7889,3369,7967,3369,7967,2583xm8237,2583l8159,2583,8159,3369,8237,3369,8237,2583xm8505,2604l8429,2604,8429,3369,8505,3369,8505,2604xm8775,2604l8699,2604,8699,3369,8775,3369,8775,2604xm9045,2627l8969,2627,8969,3369,9045,3369,9045,2627xm9314,2627l9236,2627,9236,3369,9314,3369,9314,2627xm9584,2648l9506,2648,9506,3369,9584,3369,9584,2648xm9854,2648l9776,2648,9776,3369,9854,3369,9854,2648xe" filled="true" fillcolor="#002f6c" stroked="false">
              <v:path arrowok="t"/>
              <v:fill type="solid"/>
            </v:shape>
            <v:shape style="position:absolute;left:2037;top:483;width:7894;height:2886" coordorigin="2037,484" coordsize="7894,2886" path="m2116,2232l2037,2232,2037,3369,2116,3369,2116,2232xm2386,2080l2307,2080,2307,3369,2386,3369,2386,2080xm2655,2014l2577,2014,2577,3369,2655,3369,2655,2014xm2923,1993l2847,1993,2847,3369,2923,3369,2923,1993xm3193,1904l3117,1904,3117,3369,3193,3369,3193,1904xm3463,1862l3387,1862,3387,3369,3463,3369,3463,1862xm3733,1621l3654,1621,3654,3369,3733,3369,3733,1621xm4003,1556l3924,1556,3924,3369,4003,3369,4003,1556xm4270,1490l4194,1490,4194,3369,4270,3369,4270,1490xm4540,1270l4464,1270,4464,3369,4540,3369,4540,1270xm4810,1270l4734,1270,4734,3369,4810,3369,4810,1270xm5080,1183l5004,1183,5004,3369,5080,3369,5080,1183xm5350,1097l5271,1097,5271,3369,5350,3369,5350,1097xm5619,942l5541,942,5541,3369,5619,3369,5619,942xm5887,898l5811,898,5811,3369,5887,3369,5887,898xm6157,701l6081,701,6081,3369,6157,3369,6157,701xm6427,701l6351,701,6351,3369,6427,3369,6427,701xm6696,615l6621,615,6621,3369,6696,3369,6696,615xm6966,594l6888,594,6888,3369,6966,3369,6966,594xm7236,636l7158,636,7158,3369,7236,3369,7236,636xm7504,570l7428,570,7428,3369,7504,3369,7504,570xm7774,484l7698,484,7698,3369,7774,3369,7774,484xm8043,484l7967,484,7967,3369,8043,3369,8043,484xm8313,505l8237,505,8237,3369,8313,3369,8313,505xm8583,549l8505,549,8505,3369,8583,3369,8583,549xm8853,549l8775,549,8775,3369,8853,3369,8853,549xm9121,570l9045,570,9045,3369,9121,3369,9121,570xm9390,570l9314,570,9314,3369,9390,3369,9390,570xm9660,594l9584,594,9584,3369,9660,3369,9660,594xm9930,570l9854,570,9854,3369,9930,3369,9930,570xe" filled="true" fillcolor="#7fa8d9" stroked="false">
              <v:path arrowok="t"/>
              <v:fill type="solid"/>
            </v:shape>
            <v:shape style="position:absolute;left:1903;top:308;width:8085;height:3061" coordorigin="1903,308" coordsize="8085,3061" path="m1903,3369l9988,3369m1903,3319l1903,3369m2173,3319l2173,3369m2443,3319l2443,3369m2713,3319l2713,3369m2980,3319l2980,3369m3250,3319l3250,3369m3520,3319l3520,3369m3790,3319l3790,3369m4060,3319l4060,3369m4330,3319l4330,3369m4597,3319l4597,3369m4867,3319l4867,3369m5137,3319l5137,3369m5407,3319l5407,3369m5677,3319l5677,3369m5944,3319l5944,3369m6214,3319l6214,3369m6484,3319l6484,3369m6754,3319l6754,3369m7024,3319l7024,3369m7294,3319l7294,3369m7561,3319l7561,3369m7831,3319l7831,3369m8101,3319l8101,3369m8371,3319l8371,3369m8641,3319l8641,3369m8911,3319l8911,3369m9178,3319l9178,3369m9448,3319l9448,3369m9718,3319l9718,3369m9988,3319l9988,3369m1903,3369l1903,308m1903,3369l1953,3369m1903,2934l1953,2934m1903,2496l1953,2496m1903,2059l1953,2059m1903,1621l1953,1621m1903,1183l1953,1183m1903,746l1953,746m1903,308l1953,308e" filled="false" stroked="true" strokeweight=".786153pt" strokecolor="#000000">
              <v:path arrowok="t"/>
              <v:stroke dashstyle="solid"/>
            </v:shape>
            <v:shape style="position:absolute;left:2038;top:547;width:7815;height:2063" coordorigin="2038,548" coordsize="7815,2063" path="m2038,2610l2308,2563,2578,2487,2845,2385,3115,2283,3385,2175,3655,2055,3925,1934,4195,1829,4462,1680,4732,1580,5002,1525,5272,1439,5542,1227,5812,1001,6079,755,6349,616,6619,548,6889,551,7159,655,7429,721,7696,862,7966,1009,8236,1174,8506,1379,8776,1518,9046,1654,9313,1693,9583,1717,9853,1688e" filled="false" stroked="true" strokeweight="1.703303pt" strokecolor="#006bb6">
              <v:path arrowok="t"/>
              <v:stroke dashstyle="solid"/>
            </v:shape>
            <v:shape style="position:absolute;left:5002;top:969;width:4851;height:988" coordorigin="5002,970" coordsize="4851,988" path="m5002,1570l5272,1497,5542,1311,5812,1148,6079,993,6349,970,6619,983,6889,1072,7159,1169,7429,1250,7696,1350,7966,1452,8236,1562,8506,1685,8776,1795,9046,1905,9313,1945,9583,1958,9853,1926e" filled="false" stroked="true" strokeweight="1.703302pt" strokecolor="#00aacc">
              <v:path arrowok="t"/>
              <v:stroke dashstyle="solid"/>
            </v:shape>
            <v:shape style="position:absolute;left:1815;top:3433;width:8065;height:288" type="#_x0000_t75" stroked="false">
              <v:imagedata r:id="rId46" o:title=""/>
            </v:shape>
            <w10:wrap type="none"/>
          </v:group>
        </w:pict>
      </w:r>
      <w:r>
        <w:rPr>
          <w:rFonts w:ascii="Microsoft Sans Serif"/>
          <w:spacing w:val="-1"/>
          <w:w w:val="85"/>
          <w:sz w:val="16"/>
        </w:rPr>
        <w:t>faculties/schools</w:t>
      </w:r>
      <w:r>
        <w:rPr>
          <w:rFonts w:ascii="Microsoft Sans Serif"/>
          <w:spacing w:val="-34"/>
          <w:w w:val="85"/>
          <w:sz w:val="16"/>
        </w:rPr>
        <w:t> </w:t>
      </w:r>
      <w:r>
        <w:rPr>
          <w:rFonts w:ascii="Microsoft Sans Serif"/>
          <w:w w:val="95"/>
          <w:sz w:val="16"/>
        </w:rPr>
        <w:t>140</w:t>
      </w:r>
    </w:p>
    <w:p>
      <w:pPr>
        <w:spacing w:line="247" w:lineRule="auto" w:before="74"/>
        <w:ind w:left="644" w:right="0" w:hanging="228"/>
        <w:jc w:val="left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pacing w:val="-2"/>
          <w:w w:val="85"/>
          <w:sz w:val="16"/>
        </w:rPr>
        <w:t>Number </w:t>
      </w:r>
      <w:r>
        <w:rPr>
          <w:rFonts w:ascii="Microsoft Sans Serif"/>
          <w:spacing w:val="-1"/>
          <w:w w:val="85"/>
          <w:sz w:val="16"/>
        </w:rPr>
        <w:t>of students</w:t>
      </w:r>
      <w:r>
        <w:rPr>
          <w:rFonts w:ascii="Microsoft Sans Serif"/>
          <w:spacing w:val="-34"/>
          <w:w w:val="85"/>
          <w:sz w:val="16"/>
        </w:rPr>
        <w:t> </w:t>
      </w:r>
      <w:r>
        <w:rPr>
          <w:rFonts w:ascii="Microsoft Sans Serif"/>
          <w:w w:val="95"/>
          <w:sz w:val="16"/>
        </w:rPr>
        <w:t>(thousands)</w:t>
      </w:r>
    </w:p>
    <w:p>
      <w:pPr>
        <w:spacing w:before="36"/>
        <w:ind w:left="1385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250</w:t>
      </w:r>
    </w:p>
    <w:p>
      <w:pPr>
        <w:spacing w:after="0"/>
        <w:jc w:val="left"/>
        <w:rPr>
          <w:rFonts w:ascii="Microsoft Sans Serif"/>
          <w:sz w:val="16"/>
        </w:rPr>
        <w:sectPr>
          <w:type w:val="continuous"/>
          <w:pgSz w:w="11910" w:h="15880"/>
          <w:pgMar w:top="1500" w:bottom="280" w:left="1120" w:right="1000"/>
          <w:cols w:num="2" w:equalWidth="0">
            <w:col w:w="1726" w:space="5902"/>
            <w:col w:w="2162"/>
          </w:cols>
        </w:sectPr>
      </w:pPr>
    </w:p>
    <w:p>
      <w:pPr>
        <w:pStyle w:val="BodyText"/>
        <w:spacing w:before="8"/>
        <w:rPr>
          <w:rFonts w:ascii="Microsoft Sans Serif"/>
          <w:sz w:val="10"/>
        </w:rPr>
      </w:pPr>
    </w:p>
    <w:p>
      <w:pPr>
        <w:spacing w:after="0"/>
        <w:rPr>
          <w:rFonts w:ascii="Microsoft Sans Serif"/>
          <w:sz w:val="10"/>
        </w:rPr>
        <w:sectPr>
          <w:type w:val="continuous"/>
          <w:pgSz w:w="11910" w:h="15880"/>
          <w:pgMar w:top="1500" w:bottom="280" w:left="1120" w:right="1000"/>
        </w:sectPr>
      </w:pPr>
    </w:p>
    <w:p>
      <w:pPr>
        <w:spacing w:before="107"/>
        <w:ind w:left="0" w:right="40" w:firstLine="0"/>
        <w:jc w:val="righ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120</w:t>
      </w:r>
    </w:p>
    <w:p>
      <w:pPr>
        <w:pStyle w:val="BodyText"/>
        <w:spacing w:before="7"/>
        <w:rPr>
          <w:rFonts w:ascii="Microsoft Sans Serif"/>
          <w:sz w:val="22"/>
        </w:rPr>
      </w:pPr>
    </w:p>
    <w:p>
      <w:pPr>
        <w:spacing w:before="0"/>
        <w:ind w:left="0" w:right="40" w:firstLine="0"/>
        <w:jc w:val="righ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100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80</w:t>
      </w:r>
    </w:p>
    <w:p>
      <w:pPr>
        <w:pStyle w:val="BodyText"/>
        <w:spacing w:before="7"/>
        <w:rPr>
          <w:rFonts w:ascii="Microsoft Sans Serif"/>
          <w:sz w:val="22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60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40</w:t>
      </w:r>
    </w:p>
    <w:p>
      <w:pPr>
        <w:pStyle w:val="BodyText"/>
        <w:spacing w:before="7"/>
        <w:rPr>
          <w:rFonts w:ascii="Microsoft Sans Serif"/>
          <w:sz w:val="22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20</w:t>
      </w:r>
    </w:p>
    <w:p>
      <w:pPr>
        <w:pStyle w:val="BodyText"/>
        <w:spacing w:before="10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spacing w:before="0"/>
        <w:ind w:left="384" w:right="514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200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2"/>
        <w:rPr>
          <w:rFonts w:ascii="Microsoft Sans Serif"/>
        </w:rPr>
      </w:pPr>
    </w:p>
    <w:p>
      <w:pPr>
        <w:spacing w:before="0"/>
        <w:ind w:left="384" w:right="514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150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</w:rPr>
      </w:pPr>
    </w:p>
    <w:p>
      <w:pPr>
        <w:spacing w:before="0"/>
        <w:ind w:left="384" w:right="514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100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2"/>
        <w:rPr>
          <w:rFonts w:ascii="Microsoft Sans Serif"/>
        </w:rPr>
      </w:pPr>
    </w:p>
    <w:p>
      <w:pPr>
        <w:spacing w:before="0"/>
        <w:ind w:left="312" w:right="514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50</w:t>
      </w:r>
    </w:p>
    <w:p>
      <w:pPr>
        <w:spacing w:after="0"/>
        <w:jc w:val="center"/>
        <w:rPr>
          <w:rFonts w:ascii="Microsoft Sans Serif"/>
          <w:sz w:val="16"/>
        </w:rPr>
        <w:sectPr>
          <w:type w:val="continuous"/>
          <w:pgSz w:w="11910" w:h="15880"/>
          <w:pgMar w:top="1500" w:bottom="280" w:left="1120" w:right="1000"/>
          <w:cols w:num="2" w:equalWidth="0">
            <w:col w:w="684" w:space="7913"/>
            <w:col w:w="1193"/>
          </w:cols>
        </w:sectPr>
      </w:pPr>
    </w:p>
    <w:p>
      <w:pPr>
        <w:pStyle w:val="BodyText"/>
        <w:spacing w:before="3"/>
        <w:rPr>
          <w:rFonts w:ascii="Microsoft Sans Serif"/>
          <w:sz w:val="13"/>
        </w:rPr>
      </w:pPr>
    </w:p>
    <w:p>
      <w:pPr>
        <w:tabs>
          <w:tab w:pos="9013" w:val="left" w:leader="none"/>
        </w:tabs>
        <w:spacing w:before="107"/>
        <w:ind w:left="565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0</w:t>
        <w:tab/>
        <w:t>0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9"/>
        <w:rPr>
          <w:rFonts w:ascii="Microsoft Sans Serif"/>
          <w:sz w:val="24"/>
        </w:rPr>
      </w:pPr>
    </w:p>
    <w:p>
      <w:pPr>
        <w:spacing w:line="259" w:lineRule="auto" w:before="1"/>
        <w:ind w:left="183" w:right="41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1"/>
          <w:w w:val="85"/>
          <w:sz w:val="18"/>
        </w:rPr>
        <w:t>Note: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Students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refer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to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both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full-time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and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part-time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students. Only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HEIs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providing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full-time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study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programmes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are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included</w:t>
      </w:r>
      <w:r>
        <w:rPr>
          <w:rFonts w:ascii="Microsoft Sans Serif"/>
          <w:spacing w:val="-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in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number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-38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institutions.</w:t>
      </w:r>
    </w:p>
    <w:p>
      <w:pPr>
        <w:spacing w:line="259" w:lineRule="auto" w:before="0"/>
        <w:ind w:left="183" w:right="0" w:firstLine="0"/>
        <w:jc w:val="left"/>
        <w:rPr>
          <w:rFonts w:ascii="Microsoft Sans Serif" w:hAnsi="Microsoft Sans Serif"/>
          <w:sz w:val="18"/>
        </w:rPr>
      </w:pPr>
      <w:r>
        <w:rPr/>
        <w:pict>
          <v:rect style="position:absolute;margin-left:65.183998pt;margin-top:20.46188pt;width:81.36pt;height:.600010pt;mso-position-horizontal-relative:page;mso-position-vertical-relative:paragraph;z-index:15738880" filled="true" fillcolor="#0000ff" stroked="false">
            <v:fill type="solid"/>
            <w10:wrap type="none"/>
          </v:rect>
        </w:pic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Source:</w:t>
      </w:r>
      <w:r>
        <w:rPr>
          <w:rFonts w:ascii="Microsoft Sans Serif" w:hAnsi="Microsoft Sans Serif"/>
          <w:spacing w:val="6"/>
          <w:w w:val="85"/>
          <w:position w:val="1"/>
          <w:sz w:val="18"/>
        </w:rPr>
        <w:t> 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CVTI</w:t>
      </w:r>
      <w:r>
        <w:rPr>
          <w:rFonts w:ascii="Microsoft Sans Serif" w:hAnsi="Microsoft Sans Serif"/>
          <w:spacing w:val="5"/>
          <w:w w:val="85"/>
          <w:position w:val="1"/>
          <w:sz w:val="18"/>
        </w:rPr>
        <w:t> 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(2021</w:t>
      </w:r>
      <w:r>
        <w:rPr>
          <w:rFonts w:ascii="Microsoft Sans Serif" w:hAnsi="Microsoft Sans Serif"/>
          <w:spacing w:val="-1"/>
          <w:w w:val="85"/>
          <w:sz w:val="12"/>
        </w:rPr>
        <w:t>[12]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),</w:t>
      </w:r>
      <w:r>
        <w:rPr>
          <w:rFonts w:ascii="Microsoft Sans Serif" w:hAnsi="Microsoft Sans Serif"/>
          <w:spacing w:val="6"/>
          <w:w w:val="85"/>
          <w:position w:val="1"/>
          <w:sz w:val="18"/>
        </w:rPr>
        <w:t> </w:t>
      </w:r>
      <w:r>
        <w:rPr>
          <w:rFonts w:ascii="Arial" w:hAnsi="Arial"/>
          <w:i/>
          <w:spacing w:val="-1"/>
          <w:w w:val="85"/>
          <w:position w:val="1"/>
          <w:sz w:val="18"/>
        </w:rPr>
        <w:t>Časové</w:t>
      </w:r>
      <w:r>
        <w:rPr>
          <w:rFonts w:ascii="Arial" w:hAnsi="Arial"/>
          <w:i/>
          <w:spacing w:val="2"/>
          <w:w w:val="85"/>
          <w:position w:val="1"/>
          <w:sz w:val="18"/>
        </w:rPr>
        <w:t> </w:t>
      </w:r>
      <w:r>
        <w:rPr>
          <w:rFonts w:ascii="Arial" w:hAnsi="Arial"/>
          <w:i/>
          <w:spacing w:val="-1"/>
          <w:w w:val="85"/>
          <w:position w:val="1"/>
          <w:sz w:val="18"/>
        </w:rPr>
        <w:t>rady</w:t>
      </w:r>
      <w:r>
        <w:rPr>
          <w:rFonts w:ascii="Arial" w:hAnsi="Arial"/>
          <w:i/>
          <w:spacing w:val="2"/>
          <w:w w:val="85"/>
          <w:position w:val="1"/>
          <w:sz w:val="18"/>
        </w:rPr>
        <w:t> </w:t>
      </w:r>
      <w:r>
        <w:rPr>
          <w:rFonts w:ascii="Arial" w:hAnsi="Arial"/>
          <w:i/>
          <w:spacing w:val="-1"/>
          <w:w w:val="85"/>
          <w:position w:val="1"/>
          <w:sz w:val="18"/>
        </w:rPr>
        <w:t>[Timelines]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,</w:t>
      </w:r>
      <w:r>
        <w:rPr>
          <w:rFonts w:ascii="Microsoft Sans Serif" w:hAnsi="Microsoft Sans Serif"/>
          <w:spacing w:val="5"/>
          <w:w w:val="85"/>
          <w:position w:val="1"/>
          <w:sz w:val="18"/>
        </w:rPr>
        <w:t> </w:t>
      </w:r>
      <w:hyperlink r:id="rId47">
        <w:r>
          <w:rPr>
            <w:rFonts w:ascii="Microsoft Sans Serif" w:hAnsi="Microsoft Sans Serif"/>
            <w:color w:val="0000FF"/>
            <w:spacing w:val="-1"/>
            <w:w w:val="85"/>
            <w:position w:val="1"/>
            <w:sz w:val="18"/>
            <w:u w:val="single" w:color="0000FF"/>
          </w:rPr>
          <w:t>https://www.cvtisr.sk/cvti-sr-vedecka-kniznica/informacie-o-skolstve/statistiky/casove</w:t>
        </w:r>
        <w:r>
          <w:rPr>
            <w:rFonts w:ascii="Microsoft Sans Serif" w:hAnsi="Microsoft Sans Serif"/>
            <w:color w:val="0000FF"/>
            <w:spacing w:val="-1"/>
            <w:w w:val="85"/>
            <w:position w:val="1"/>
            <w:sz w:val="18"/>
          </w:rPr>
          <w:t>-</w:t>
        </w:r>
      </w:hyperlink>
      <w:r>
        <w:rPr>
          <w:rFonts w:ascii="Microsoft Sans Serif" w:hAnsi="Microsoft Sans Serif"/>
          <w:color w:val="0000FF"/>
          <w:spacing w:val="-38"/>
          <w:w w:val="85"/>
          <w:position w:val="1"/>
          <w:sz w:val="18"/>
        </w:rPr>
        <w:t> </w:t>
      </w:r>
      <w:hyperlink r:id="rId47">
        <w:r>
          <w:rPr>
            <w:rFonts w:ascii="Microsoft Sans Serif" w:hAnsi="Microsoft Sans Serif"/>
            <w:color w:val="0000FF"/>
            <w:w w:val="90"/>
            <w:sz w:val="18"/>
          </w:rPr>
          <w:t>rady.html?page_id=9724</w:t>
        </w:r>
        <w:r>
          <w:rPr>
            <w:rFonts w:ascii="Microsoft Sans Serif" w:hAnsi="Microsoft Sans Serif"/>
            <w:w w:val="90"/>
            <w:sz w:val="18"/>
          </w:rPr>
          <w:t>.</w:t>
        </w:r>
      </w:hyperlink>
    </w:p>
    <w:p>
      <w:pPr>
        <w:pStyle w:val="BodyText"/>
        <w:spacing w:before="7"/>
        <w:rPr>
          <w:rFonts w:ascii="Microsoft Sans Serif"/>
          <w:sz w:val="21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48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https://doi.org/10.1787/888934278940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before="93"/>
        <w:ind w:left="183"/>
        <w:jc w:val="both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year</w:t>
      </w:r>
      <w:r>
        <w:rPr>
          <w:spacing w:val="-3"/>
        </w:rPr>
        <w:t> </w:t>
      </w:r>
      <w:r>
        <w:rPr/>
        <w:t>2020/21,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Slovak</w:t>
      </w:r>
      <w:r>
        <w:rPr>
          <w:spacing w:val="-1"/>
        </w:rPr>
        <w:t> </w:t>
      </w:r>
      <w:r>
        <w:rPr/>
        <w:t>higher</w:t>
      </w:r>
      <w:r>
        <w:rPr>
          <w:spacing w:val="-4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system was</w:t>
      </w:r>
      <w:r>
        <w:rPr>
          <w:spacing w:val="-4"/>
        </w:rPr>
        <w:t> </w:t>
      </w:r>
      <w:r>
        <w:rPr/>
        <w:t>comprised</w:t>
      </w:r>
      <w:r>
        <w:rPr>
          <w:spacing w:val="-4"/>
        </w:rPr>
        <w:t> </w:t>
      </w:r>
      <w:r>
        <w:rPr/>
        <w:t>of: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  <w:tab w:pos="863" w:val="left" w:leader="none"/>
        </w:tabs>
        <w:spacing w:line="240" w:lineRule="auto" w:before="131" w:after="0"/>
        <w:ind w:left="862" w:right="0" w:hanging="339"/>
        <w:jc w:val="left"/>
        <w:rPr>
          <w:sz w:val="20"/>
        </w:rPr>
      </w:pPr>
      <w:r>
        <w:rPr>
          <w:sz w:val="20"/>
        </w:rPr>
        <w:t>20</w:t>
      </w:r>
      <w:r>
        <w:rPr>
          <w:spacing w:val="-4"/>
          <w:sz w:val="20"/>
        </w:rPr>
        <w:t> </w:t>
      </w:r>
      <w:r>
        <w:rPr>
          <w:sz w:val="20"/>
        </w:rPr>
        <w:t>public</w:t>
      </w:r>
      <w:r>
        <w:rPr>
          <w:spacing w:val="-2"/>
          <w:sz w:val="20"/>
        </w:rPr>
        <w:t> </w:t>
      </w:r>
      <w:r>
        <w:rPr>
          <w:sz w:val="20"/>
        </w:rPr>
        <w:t>HEIs,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117</w:t>
      </w:r>
      <w:r>
        <w:rPr>
          <w:spacing w:val="1"/>
          <w:sz w:val="20"/>
        </w:rPr>
        <w:t> </w:t>
      </w:r>
      <w:r>
        <w:rPr>
          <w:sz w:val="20"/>
        </w:rPr>
        <w:t>955</w:t>
      </w:r>
      <w:r>
        <w:rPr>
          <w:spacing w:val="-3"/>
          <w:sz w:val="20"/>
        </w:rPr>
        <w:t> </w:t>
      </w:r>
      <w:r>
        <w:rPr>
          <w:sz w:val="20"/>
        </w:rPr>
        <w:t>students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106</w:t>
      </w:r>
      <w:r>
        <w:rPr>
          <w:spacing w:val="-3"/>
          <w:sz w:val="20"/>
        </w:rPr>
        <w:t> </w:t>
      </w:r>
      <w:r>
        <w:rPr>
          <w:sz w:val="20"/>
        </w:rPr>
        <w:t>faculties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10</w:t>
      </w:r>
      <w:r>
        <w:rPr>
          <w:spacing w:val="-4"/>
          <w:sz w:val="20"/>
        </w:rPr>
        <w:t> </w:t>
      </w:r>
      <w:r>
        <w:rPr>
          <w:sz w:val="20"/>
        </w:rPr>
        <w:t>private</w:t>
      </w:r>
      <w:r>
        <w:rPr>
          <w:spacing w:val="-3"/>
          <w:sz w:val="20"/>
        </w:rPr>
        <w:t> </w:t>
      </w:r>
      <w:r>
        <w:rPr>
          <w:sz w:val="20"/>
        </w:rPr>
        <w:t>HEIs,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15 356</w:t>
      </w:r>
      <w:r>
        <w:rPr>
          <w:spacing w:val="-3"/>
          <w:sz w:val="20"/>
        </w:rPr>
        <w:t> </w:t>
      </w:r>
      <w:r>
        <w:rPr>
          <w:sz w:val="20"/>
        </w:rPr>
        <w:t>students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16</w:t>
      </w:r>
      <w:r>
        <w:rPr>
          <w:spacing w:val="-3"/>
          <w:sz w:val="20"/>
        </w:rPr>
        <w:t> </w:t>
      </w:r>
      <w:r>
        <w:rPr>
          <w:sz w:val="20"/>
        </w:rPr>
        <w:t>faculties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3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-1"/>
          <w:sz w:val="20"/>
        </w:rPr>
        <w:t> </w:t>
      </w:r>
      <w:r>
        <w:rPr>
          <w:sz w:val="20"/>
        </w:rPr>
        <w:t>HEIs,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4</w:t>
      </w:r>
      <w:r>
        <w:rPr>
          <w:spacing w:val="-2"/>
          <w:sz w:val="20"/>
        </w:rPr>
        <w:t> </w:t>
      </w:r>
      <w:r>
        <w:rPr>
          <w:sz w:val="20"/>
        </w:rPr>
        <w:t>010</w:t>
      </w:r>
      <w:r>
        <w:rPr>
          <w:spacing w:val="-4"/>
          <w:sz w:val="20"/>
        </w:rPr>
        <w:t> </w:t>
      </w:r>
      <w:r>
        <w:rPr>
          <w:sz w:val="20"/>
        </w:rPr>
        <w:t>students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6</w:t>
      </w:r>
      <w:r>
        <w:rPr>
          <w:spacing w:val="-3"/>
          <w:sz w:val="20"/>
        </w:rPr>
        <w:t> </w:t>
      </w:r>
      <w:r>
        <w:rPr>
          <w:sz w:val="20"/>
        </w:rPr>
        <w:t>faculties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  <w:tab w:pos="863" w:val="left" w:leader="none"/>
        </w:tabs>
        <w:spacing w:line="240" w:lineRule="auto" w:before="77" w:after="0"/>
        <w:ind w:left="862" w:right="0" w:hanging="339"/>
        <w:jc w:val="left"/>
        <w:rPr>
          <w:sz w:val="13"/>
        </w:rPr>
      </w:pPr>
      <w:r>
        <w:rPr>
          <w:sz w:val="20"/>
        </w:rPr>
        <w:t>5</w:t>
      </w:r>
      <w:r>
        <w:rPr>
          <w:spacing w:val="-5"/>
          <w:sz w:val="20"/>
        </w:rPr>
        <w:t> </w:t>
      </w:r>
      <w:r>
        <w:rPr>
          <w:sz w:val="20"/>
        </w:rPr>
        <w:t>foreign-based</w:t>
      </w:r>
      <w:r>
        <w:rPr>
          <w:spacing w:val="-6"/>
          <w:sz w:val="20"/>
        </w:rPr>
        <w:t> </w:t>
      </w:r>
      <w:r>
        <w:rPr>
          <w:sz w:val="20"/>
        </w:rPr>
        <w:t>HEIs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permission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provide</w:t>
      </w:r>
      <w:r>
        <w:rPr>
          <w:spacing w:val="-5"/>
          <w:sz w:val="20"/>
        </w:rPr>
        <w:t> </w:t>
      </w:r>
      <w:r>
        <w:rPr>
          <w:sz w:val="20"/>
        </w:rPr>
        <w:t>higher</w:t>
      </w:r>
      <w:r>
        <w:rPr>
          <w:spacing w:val="-5"/>
          <w:sz w:val="20"/>
        </w:rPr>
        <w:t> </w:t>
      </w:r>
      <w:r>
        <w:rPr>
          <w:sz w:val="20"/>
        </w:rPr>
        <w:t>education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Slovak</w:t>
      </w:r>
      <w:r>
        <w:rPr>
          <w:spacing w:val="5"/>
          <w:sz w:val="20"/>
        </w:rPr>
        <w:t> </w:t>
      </w:r>
      <w:r>
        <w:rPr>
          <w:sz w:val="20"/>
        </w:rPr>
        <w:t>Republic.</w:t>
      </w:r>
      <w:r>
        <w:rPr>
          <w:position w:val="6"/>
          <w:sz w:val="13"/>
        </w:rPr>
        <w:t>2</w:t>
      </w:r>
    </w:p>
    <w:p>
      <w:pPr>
        <w:pStyle w:val="BodyText"/>
        <w:spacing w:line="271" w:lineRule="auto" w:before="155"/>
        <w:ind w:left="183" w:right="303"/>
        <w:jc w:val="both"/>
      </w:pPr>
      <w:r>
        <w:rPr/>
        <w:t>The</w:t>
      </w:r>
      <w:r>
        <w:rPr>
          <w:spacing w:val="-7"/>
        </w:rPr>
        <w:t> </w:t>
      </w:r>
      <w:r>
        <w:rPr/>
        <w:t>average</w:t>
      </w:r>
      <w:r>
        <w:rPr>
          <w:spacing w:val="-5"/>
        </w:rPr>
        <w:t> </w:t>
      </w: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HEIs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small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Slovak</w:t>
      </w:r>
      <w:r>
        <w:rPr>
          <w:spacing w:val="3"/>
        </w:rPr>
        <w:t> </w:t>
      </w:r>
      <w:r>
        <w:rPr/>
        <w:t>Republic,</w:t>
      </w:r>
      <w:r>
        <w:rPr>
          <w:spacing w:val="-5"/>
        </w:rPr>
        <w:t> </w:t>
      </w:r>
      <w:r>
        <w:rPr/>
        <w:t>although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high</w:t>
      </w:r>
      <w:r>
        <w:rPr>
          <w:spacing w:val="-5"/>
        </w:rPr>
        <w:t> </w:t>
      </w:r>
      <w:r>
        <w:rPr/>
        <w:t>variability</w:t>
      </w:r>
      <w:r>
        <w:rPr>
          <w:spacing w:val="-9"/>
        </w:rPr>
        <w:t> </w:t>
      </w:r>
      <w:r>
        <w:rPr/>
        <w:t>across</w:t>
      </w:r>
      <w:r>
        <w:rPr>
          <w:spacing w:val="-5"/>
        </w:rPr>
        <w:t> </w:t>
      </w:r>
      <w:r>
        <w:rPr/>
        <w:t>HEIs.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2020, the average number of students per HEI was approximately 5 900 among the public HEIs, 1 500</w:t>
      </w:r>
      <w:r>
        <w:rPr>
          <w:spacing w:val="1"/>
        </w:rPr>
        <w:t> </w:t>
      </w:r>
      <w:r>
        <w:rPr>
          <w:position w:val="1"/>
        </w:rPr>
        <w:t>among</w:t>
      </w:r>
      <w:r>
        <w:rPr>
          <w:spacing w:val="-2"/>
          <w:position w:val="1"/>
        </w:rPr>
        <w:t> </w:t>
      </w:r>
      <w:r>
        <w:rPr>
          <w:position w:val="1"/>
        </w:rPr>
        <w:t>private</w:t>
      </w:r>
      <w:r>
        <w:rPr>
          <w:spacing w:val="-2"/>
          <w:position w:val="1"/>
        </w:rPr>
        <w:t> </w:t>
      </w:r>
      <w:r>
        <w:rPr>
          <w:position w:val="1"/>
        </w:rPr>
        <w:t>HEIs</w:t>
      </w:r>
      <w:r>
        <w:rPr>
          <w:spacing w:val="-1"/>
          <w:position w:val="1"/>
        </w:rPr>
        <w:t> </w:t>
      </w:r>
      <w:r>
        <w:rPr>
          <w:position w:val="1"/>
        </w:rPr>
        <w:t>and 1</w:t>
      </w:r>
      <w:r>
        <w:rPr>
          <w:spacing w:val="3"/>
          <w:position w:val="1"/>
        </w:rPr>
        <w:t> </w:t>
      </w:r>
      <w:r>
        <w:rPr>
          <w:position w:val="1"/>
        </w:rPr>
        <w:t>300 among</w:t>
      </w:r>
      <w:r>
        <w:rPr>
          <w:spacing w:val="-1"/>
          <w:position w:val="1"/>
        </w:rPr>
        <w:t> </w:t>
      </w:r>
      <w:r>
        <w:rPr>
          <w:position w:val="1"/>
        </w:rPr>
        <w:t>state</w:t>
      </w:r>
      <w:r>
        <w:rPr>
          <w:spacing w:val="-1"/>
          <w:position w:val="1"/>
        </w:rPr>
        <w:t> </w:t>
      </w:r>
      <w:r>
        <w:rPr>
          <w:position w:val="1"/>
        </w:rPr>
        <w:t>HEIs</w:t>
      </w:r>
      <w:r>
        <w:rPr>
          <w:spacing w:val="-1"/>
          <w:position w:val="1"/>
        </w:rPr>
        <w:t> </w:t>
      </w:r>
      <w:r>
        <w:rPr>
          <w:position w:val="1"/>
        </w:rPr>
        <w:t>(CVTI,</w:t>
      </w:r>
      <w:r>
        <w:rPr>
          <w:spacing w:val="-1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[13]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However,</w:t>
      </w:r>
      <w:r>
        <w:rPr>
          <w:spacing w:val="-9"/>
        </w:rPr>
        <w:t> </w:t>
      </w:r>
      <w:r>
        <w:rPr/>
        <w:t>19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10"/>
        </w:rPr>
        <w:t> </w:t>
      </w:r>
      <w:r>
        <w:rPr/>
        <w:t>33</w:t>
      </w:r>
      <w:r>
        <w:rPr>
          <w:spacing w:val="-1"/>
        </w:rPr>
        <w:t> </w:t>
      </w:r>
      <w:r>
        <w:rPr/>
        <w:t>Slovak</w:t>
      </w:r>
      <w:r>
        <w:rPr>
          <w:spacing w:val="-6"/>
        </w:rPr>
        <w:t> </w:t>
      </w:r>
      <w:r>
        <w:rPr/>
        <w:t>universities</w:t>
      </w:r>
      <w:r>
        <w:rPr>
          <w:spacing w:val="-8"/>
        </w:rPr>
        <w:t> </w:t>
      </w:r>
      <w:r>
        <w:rPr/>
        <w:t>reported</w:t>
      </w:r>
      <w:r>
        <w:rPr>
          <w:spacing w:val="-7"/>
        </w:rPr>
        <w:t> </w:t>
      </w:r>
      <w:r>
        <w:rPr/>
        <w:t>having</w:t>
      </w:r>
      <w:r>
        <w:rPr>
          <w:spacing w:val="-5"/>
        </w:rPr>
        <w:t> </w:t>
      </w:r>
      <w:r>
        <w:rPr/>
        <w:t>fewer</w:t>
      </w:r>
      <w:r>
        <w:rPr>
          <w:spacing w:val="-8"/>
        </w:rPr>
        <w:t> </w:t>
      </w:r>
      <w:r>
        <w:rPr/>
        <w:t>than</w:t>
      </w:r>
      <w:r>
        <w:rPr>
          <w:spacing w:val="-9"/>
        </w:rPr>
        <w:t> </w:t>
      </w:r>
      <w:r>
        <w:rPr/>
        <w:t>2</w:t>
      </w:r>
      <w:r>
        <w:rPr>
          <w:spacing w:val="-2"/>
        </w:rPr>
        <w:t> </w:t>
      </w:r>
      <w:r>
        <w:rPr/>
        <w:t>500</w:t>
      </w:r>
      <w:r>
        <w:rPr>
          <w:spacing w:val="-7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10</w:t>
      </w:r>
      <w:r>
        <w:rPr>
          <w:spacing w:val="-8"/>
        </w:rPr>
        <w:t> </w:t>
      </w:r>
      <w:r>
        <w:rPr/>
        <w:t>reported</w:t>
      </w:r>
      <w:r>
        <w:rPr>
          <w:spacing w:val="-53"/>
        </w:rPr>
        <w:t> </w:t>
      </w:r>
      <w:r>
        <w:rPr/>
        <w:t>having fewer than 1 000 in 2019. By contrast, the largest Slovak university - Comenius University in</w:t>
      </w:r>
      <w:r>
        <w:rPr>
          <w:spacing w:val="1"/>
        </w:rPr>
        <w:t> </w:t>
      </w:r>
      <w:r>
        <w:rPr/>
        <w:t>Bratislava (UK Bratislava) - reported more than 20 000 students, twice as many as the second-largest</w:t>
      </w:r>
      <w:r>
        <w:rPr>
          <w:spacing w:val="1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-</w:t>
      </w:r>
      <w:r>
        <w:rPr>
          <w:spacing w:val="-6"/>
        </w:rPr>
        <w:t> </w:t>
      </w:r>
      <w:r>
        <w:rPr/>
        <w:t>Slovak</w:t>
      </w:r>
      <w:r>
        <w:rPr>
          <w:spacing w:val="-7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Bratislava</w:t>
      </w:r>
      <w:r>
        <w:rPr>
          <w:spacing w:val="-5"/>
        </w:rPr>
        <w:t> </w:t>
      </w:r>
      <w:r>
        <w:rPr/>
        <w:t>(STU</w:t>
      </w:r>
      <w:r>
        <w:rPr>
          <w:spacing w:val="-10"/>
        </w:rPr>
        <w:t> </w:t>
      </w:r>
      <w:r>
        <w:rPr/>
        <w:t>Bratislava).</w:t>
      </w:r>
      <w:r>
        <w:rPr>
          <w:spacing w:val="-6"/>
        </w:rPr>
        <w:t> </w:t>
      </w:r>
      <w:r>
        <w:rPr/>
        <w:t>St.</w:t>
      </w:r>
      <w:r>
        <w:rPr>
          <w:spacing w:val="-8"/>
        </w:rPr>
        <w:t> </w:t>
      </w:r>
      <w:r>
        <w:rPr/>
        <w:t>Elizabeth</w:t>
      </w:r>
      <w:r>
        <w:rPr>
          <w:spacing w:val="-10"/>
        </w:rPr>
        <w:t> </w:t>
      </w:r>
      <w:r>
        <w:rPr/>
        <w:t>College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Social</w:t>
      </w:r>
      <w:r>
        <w:rPr>
          <w:spacing w:val="56"/>
        </w:rPr>
        <w:t> </w:t>
      </w:r>
      <w:r>
        <w:rPr/>
        <w:t>Work in</w:t>
      </w:r>
      <w:r>
        <w:rPr>
          <w:spacing w:val="55"/>
        </w:rPr>
        <w:t> </w:t>
      </w:r>
      <w:r>
        <w:rPr/>
        <w:t>Bratislava</w:t>
      </w:r>
      <w:r>
        <w:rPr>
          <w:spacing w:val="56"/>
        </w:rPr>
        <w:t> </w:t>
      </w:r>
      <w:r>
        <w:rPr/>
        <w:t>(VŠZaSP</w:t>
      </w:r>
      <w:r>
        <w:rPr>
          <w:spacing w:val="55"/>
        </w:rPr>
        <w:t> </w:t>
      </w:r>
      <w:r>
        <w:rPr/>
        <w:t>Bratislava)</w:t>
      </w:r>
      <w:r>
        <w:rPr>
          <w:spacing w:val="56"/>
        </w:rPr>
        <w:t> </w:t>
      </w:r>
      <w:r>
        <w:rPr/>
        <w:t>was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largest</w:t>
      </w:r>
      <w:r>
        <w:rPr>
          <w:spacing w:val="56"/>
        </w:rPr>
        <w:t> </w:t>
      </w:r>
      <w:r>
        <w:rPr/>
        <w:t>private</w:t>
      </w:r>
      <w:r>
        <w:rPr>
          <w:spacing w:val="55"/>
        </w:rPr>
        <w:t> </w:t>
      </w:r>
      <w:r>
        <w:rPr/>
        <w:t>university</w:t>
      </w:r>
      <w:r>
        <w:rPr>
          <w:spacing w:val="56"/>
        </w:rPr>
        <w:t> </w:t>
      </w:r>
      <w:r>
        <w:rPr/>
        <w:t>with</w:t>
      </w:r>
      <w:r>
        <w:rPr>
          <w:spacing w:val="55"/>
        </w:rPr>
        <w:t> </w:t>
      </w:r>
      <w:r>
        <w:rPr/>
        <w:t>around</w:t>
      </w:r>
      <w:r>
        <w:rPr>
          <w:spacing w:val="1"/>
        </w:rPr>
        <w:t> </w:t>
      </w:r>
      <w:r>
        <w:rPr/>
        <w:t>8 000 students, while the Slovak Medical University (SZU Bratislava), with around 2 000 students, ranked</w:t>
      </w:r>
      <w:r>
        <w:rPr>
          <w:spacing w:val="-54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HEI</w:t>
      </w:r>
      <w:r>
        <w:rPr>
          <w:spacing w:val="-1"/>
        </w:rPr>
        <w:t> </w:t>
      </w:r>
      <w:r>
        <w:rPr/>
        <w:t>(see </w:t>
      </w:r>
      <w:hyperlink w:history="true" w:anchor="_bookmark15">
        <w:r>
          <w:rPr/>
          <w:t>Figure 2.2.</w:t>
        </w:r>
        <w:r>
          <w:rPr>
            <w:spacing w:val="-1"/>
          </w:rPr>
          <w:t> </w:t>
        </w:r>
      </w:hyperlink>
      <w:r>
        <w:rPr/>
        <w:t>).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Slovak HEIs are also highly heterogeneous in terms of their level of internationalisation (measured by the</w:t>
      </w:r>
      <w:r>
        <w:rPr>
          <w:spacing w:val="-53"/>
        </w:rPr>
        <w:t> </w:t>
      </w:r>
      <w:r>
        <w:rPr/>
        <w:t>share of international students) and research performance (measured by the number of publications per</w:t>
      </w:r>
      <w:r>
        <w:rPr>
          <w:spacing w:val="1"/>
        </w:rPr>
        <w:t> </w:t>
      </w:r>
      <w:r>
        <w:rPr>
          <w:position w:val="1"/>
        </w:rPr>
        <w:t>employee registered in the Web of Science Contents Connect database (Clarivate, 2021</w:t>
      </w:r>
      <w:r>
        <w:rPr>
          <w:sz w:val="13"/>
        </w:rPr>
        <w:t>[14]</w:t>
      </w:r>
      <w:r>
        <w:rPr>
          <w:position w:val="1"/>
        </w:rPr>
        <w:t>)). Moreover,</w:t>
      </w:r>
      <w:r>
        <w:rPr>
          <w:spacing w:val="1"/>
          <w:position w:val="1"/>
        </w:rPr>
        <w:t> </w:t>
      </w:r>
      <w:r>
        <w:rPr/>
        <w:t>the western part of the Slovak Republic is home to most HEIs and the largest ones, with almost one-third</w:t>
      </w:r>
      <w:r>
        <w:rPr>
          <w:spacing w:val="-53"/>
        </w:rPr>
        <w:t> </w:t>
      </w:r>
      <w:r>
        <w:rPr/>
        <w:t>of all HEIs located in Bratislava (see </w:t>
      </w:r>
      <w:hyperlink w:history="true" w:anchor="_bookmark16">
        <w:r>
          <w:rPr/>
          <w:t>Figure 2.3</w:t>
        </w:r>
      </w:hyperlink>
      <w:r>
        <w:rPr/>
        <w:t>). Nonetheless, the high diversity of Slovak HEIs does not</w:t>
      </w:r>
      <w:r>
        <w:rPr>
          <w:spacing w:val="1"/>
        </w:rPr>
        <w:t> </w:t>
      </w:r>
      <w:r>
        <w:rPr/>
        <w:t>translate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status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funding</w:t>
      </w:r>
      <w:r>
        <w:rPr>
          <w:spacing w:val="-3"/>
        </w:rPr>
        <w:t> </w:t>
      </w:r>
      <w:r>
        <w:rPr/>
        <w:t>allocation</w:t>
      </w:r>
      <w:r>
        <w:rPr>
          <w:spacing w:val="4"/>
        </w:rPr>
        <w:t> </w:t>
      </w:r>
      <w:r>
        <w:rPr/>
        <w:t>model,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later.</w:t>
      </w:r>
    </w:p>
    <w:p>
      <w:pPr>
        <w:spacing w:after="0" w:line="271" w:lineRule="auto"/>
        <w:jc w:val="both"/>
        <w:sectPr>
          <w:type w:val="continuous"/>
          <w:pgSz w:w="11910" w:h="15880"/>
          <w:pgMar w:top="1500" w:bottom="280" w:left="1120" w:right="1000"/>
        </w:sectPr>
      </w:pPr>
    </w:p>
    <w:p>
      <w:pPr>
        <w:spacing w:before="165"/>
        <w:ind w:left="183" w:right="0" w:firstLine="0"/>
        <w:jc w:val="left"/>
        <w:rPr>
          <w:rFonts w:ascii="Arial"/>
          <w:b/>
          <w:sz w:val="24"/>
        </w:rPr>
      </w:pPr>
      <w:bookmarkStart w:name="_bookmark15" w:id="42"/>
      <w:bookmarkEnd w:id="42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2.2.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Overview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(2019)</w:t>
      </w:r>
    </w:p>
    <w:p>
      <w:pPr>
        <w:pStyle w:val="BodyText"/>
        <w:spacing w:before="11"/>
        <w:rPr>
          <w:rFonts w:ascii="Arial"/>
          <w:b/>
          <w:sz w:val="24"/>
        </w:rPr>
      </w:pPr>
      <w:r>
        <w:rPr/>
        <w:pict>
          <v:group style="position:absolute;margin-left:110.016823pt;margin-top:16.30661pt;width:374.6pt;height:15.1pt;mso-position-horizontal-relative:page;mso-position-vertical-relative:paragraph;z-index:-15717376;mso-wrap-distance-left:0;mso-wrap-distance-right:0" coordorigin="2200,326" coordsize="7492,302">
            <v:rect style="position:absolute;left:2200;top:326;width:7492;height:302" filled="true" fillcolor="#f1f1f1" stroked="false">
              <v:fill type="solid"/>
            </v:rect>
            <v:rect style="position:absolute;left:2657;top:437;width:80;height:79" filled="true" fillcolor="#002f6c" stroked="false">
              <v:fill type="solid"/>
            </v:rect>
            <v:shape style="position:absolute;left:4321;top:437;width:80;height:79" coordorigin="4321,437" coordsize="80,79" path="m4361,437l4321,477,4361,516,4400,477,4361,437xe" filled="true" fillcolor="#7fa8d9" stroked="false">
              <v:path arrowok="t"/>
              <v:fill type="solid"/>
            </v:shape>
            <v:shape style="position:absolute;left:4321;top:437;width:80;height:79" coordorigin="4321,437" coordsize="80,79" path="m4361,437l4400,477,4361,516,4321,477,4361,437xe" filled="false" stroked="true" strokeweight=".493818pt" strokecolor="#7fa8d9">
              <v:path arrowok="t"/>
              <v:stroke dashstyle="solid"/>
            </v:shape>
            <v:shape style="position:absolute;left:6597;top:437;width:80;height:79" coordorigin="6598,437" coordsize="80,79" path="m6637,437l6598,477,6637,516,6677,477,6637,437xe" filled="true" fillcolor="#006bb6" stroked="false">
              <v:path arrowok="t"/>
              <v:fill type="solid"/>
            </v:shape>
            <v:shape style="position:absolute;left:6597;top:437;width:80;height:79" coordorigin="6598,437" coordsize="80,79" path="m6637,437l6677,477,6637,516,6598,477,6637,437xe" filled="false" stroked="true" strokeweight=".493818pt" strokecolor="#006bb6">
              <v:path arrowok="t"/>
              <v:stroke dashstyle="solid"/>
            </v:shape>
            <v:shape style="position:absolute;left:2200;top:326;width:7492;height:302" type="#_x0000_t202" filled="false" stroked="false">
              <v:textbox inset="0,0,0,0">
                <w:txbxContent>
                  <w:p>
                    <w:pPr>
                      <w:tabs>
                        <w:tab w:pos="2233" w:val="left" w:leader="none"/>
                        <w:tab w:pos="4510" w:val="left" w:leader="none"/>
                      </w:tabs>
                      <w:spacing w:before="63"/>
                      <w:ind w:left="568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Number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5"/>
                      </w:rPr>
                      <w:t>of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5"/>
                      </w:rPr>
                      <w:t>students</w:t>
                      <w:tab/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Share</w:t>
                    </w:r>
                    <w:r>
                      <w:rPr>
                        <w:rFonts w:ascii="Microsoft Sans Serif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of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international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5"/>
                      </w:rPr>
                      <w:t>students</w:t>
                      <w:tab/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Peer-reviewed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publications</w:t>
                    </w:r>
                    <w:r>
                      <w:rPr>
                        <w:rFonts w:ascii="Microsoft Sans Serif"/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per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academic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5"/>
                      </w:rPr>
                      <w:t>staff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4"/>
        </w:rPr>
        <w:sectPr>
          <w:pgSz w:w="11910" w:h="15880"/>
          <w:pgMar w:header="734" w:footer="731" w:top="1140" w:bottom="920" w:left="1120" w:right="1000"/>
        </w:sectPr>
      </w:pPr>
    </w:p>
    <w:p>
      <w:pPr>
        <w:spacing w:line="247" w:lineRule="auto" w:before="102"/>
        <w:ind w:left="1061" w:right="25" w:firstLine="0"/>
        <w:jc w:val="left"/>
        <w:rPr>
          <w:rFonts w:ascii="Microsoft Sans Serif"/>
          <w:sz w:val="15"/>
        </w:rPr>
      </w:pPr>
      <w:r>
        <w:rPr>
          <w:rFonts w:ascii="Microsoft Sans Serif"/>
          <w:spacing w:val="-1"/>
          <w:w w:val="85"/>
          <w:sz w:val="15"/>
        </w:rPr>
        <w:t>Number </w:t>
      </w:r>
      <w:r>
        <w:rPr>
          <w:rFonts w:ascii="Microsoft Sans Serif"/>
          <w:w w:val="85"/>
          <w:sz w:val="15"/>
        </w:rPr>
        <w:t>of students</w:t>
      </w:r>
      <w:r>
        <w:rPr>
          <w:rFonts w:ascii="Microsoft Sans Serif"/>
          <w:spacing w:val="-31"/>
          <w:w w:val="85"/>
          <w:sz w:val="15"/>
        </w:rPr>
        <w:t> </w:t>
      </w:r>
      <w:r>
        <w:rPr>
          <w:rFonts w:ascii="Microsoft Sans Serif"/>
          <w:w w:val="95"/>
          <w:sz w:val="15"/>
        </w:rPr>
        <w:t>(thousands)</w:t>
      </w:r>
    </w:p>
    <w:p>
      <w:pPr>
        <w:spacing w:before="2"/>
        <w:ind w:left="767" w:right="0" w:firstLine="0"/>
        <w:jc w:val="left"/>
        <w:rPr>
          <w:rFonts w:ascii="Microsoft Sans Serif"/>
          <w:sz w:val="15"/>
        </w:rPr>
      </w:pPr>
      <w:r>
        <w:rPr/>
        <w:pict>
          <v:group style="position:absolute;margin-left:85.196579pt;margin-top:4.082124pt;width:404.75pt;height:177.25pt;mso-position-horizontal-relative:page;mso-position-vertical-relative:paragraph;z-index:-19718656" coordorigin="1704,82" coordsize="8095,3545">
            <v:rect style="position:absolute;left:2163;top:89;width:7628;height:2356" filled="true" fillcolor="#f1f1f1" stroked="false">
              <v:fill type="solid"/>
            </v:rect>
            <v:shape style="position:absolute;left:2163;top:560;width:7628;height:1413" coordorigin="2163,561" coordsize="7628,1413" path="m2163,1973l2232,1973m2324,1973l2462,1973m2556,1973l2694,1973m2786,1973l2926,1973m3018,1973l3156,1973m3250,1973l3388,1973m3479,1973l3618,1973m3711,1973l3850,1973m3944,1973l4082,1973m4173,1973l4311,1973m4405,1973l4544,1973m4635,1973l4776,1973m4867,1973l9791,1973m2163,1501l2232,1501m2324,1501l2462,1501m2556,1501l9791,1501m2163,1030l2232,1030m2324,1030l9791,1030m2163,561l2232,561m2324,561l9791,561e" filled="false" stroked="true" strokeweight=".740705pt" strokecolor="#ffffff">
              <v:path arrowok="t"/>
              <v:stroke dashstyle="solid"/>
            </v:shape>
            <v:shape style="position:absolute;left:2163;top:89;width:7628;height:2356" coordorigin="2163,89" coordsize="7628,2356" path="m2163,89l9791,89m2393,89l2393,2444m2625,89l2625,2444m2857,89l2857,2444m3087,89l3087,2444m3319,89l3319,2444m3548,89l3548,2444m3781,89l3781,2444m4013,89l4013,2444m4242,89l4242,2444m4474,89l4474,2444m4704,89l4704,2444m4936,89l4936,2444m5168,89l5168,2444m5398,89l5398,2444m5630,89l5630,2444m5862,89l5862,2444m6092,89l6092,2444m6324,89l6324,2444m6553,89l6553,2444m6786,89l6786,2444m7018,89l7018,2444m7247,89l7247,2444m7479,89l7479,2444m7709,89l7709,2444m7941,89l7941,2444m8173,89l8173,2444m8403,89l8403,2444m8635,89l8635,2444m8865,89l8865,2444m9097,89l9097,2444m9329,89l9329,2444m9558,89l9558,2444m9791,89l9791,2444e" filled="false" stroked="true" strokeweight=".740727pt" strokecolor="#ffffff">
              <v:path arrowok="t"/>
              <v:stroke dashstyle="solid"/>
            </v:shape>
            <v:shape style="position:absolute;left:2232;top:373;width:7489;height:2072" coordorigin="2232,373" coordsize="7489,2072" path="m2324,373l2232,373,2232,2444,2324,2444,2324,373xm2556,1410l2462,1410,2462,2444,2556,2444,2556,1410xm2786,1566l2694,1566,2694,2444,2786,2444,2786,1566xm3018,1659l2926,1659,2926,2444,3018,2444,3018,1659xm3250,1694l3156,1694,3156,2444,3250,2444,3250,1694xm3479,1741l3388,1741,3388,2444,3479,2444,3479,1741xm3711,1785l3618,1785,3618,2444,3711,2444,3711,1785xm3944,1785l3850,1785,3850,2444,3944,2444,3944,1785xm4173,1785l4082,1785,4082,2444,4173,2444,4173,1785xm4405,1817l4311,1817,4311,2444,4405,2444,4405,1817xm4635,1906l4544,1906,4544,2444,4635,2444,4635,1906xm4867,1948l4776,1948,4776,2444,4867,2444,4867,1948xm5099,2003l5005,2003,5005,2444,5099,2444,5099,2003xm5329,2101l5237,2101,5237,2444,5329,2444,5329,2101xm5561,2222l5467,2222,5467,2444,5561,2444,5561,2222xm5791,2232l5699,2232,5699,2444,5791,2444,5791,2232xm6023,2244l5931,2244,5931,2444,6023,2444,6023,2244xm6255,2252l6161,2252,6161,2444,6255,2444,6255,2252xm6484,2272l6393,2272,6393,2444,6484,2444,6484,2272xm6716,2277l6623,2277,6623,2444,6716,2444,6716,2277xm6946,2281l6855,2281,6855,2444,6946,2444,6946,2281xm7178,2301l7087,2301,7087,2444,7178,2444,7178,2301xm7410,2323l7316,2323,7316,2444,7410,2444,7410,2323xm7640,2351l7549,2351,7549,2444,7640,2444,7640,2351xm7872,2365l7778,2365,7778,2444,7872,2444,7872,2365xm8104,2378l8010,2378,8010,2444,8104,2444,8104,2378xm8334,2385l8242,2385,8242,2444,8334,2444,8334,2385xm8566,2388l8472,2388,8472,2444,8566,2444,8566,2388xm8795,2390l8704,2390,8704,2444,8795,2444,8795,2390xm9028,2395l8936,2395,8936,2444,9028,2444,9028,2395xm9260,2412l9166,2412,9166,2444,9260,2444,9260,2412xm9489,2440l9398,2440,9398,2444,9489,2444,9489,2440xm9721,2442l9628,2442,9628,2444,9721,2444,9721,2442xe" filled="true" fillcolor="#002f6c" stroked="false">
              <v:path arrowok="t"/>
              <v:fill type="solid"/>
            </v:shape>
            <v:shape style="position:absolute;left:2163;top:89;width:7628;height:2356" coordorigin="2163,89" coordsize="7628,2356" path="m2163,2444l2163,89m2163,2444l2210,2444m2163,1973l2210,1973m2163,1501l2210,1501m2163,1030l2210,1030m2163,561l2210,561m2163,89l2210,89m2163,2444l9791,2444m2163,2395l2163,2444m2393,2395l2393,2444m2625,2395l2625,2444m2857,2395l2857,2444m3087,2395l3087,2444m3319,2395l3319,2444m3548,2395l3548,2444m3781,2395l3781,2444m4013,2395l4013,2444m4242,2395l4242,2444m4474,2395l4474,2444m4704,2395l4704,2444m4936,2395l4936,2444m5168,2395l5168,2444m5398,2395l5398,2444m5630,2395l5630,2444m5862,2395l5862,2444m6092,2395l6092,2444m6324,2395l6324,2444m6553,2395l6553,2444m6786,2395l6786,2444m7018,2395l7018,2444m7941,2395l7941,2444m9329,2395l9329,2444m9558,2395l9558,2444m9791,2395l9791,2444e" filled="false" stroked="true" strokeweight=".740727pt" strokecolor="#000000">
              <v:path arrowok="t"/>
              <v:stroke dashstyle="solid"/>
            </v:shape>
            <v:shape style="position:absolute;left:2222;top:1923;width:114;height:114" type="#_x0000_t75" stroked="false">
              <v:imagedata r:id="rId49" o:title=""/>
            </v:shape>
            <v:shape style="position:absolute;left:2452;top:2172;width:114;height:114" type="#_x0000_t75" stroked="false">
              <v:imagedata r:id="rId49" o:title=""/>
            </v:shape>
            <v:shape style="position:absolute;left:2684;top:1696;width:114;height:114" type="#_x0000_t75" stroked="false">
              <v:imagedata r:id="rId49" o:title=""/>
            </v:shape>
            <v:shape style="position:absolute;left:2918;top:1938;width:104;height:104" coordorigin="2919,1938" coordsize="104,104" path="m2971,1938l2919,1990,2971,2042,3023,1990,2971,1938xe" filled="true" fillcolor="#7fa8d9" stroked="false">
              <v:path arrowok="t"/>
              <v:fill type="solid"/>
            </v:shape>
            <v:shape style="position:absolute;left:2918;top:1938;width:104;height:104" coordorigin="2919,1938" coordsize="104,104" path="m2971,1938l3023,1990,2971,2042,2919,1990,2971,1938xe" filled="false" stroked="true" strokeweight=".493818pt" strokecolor="#7fa8d9">
              <v:path arrowok="t"/>
              <v:stroke dashstyle="solid"/>
            </v:shape>
            <v:shape style="position:absolute;left:3146;top:1289;width:114;height:114" type="#_x0000_t75" stroked="false">
              <v:imagedata r:id="rId50" o:title=""/>
            </v:shape>
            <v:shape style="position:absolute;left:3378;top:2293;width:114;height:114" type="#_x0000_t75" stroked="false">
              <v:imagedata r:id="rId50" o:title=""/>
            </v:shape>
            <v:shape style="position:absolute;left:3607;top:2219;width:114;height:114" type="#_x0000_t75" stroked="false">
              <v:imagedata r:id="rId51" o:title=""/>
            </v:shape>
            <v:shape style="position:absolute;left:3839;top:1503;width:114;height:114" type="#_x0000_t75" stroked="false">
              <v:imagedata r:id="rId49" o:title=""/>
            </v:shape>
            <v:shape style="position:absolute;left:4069;top:2266;width:114;height:114" type="#_x0000_t75" stroked="false">
              <v:imagedata r:id="rId49" o:title=""/>
            </v:shape>
            <v:shape style="position:absolute;left:4301;top:2101;width:114;height:114" type="#_x0000_t75" stroked="false">
              <v:imagedata r:id="rId49" o:title=""/>
            </v:shape>
            <v:shape style="position:absolute;left:4533;top:2279;width:114;height:114" type="#_x0000_t75" stroked="false">
              <v:imagedata r:id="rId50" o:title=""/>
            </v:shape>
            <v:shape style="position:absolute;left:4763;top:2291;width:114;height:114" type="#_x0000_t75" stroked="false">
              <v:imagedata r:id="rId49" o:title=""/>
            </v:shape>
            <v:shape style="position:absolute;left:4995;top:2298;width:114;height:114" type="#_x0000_t75" stroked="false">
              <v:imagedata r:id="rId49" o:title=""/>
            </v:shape>
            <v:shape style="position:absolute;left:5230;top:1928;width:104;height:104" coordorigin="5230,1928" coordsize="104,104" path="m5282,1928l5230,1980,5282,2032,5334,1980,5282,1928xe" filled="true" fillcolor="#7fa8d9" stroked="false">
              <v:path arrowok="t"/>
              <v:fill type="solid"/>
            </v:shape>
            <v:shape style="position:absolute;left:5230;top:1928;width:104;height:104" coordorigin="5230,1928" coordsize="104,104" path="m5282,1928l5334,1980,5282,2032,5230,1980,5282,1928xe" filled="false" stroked="true" strokeweight=".493818pt" strokecolor="#7fa8d9">
              <v:path arrowok="t"/>
              <v:stroke dashstyle="solid"/>
            </v:shape>
            <v:shape style="position:absolute;left:5457;top:2214;width:114;height:114" type="#_x0000_t75" stroked="false">
              <v:imagedata r:id="rId49" o:title=""/>
            </v:shape>
            <v:shape style="position:absolute;left:5689;top:2165;width:114;height:114" type="#_x0000_t75" stroked="false">
              <v:imagedata r:id="rId49" o:title=""/>
            </v:shape>
            <v:shape style="position:absolute;left:5918;top:1864;width:114;height:114" type="#_x0000_t75" stroked="false">
              <v:imagedata r:id="rId49" o:title=""/>
            </v:shape>
            <v:shape style="position:absolute;left:6151;top:1535;width:114;height:114" type="#_x0000_t75" stroked="false">
              <v:imagedata r:id="rId49" o:title=""/>
            </v:shape>
            <v:shape style="position:absolute;left:6383;top:1212;width:114;height:114" type="#_x0000_t75" stroked="false">
              <v:imagedata r:id="rId49" o:title=""/>
            </v:shape>
            <v:shape style="position:absolute;left:6612;top:1679;width:114;height:114" type="#_x0000_t75" stroked="false">
              <v:imagedata r:id="rId51" o:title=""/>
            </v:shape>
            <v:shape style="position:absolute;left:6844;top:2145;width:114;height:114" type="#_x0000_t75" stroked="false">
              <v:imagedata r:id="rId49" o:title=""/>
            </v:shape>
            <v:shape style="position:absolute;left:7074;top:2160;width:114;height:114" type="#_x0000_t75" stroked="false">
              <v:imagedata r:id="rId49" o:title=""/>
            </v:shape>
            <v:shape style="position:absolute;left:7538;top:1945;width:114;height:114" type="#_x0000_t75" stroked="false">
              <v:imagedata r:id="rId49" o:title=""/>
            </v:shape>
            <v:shape style="position:absolute;left:7768;top:2029;width:114;height:114" type="#_x0000_t75" stroked="false">
              <v:imagedata r:id="rId49" o:title=""/>
            </v:shape>
            <v:shape style="position:absolute;left:8000;top:1422;width:114;height:114" type="#_x0000_t75" stroked="false">
              <v:imagedata r:id="rId49" o:title=""/>
            </v:shape>
            <v:shape style="position:absolute;left:8230;top:1923;width:114;height:114" type="#_x0000_t75" stroked="false">
              <v:imagedata r:id="rId49" o:title=""/>
            </v:shape>
            <v:shape style="position:absolute;left:8462;top:2014;width:114;height:114" type="#_x0000_t75" stroked="false">
              <v:imagedata r:id="rId49" o:title=""/>
            </v:shape>
            <v:shape style="position:absolute;left:8694;top:2140;width:114;height:114" type="#_x0000_t75" stroked="false">
              <v:imagedata r:id="rId49" o:title=""/>
            </v:shape>
            <v:shape style="position:absolute;left:9155;top:896;width:114;height:114" type="#_x0000_t75" stroked="false">
              <v:imagedata r:id="rId49" o:title=""/>
            </v:shape>
            <v:shape style="position:absolute;left:9385;top:1906;width:114;height:114" type="#_x0000_t75" stroked="false">
              <v:imagedata r:id="rId52" o:title=""/>
            </v:shape>
            <v:shape style="position:absolute;left:9617;top:2207;width:114;height:114" type="#_x0000_t75" stroked="false">
              <v:imagedata r:id="rId52" o:title=""/>
            </v:shape>
            <v:shape style="position:absolute;left:2222;top:837;width:114;height:114" type="#_x0000_t75" stroked="false">
              <v:imagedata r:id="rId53" o:title=""/>
            </v:shape>
            <v:shape style="position:absolute;left:2452;top:1079;width:114;height:114" type="#_x0000_t75" stroked="false">
              <v:imagedata r:id="rId54" o:title=""/>
            </v:shape>
            <v:shape style="position:absolute;left:2684;top:916;width:114;height:114" type="#_x0000_t75" stroked="false">
              <v:imagedata r:id="rId53" o:title=""/>
            </v:shape>
            <v:shape style="position:absolute;left:2918;top:1827;width:104;height:104" coordorigin="2919,1827" coordsize="104,104" path="m2971,1827l2919,1879,2971,1931,3023,1879,2971,1827xe" filled="true" fillcolor="#006bb6" stroked="false">
              <v:path arrowok="t"/>
              <v:fill type="solid"/>
            </v:shape>
            <v:shape style="position:absolute;left:2918;top:1827;width:104;height:104" coordorigin="2919,1827" coordsize="104,104" path="m2971,1827l3023,1879,2971,1931,2919,1879,2971,1827xe" filled="false" stroked="true" strokeweight=".493818pt" strokecolor="#006bb6">
              <v:path arrowok="t"/>
              <v:stroke dashstyle="solid"/>
            </v:shape>
            <v:shape style="position:absolute;left:3378;top:1842;width:114;height:114" type="#_x0000_t75" stroked="false">
              <v:imagedata r:id="rId55" o:title=""/>
            </v:shape>
            <v:shape style="position:absolute;left:3607;top:1661;width:114;height:114" type="#_x0000_t75" stroked="false">
              <v:imagedata r:id="rId56" o:title=""/>
            </v:shape>
            <v:shape style="position:absolute;left:3839;top:222;width:114;height:114" type="#_x0000_t75" stroked="false">
              <v:imagedata r:id="rId57" o:title=""/>
            </v:shape>
            <v:shape style="position:absolute;left:4069;top:2108;width:114;height:114" type="#_x0000_t75" stroked="false">
              <v:imagedata r:id="rId57" o:title=""/>
            </v:shape>
            <v:shape style="position:absolute;left:4301;top:1928;width:114;height:114" type="#_x0000_t75" stroked="false">
              <v:imagedata r:id="rId57" o:title=""/>
            </v:shape>
            <v:shape style="position:absolute;left:4533;top:1506;width:114;height:114" type="#_x0000_t75" stroked="false">
              <v:imagedata r:id="rId58" o:title=""/>
            </v:shape>
            <v:shape style="position:absolute;left:4763;top:1827;width:114;height:114" type="#_x0000_t75" stroked="false">
              <v:imagedata r:id="rId57" o:title=""/>
            </v:shape>
            <v:shape style="position:absolute;left:4995;top:1777;width:114;height:114" type="#_x0000_t75" stroked="false">
              <v:imagedata r:id="rId57" o:title=""/>
            </v:shape>
            <v:shape style="position:absolute;left:5230;top:2049;width:104;height:104" coordorigin="5230,2049" coordsize="104,104" path="m5282,2049l5230,2101,5282,2153,5334,2101,5282,2049xe" filled="true" fillcolor="#006bb6" stroked="false">
              <v:path arrowok="t"/>
              <v:fill type="solid"/>
            </v:shape>
            <v:shape style="position:absolute;left:5230;top:2049;width:104;height:104" coordorigin="5230,2049" coordsize="104,104" path="m5282,2049l5334,2101,5282,2153,5230,2101,5282,2049xe" filled="false" stroked="true" strokeweight=".493818pt" strokecolor="#006bb6">
              <v:path arrowok="t"/>
              <v:stroke dashstyle="solid"/>
            </v:shape>
            <v:shape style="position:absolute;left:5457;top:506;width:114;height:114" type="#_x0000_t75" stroked="false">
              <v:imagedata r:id="rId57" o:title=""/>
            </v:shape>
            <v:shape style="position:absolute;left:5689;top:1029;width:114;height:114" type="#_x0000_t75" stroked="false">
              <v:imagedata r:id="rId57" o:title=""/>
            </v:shape>
            <v:shape style="position:absolute;left:6383;top:1503;width:114;height:114" type="#_x0000_t75" stroked="false">
              <v:imagedata r:id="rId57" o:title=""/>
            </v:shape>
            <v:shape style="position:absolute;left:6612;top:1469;width:114;height:114" type="#_x0000_t75" stroked="false">
              <v:imagedata r:id="rId54" o:title=""/>
            </v:shape>
            <v:shape style="position:absolute;left:1703;top:2370;width:8007;height:1256" type="#_x0000_t75" stroked="false">
              <v:imagedata r:id="rId59" o:title=""/>
            </v:shape>
            <w10:wrap type="none"/>
          </v:group>
        </w:pict>
      </w:r>
      <w:r>
        <w:rPr>
          <w:rFonts w:ascii="Microsoft Sans Serif"/>
          <w:w w:val="95"/>
          <w:sz w:val="15"/>
        </w:rPr>
        <w:t>25</w:t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spacing w:before="0"/>
        <w:ind w:left="76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20</w:t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spacing w:before="0"/>
        <w:ind w:left="76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15</w:t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spacing w:before="0"/>
        <w:ind w:left="76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10</w:t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spacing w:before="0"/>
        <w:ind w:left="83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85"/>
          <w:sz w:val="15"/>
        </w:rPr>
        <w:t>5</w:t>
      </w:r>
    </w:p>
    <w:p>
      <w:pPr>
        <w:spacing w:line="247" w:lineRule="auto" w:before="109"/>
        <w:ind w:left="767" w:right="-5" w:firstLine="889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spacing w:val="-1"/>
          <w:w w:val="85"/>
          <w:sz w:val="15"/>
        </w:rPr>
        <w:t>Share of international </w:t>
      </w:r>
      <w:r>
        <w:rPr>
          <w:rFonts w:ascii="Microsoft Sans Serif"/>
          <w:w w:val="85"/>
          <w:sz w:val="15"/>
        </w:rPr>
        <w:t>students (1=100%)</w:t>
      </w:r>
      <w:r>
        <w:rPr>
          <w:rFonts w:ascii="Microsoft Sans Serif"/>
          <w:spacing w:val="-31"/>
          <w:w w:val="85"/>
          <w:sz w:val="15"/>
        </w:rPr>
        <w:t> </w:t>
      </w:r>
      <w:r>
        <w:rPr>
          <w:rFonts w:ascii="Microsoft Sans Serif"/>
          <w:spacing w:val="-1"/>
          <w:w w:val="85"/>
          <w:sz w:val="15"/>
        </w:rPr>
        <w:t>Number</w:t>
      </w:r>
      <w:r>
        <w:rPr>
          <w:rFonts w:ascii="Microsoft Sans Serif"/>
          <w:spacing w:val="-4"/>
          <w:w w:val="85"/>
          <w:sz w:val="15"/>
        </w:rPr>
        <w:t> </w:t>
      </w:r>
      <w:r>
        <w:rPr>
          <w:rFonts w:ascii="Microsoft Sans Serif"/>
          <w:spacing w:val="-1"/>
          <w:w w:val="85"/>
          <w:sz w:val="15"/>
        </w:rPr>
        <w:t>of</w:t>
      </w:r>
      <w:r>
        <w:rPr>
          <w:rFonts w:ascii="Microsoft Sans Serif"/>
          <w:w w:val="85"/>
          <w:sz w:val="15"/>
        </w:rPr>
        <w:t> </w:t>
      </w:r>
      <w:r>
        <w:rPr>
          <w:rFonts w:ascii="Microsoft Sans Serif"/>
          <w:spacing w:val="-1"/>
          <w:w w:val="85"/>
          <w:sz w:val="15"/>
        </w:rPr>
        <w:t>peer-reviewed</w:t>
      </w:r>
      <w:r>
        <w:rPr>
          <w:rFonts w:ascii="Microsoft Sans Serif"/>
          <w:spacing w:val="-5"/>
          <w:w w:val="85"/>
          <w:sz w:val="15"/>
        </w:rPr>
        <w:t> </w:t>
      </w:r>
      <w:r>
        <w:rPr>
          <w:rFonts w:ascii="Microsoft Sans Serif"/>
          <w:spacing w:val="-1"/>
          <w:w w:val="85"/>
          <w:sz w:val="15"/>
        </w:rPr>
        <w:t>publications</w:t>
      </w:r>
      <w:r>
        <w:rPr>
          <w:rFonts w:ascii="Microsoft Sans Serif"/>
          <w:spacing w:val="-3"/>
          <w:w w:val="85"/>
          <w:sz w:val="15"/>
        </w:rPr>
        <w:t> </w:t>
      </w:r>
      <w:r>
        <w:rPr>
          <w:rFonts w:ascii="Microsoft Sans Serif"/>
          <w:w w:val="85"/>
          <w:sz w:val="15"/>
        </w:rPr>
        <w:t>per</w:t>
      </w:r>
      <w:r>
        <w:rPr>
          <w:rFonts w:ascii="Microsoft Sans Serif"/>
          <w:spacing w:val="2"/>
          <w:w w:val="85"/>
          <w:sz w:val="15"/>
        </w:rPr>
        <w:t> </w:t>
      </w:r>
      <w:r>
        <w:rPr>
          <w:rFonts w:ascii="Microsoft Sans Serif"/>
          <w:w w:val="85"/>
          <w:sz w:val="15"/>
        </w:rPr>
        <w:t>academic</w:t>
      </w:r>
      <w:r>
        <w:rPr>
          <w:rFonts w:ascii="Microsoft Sans Serif"/>
          <w:spacing w:val="-6"/>
          <w:w w:val="85"/>
          <w:sz w:val="15"/>
        </w:rPr>
        <w:t> </w:t>
      </w:r>
      <w:r>
        <w:rPr>
          <w:rFonts w:ascii="Microsoft Sans Serif"/>
          <w:w w:val="85"/>
          <w:sz w:val="15"/>
        </w:rPr>
        <w:t>staff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before="0"/>
        <w:ind w:left="17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0.6</w:t>
      </w: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before="0"/>
        <w:ind w:left="17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0.5</w:t>
      </w: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before="0"/>
        <w:ind w:left="17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0.4</w:t>
      </w:r>
    </w:p>
    <w:p>
      <w:pPr>
        <w:pStyle w:val="BodyText"/>
        <w:spacing w:before="7"/>
        <w:rPr>
          <w:rFonts w:ascii="Microsoft Sans Serif"/>
          <w:sz w:val="19"/>
        </w:rPr>
      </w:pPr>
    </w:p>
    <w:p>
      <w:pPr>
        <w:spacing w:before="1"/>
        <w:ind w:left="17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0.3</w:t>
      </w:r>
    </w:p>
    <w:p>
      <w:pPr>
        <w:pStyle w:val="BodyText"/>
        <w:spacing w:before="7"/>
        <w:rPr>
          <w:rFonts w:ascii="Microsoft Sans Serif"/>
          <w:sz w:val="19"/>
        </w:rPr>
      </w:pPr>
    </w:p>
    <w:p>
      <w:pPr>
        <w:spacing w:before="0"/>
        <w:ind w:left="17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0.2</w:t>
      </w: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before="0"/>
        <w:ind w:left="17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0.1</w:t>
      </w:r>
    </w:p>
    <w:p>
      <w:pPr>
        <w:spacing w:after="0"/>
        <w:jc w:val="left"/>
        <w:rPr>
          <w:rFonts w:ascii="Microsoft Sans Serif"/>
          <w:sz w:val="15"/>
        </w:rPr>
        <w:sectPr>
          <w:type w:val="continuous"/>
          <w:pgSz w:w="11910" w:h="15880"/>
          <w:pgMar w:top="1500" w:bottom="280" w:left="1120" w:right="1000"/>
          <w:cols w:num="3" w:equalWidth="0">
            <w:col w:w="2209" w:space="2417"/>
            <w:col w:w="3966" w:space="39"/>
            <w:col w:w="1159"/>
          </w:cols>
        </w:sectPr>
      </w:pPr>
    </w:p>
    <w:p>
      <w:pPr>
        <w:pStyle w:val="BodyText"/>
        <w:spacing w:before="2"/>
        <w:rPr>
          <w:rFonts w:ascii="Microsoft Sans Serif"/>
          <w:sz w:val="10"/>
        </w:rPr>
      </w:pPr>
    </w:p>
    <w:p>
      <w:pPr>
        <w:tabs>
          <w:tab w:pos="8807" w:val="left" w:leader="none"/>
        </w:tabs>
        <w:spacing w:before="108"/>
        <w:ind w:left="83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95"/>
          <w:sz w:val="15"/>
        </w:rPr>
        <w:t>0</w:t>
        <w:tab/>
        <w:t>0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2"/>
        <w:rPr>
          <w:rFonts w:ascii="Microsoft Sans Serif"/>
          <w:sz w:val="29"/>
        </w:rPr>
      </w:pPr>
    </w:p>
    <w:p>
      <w:pPr>
        <w:spacing w:before="103"/>
        <w:ind w:left="183" w:right="0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Students</w:t>
      </w:r>
      <w:r>
        <w:rPr>
          <w:rFonts w:ascii="Microsoft Sans Serif"/>
          <w:spacing w:val="13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both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full-time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and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part-time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students.</w:t>
      </w:r>
    </w:p>
    <w:p>
      <w:pPr>
        <w:spacing w:line="256" w:lineRule="auto" w:before="11"/>
        <w:ind w:left="183" w:right="301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Sources: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Ministry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16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Education,</w:t>
      </w:r>
      <w:r>
        <w:rPr>
          <w:rFonts w:ascii="Microsoft Sans Serif" w:hAnsi="Microsoft Sans Serif"/>
          <w:spacing w:val="18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Science,</w:t>
      </w:r>
      <w:r>
        <w:rPr>
          <w:rFonts w:ascii="Microsoft Sans Serif" w:hAns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Research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and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Sport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the</w:t>
      </w:r>
      <w:r>
        <w:rPr>
          <w:rFonts w:ascii="Microsoft Sans Serif" w:hAnsi="Microsoft Sans Serif"/>
          <w:spacing w:val="18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Slovak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Republic</w:t>
      </w:r>
      <w:r>
        <w:rPr>
          <w:rFonts w:ascii="Microsoft Sans Serif" w:hAnsi="Microsoft Sans Serif"/>
          <w:spacing w:val="23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(2019</w:t>
      </w:r>
      <w:r>
        <w:rPr>
          <w:rFonts w:ascii="Microsoft Sans Serif" w:hAnsi="Microsoft Sans Serif"/>
          <w:w w:val="80"/>
          <w:sz w:val="12"/>
        </w:rPr>
        <w:t>[15]</w:t>
      </w:r>
      <w:r>
        <w:rPr>
          <w:rFonts w:ascii="Microsoft Sans Serif" w:hAnsi="Microsoft Sans Serif"/>
          <w:w w:val="80"/>
          <w:position w:val="1"/>
          <w:sz w:val="18"/>
        </w:rPr>
        <w:t>),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Výročná</w:t>
      </w:r>
      <w:r>
        <w:rPr>
          <w:rFonts w:ascii="Arial" w:hAnsi="Arial"/>
          <w:i/>
          <w:spacing w:val="1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správa</w:t>
      </w:r>
      <w:r>
        <w:rPr>
          <w:rFonts w:ascii="Arial" w:hAnsi="Arial"/>
          <w:i/>
          <w:spacing w:val="1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o</w:t>
      </w:r>
      <w:r>
        <w:rPr>
          <w:rFonts w:ascii="Arial" w:hAnsi="Arial"/>
          <w:i/>
          <w:spacing w:val="1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stave</w:t>
      </w:r>
      <w:r>
        <w:rPr>
          <w:rFonts w:ascii="Arial" w:hAnsi="Arial"/>
          <w:i/>
          <w:spacing w:val="1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vysokého</w:t>
      </w:r>
      <w:r>
        <w:rPr>
          <w:rFonts w:ascii="Arial" w:hAnsi="Arial"/>
          <w:i/>
          <w:spacing w:val="1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školstva</w:t>
      </w:r>
      <w:r>
        <w:rPr>
          <w:rFonts w:ascii="Arial" w:hAnsi="Arial"/>
          <w:i/>
          <w:spacing w:val="14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za</w:t>
      </w:r>
      <w:r>
        <w:rPr>
          <w:rFonts w:ascii="Arial" w:hAnsi="Arial"/>
          <w:i/>
          <w:spacing w:val="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sz w:val="18"/>
        </w:rPr>
        <w:t>rok 2019 [Annual Report on the State of Higher Education for 2019]</w:t>
      </w:r>
      <w:r>
        <w:rPr>
          <w:rFonts w:ascii="Microsoft Sans Serif" w:hAnsi="Microsoft Sans Serif"/>
          <w:w w:val="80"/>
          <w:sz w:val="18"/>
        </w:rPr>
        <w:t>, </w:t>
      </w:r>
      <w:hyperlink r:id="rId60">
        <w:r>
          <w:rPr>
            <w:rFonts w:ascii="Microsoft Sans Serif" w:hAnsi="Microsoft Sans Serif"/>
            <w:color w:val="0000FF"/>
            <w:w w:val="80"/>
            <w:sz w:val="18"/>
            <w:u w:val="single" w:color="0000FF"/>
          </w:rPr>
          <w:t>https://www.minedu.sk/vyrocne-spravy-o-stave-vysokeho-skolstva/</w:t>
        </w:r>
        <w:r>
          <w:rPr>
            <w:rFonts w:ascii="Microsoft Sans Serif" w:hAnsi="Microsoft Sans Serif"/>
            <w:w w:val="80"/>
            <w:sz w:val="18"/>
          </w:rPr>
          <w:t>; </w:t>
        </w:r>
      </w:hyperlink>
      <w:r>
        <w:rPr>
          <w:rFonts w:ascii="Microsoft Sans Serif" w:hAnsi="Microsoft Sans Serif"/>
          <w:w w:val="80"/>
          <w:sz w:val="18"/>
        </w:rPr>
        <w:t>CVTI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(2021</w:t>
      </w:r>
      <w:r>
        <w:rPr>
          <w:rFonts w:ascii="Microsoft Sans Serif" w:hAnsi="Microsoft Sans Serif"/>
          <w:w w:val="80"/>
          <w:sz w:val="12"/>
        </w:rPr>
        <w:t>[16]</w:t>
      </w:r>
      <w:r>
        <w:rPr>
          <w:rFonts w:ascii="Microsoft Sans Serif" w:hAnsi="Microsoft Sans Serif"/>
          <w:w w:val="80"/>
          <w:position w:val="1"/>
          <w:sz w:val="18"/>
        </w:rPr>
        <w:t>), </w:t>
      </w:r>
      <w:r>
        <w:rPr>
          <w:rFonts w:ascii="Arial" w:hAnsi="Arial"/>
          <w:i/>
          <w:w w:val="80"/>
          <w:position w:val="1"/>
          <w:sz w:val="18"/>
        </w:rPr>
        <w:t>Štatistická ročenka - vysoké školy [Statistical Yearbook - Universities]</w:t>
      </w:r>
      <w:r>
        <w:rPr>
          <w:rFonts w:ascii="Microsoft Sans Serif" w:hAnsi="Microsoft Sans Serif"/>
          <w:w w:val="80"/>
          <w:position w:val="1"/>
          <w:sz w:val="18"/>
        </w:rPr>
        <w:t>, </w:t>
      </w:r>
      <w:hyperlink r:id="rId61">
        <w:r>
          <w:rPr>
            <w:rFonts w:ascii="Microsoft Sans Serif" w:hAnsi="Microsoft Sans Serif"/>
            <w:color w:val="0000FF"/>
            <w:w w:val="80"/>
            <w:position w:val="1"/>
            <w:sz w:val="18"/>
            <w:u w:val="single" w:color="0000FF"/>
          </w:rPr>
          <w:t>https://www.cvtisr.sk/cvti-sr-vedecka-kniznica/informacie-o-</w:t>
        </w:r>
      </w:hyperlink>
      <w:r>
        <w:rPr>
          <w:rFonts w:ascii="Microsoft Sans Serif" w:hAnsi="Microsoft Sans Serif"/>
          <w:color w:val="0000FF"/>
          <w:spacing w:val="1"/>
          <w:w w:val="80"/>
          <w:position w:val="1"/>
          <w:sz w:val="18"/>
        </w:rPr>
        <w:t> </w:t>
      </w:r>
      <w:hyperlink r:id="rId61">
        <w:r>
          <w:rPr>
            <w:rFonts w:ascii="Microsoft Sans Serif" w:hAnsi="Microsoft Sans Serif"/>
            <w:color w:val="0000FF"/>
            <w:w w:val="90"/>
            <w:sz w:val="18"/>
            <w:u w:val="single" w:color="0000FF"/>
          </w:rPr>
          <w:t>skolstve/statistiky/statisticka-rocenka-publikacia/statisticka-rocenka-vysoke-skoly.html?page_id=9596</w:t>
        </w:r>
        <w:r>
          <w:rPr>
            <w:rFonts w:ascii="Microsoft Sans Serif" w:hAnsi="Microsoft Sans Serif"/>
            <w:w w:val="90"/>
            <w:sz w:val="18"/>
          </w:rPr>
          <w:t>.</w:t>
        </w:r>
      </w:hyperlink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62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https://doi.org/10.1787/888934278959</w:t>
        </w:r>
      </w:hyperlink>
    </w:p>
    <w:p>
      <w:pPr>
        <w:pStyle w:val="BodyText"/>
        <w:spacing w:before="3"/>
        <w:rPr>
          <w:rFonts w:ascii="Microsoft Sans Serif"/>
          <w:sz w:val="23"/>
        </w:rPr>
      </w:pPr>
    </w:p>
    <w:p>
      <w:pPr>
        <w:spacing w:before="100"/>
        <w:ind w:left="183" w:right="0" w:firstLine="0"/>
        <w:jc w:val="both"/>
        <w:rPr>
          <w:rFonts w:ascii="Arial"/>
          <w:b/>
          <w:sz w:val="24"/>
        </w:rPr>
      </w:pPr>
      <w:bookmarkStart w:name="_bookmark16" w:id="43"/>
      <w:bookmarkEnd w:id="43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2.3.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Regional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distribution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number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students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(2019)</w:t>
      </w:r>
    </w:p>
    <w:p>
      <w:pPr>
        <w:pStyle w:val="BodyText"/>
        <w:spacing w:before="5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1071482</wp:posOffset>
            </wp:positionH>
            <wp:positionV relativeFrom="paragraph">
              <wp:posOffset>152336</wp:posOffset>
            </wp:positionV>
            <wp:extent cx="5414342" cy="2272950"/>
            <wp:effectExtent l="0" t="0" r="0" b="0"/>
            <wp:wrapTopAndBottom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342" cy="227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/>
        <w:ind w:left="183" w:right="0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Students</w:t>
      </w:r>
      <w:r>
        <w:rPr>
          <w:rFonts w:ascii="Microsoft Sans Serif"/>
          <w:spacing w:val="13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both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full-time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and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part-time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students.</w:t>
      </w:r>
    </w:p>
    <w:p>
      <w:pPr>
        <w:spacing w:line="256" w:lineRule="auto" w:before="13"/>
        <w:ind w:left="183" w:right="301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Sources: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Ministry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16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Education,</w:t>
      </w:r>
      <w:r>
        <w:rPr>
          <w:rFonts w:ascii="Microsoft Sans Serif" w:hAnsi="Microsoft Sans Serif"/>
          <w:spacing w:val="18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Science,</w:t>
      </w:r>
      <w:r>
        <w:rPr>
          <w:rFonts w:ascii="Microsoft Sans Serif" w:hAns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Research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and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Sport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the</w:t>
      </w:r>
      <w:r>
        <w:rPr>
          <w:rFonts w:ascii="Microsoft Sans Serif" w:hAnsi="Microsoft Sans Serif"/>
          <w:spacing w:val="18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Slovak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Republic</w:t>
      </w:r>
      <w:r>
        <w:rPr>
          <w:rFonts w:ascii="Microsoft Sans Serif" w:hAnsi="Microsoft Sans Serif"/>
          <w:spacing w:val="23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(2019</w:t>
      </w:r>
      <w:r>
        <w:rPr>
          <w:rFonts w:ascii="Microsoft Sans Serif" w:hAnsi="Microsoft Sans Serif"/>
          <w:w w:val="80"/>
          <w:sz w:val="12"/>
        </w:rPr>
        <w:t>[15]</w:t>
      </w:r>
      <w:r>
        <w:rPr>
          <w:rFonts w:ascii="Microsoft Sans Serif" w:hAnsi="Microsoft Sans Serif"/>
          <w:w w:val="80"/>
          <w:position w:val="1"/>
          <w:sz w:val="18"/>
        </w:rPr>
        <w:t>),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Výročná</w:t>
      </w:r>
      <w:r>
        <w:rPr>
          <w:rFonts w:ascii="Arial" w:hAnsi="Arial"/>
          <w:i/>
          <w:spacing w:val="1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správa</w:t>
      </w:r>
      <w:r>
        <w:rPr>
          <w:rFonts w:ascii="Arial" w:hAnsi="Arial"/>
          <w:i/>
          <w:spacing w:val="1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o</w:t>
      </w:r>
      <w:r>
        <w:rPr>
          <w:rFonts w:ascii="Arial" w:hAnsi="Arial"/>
          <w:i/>
          <w:spacing w:val="1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stave</w:t>
      </w:r>
      <w:r>
        <w:rPr>
          <w:rFonts w:ascii="Arial" w:hAnsi="Arial"/>
          <w:i/>
          <w:spacing w:val="1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vysokého</w:t>
      </w:r>
      <w:r>
        <w:rPr>
          <w:rFonts w:ascii="Arial" w:hAnsi="Arial"/>
          <w:i/>
          <w:spacing w:val="1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školstva</w:t>
      </w:r>
      <w:r>
        <w:rPr>
          <w:rFonts w:ascii="Arial" w:hAnsi="Arial"/>
          <w:i/>
          <w:spacing w:val="14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za</w:t>
      </w:r>
      <w:r>
        <w:rPr>
          <w:rFonts w:ascii="Arial" w:hAnsi="Arial"/>
          <w:i/>
          <w:spacing w:val="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sz w:val="18"/>
        </w:rPr>
        <w:t>rok 2019 [Annual Report on the State of Higher Education for 2019]</w:t>
      </w:r>
      <w:r>
        <w:rPr>
          <w:rFonts w:ascii="Microsoft Sans Serif" w:hAnsi="Microsoft Sans Serif"/>
          <w:w w:val="80"/>
          <w:sz w:val="18"/>
        </w:rPr>
        <w:t>, </w:t>
      </w:r>
      <w:hyperlink r:id="rId60">
        <w:r>
          <w:rPr>
            <w:rFonts w:ascii="Microsoft Sans Serif" w:hAnsi="Microsoft Sans Serif"/>
            <w:color w:val="0000FF"/>
            <w:w w:val="80"/>
            <w:sz w:val="18"/>
            <w:u w:val="single" w:color="0000FF"/>
          </w:rPr>
          <w:t>https://www.minedu.sk/vyrocne-spravy-o-stave-vysokeho-skolstva/</w:t>
        </w:r>
        <w:r>
          <w:rPr>
            <w:rFonts w:ascii="Microsoft Sans Serif" w:hAnsi="Microsoft Sans Serif"/>
            <w:w w:val="80"/>
            <w:sz w:val="18"/>
          </w:rPr>
          <w:t>; </w:t>
        </w:r>
      </w:hyperlink>
      <w:r>
        <w:rPr>
          <w:rFonts w:ascii="Microsoft Sans Serif" w:hAnsi="Microsoft Sans Serif"/>
          <w:w w:val="80"/>
          <w:sz w:val="18"/>
        </w:rPr>
        <w:t>CVTI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(2021</w:t>
      </w:r>
      <w:r>
        <w:rPr>
          <w:rFonts w:ascii="Microsoft Sans Serif" w:hAnsi="Microsoft Sans Serif"/>
          <w:w w:val="80"/>
          <w:sz w:val="12"/>
        </w:rPr>
        <w:t>[16]</w:t>
      </w:r>
      <w:r>
        <w:rPr>
          <w:rFonts w:ascii="Microsoft Sans Serif" w:hAnsi="Microsoft Sans Serif"/>
          <w:w w:val="80"/>
          <w:position w:val="1"/>
          <w:sz w:val="18"/>
        </w:rPr>
        <w:t>), </w:t>
      </w:r>
      <w:r>
        <w:rPr>
          <w:rFonts w:ascii="Arial" w:hAnsi="Arial"/>
          <w:i/>
          <w:w w:val="80"/>
          <w:position w:val="1"/>
          <w:sz w:val="18"/>
        </w:rPr>
        <w:t>Štatistická ročenka - vysoké školy [Statistical Yearbook - Universities]</w:t>
      </w:r>
      <w:r>
        <w:rPr>
          <w:rFonts w:ascii="Microsoft Sans Serif" w:hAnsi="Microsoft Sans Serif"/>
          <w:w w:val="80"/>
          <w:position w:val="1"/>
          <w:sz w:val="18"/>
        </w:rPr>
        <w:t>, </w:t>
      </w:r>
      <w:hyperlink r:id="rId61">
        <w:r>
          <w:rPr>
            <w:rFonts w:ascii="Microsoft Sans Serif" w:hAnsi="Microsoft Sans Serif"/>
            <w:color w:val="0000FF"/>
            <w:w w:val="80"/>
            <w:position w:val="1"/>
            <w:sz w:val="18"/>
            <w:u w:val="single" w:color="0000FF"/>
          </w:rPr>
          <w:t>https://www.cvtisr.sk/cvti-sr-vedecka-kniznica/informacie-o-</w:t>
        </w:r>
      </w:hyperlink>
      <w:r>
        <w:rPr>
          <w:rFonts w:ascii="Microsoft Sans Serif" w:hAnsi="Microsoft Sans Serif"/>
          <w:color w:val="0000FF"/>
          <w:spacing w:val="1"/>
          <w:w w:val="80"/>
          <w:position w:val="1"/>
          <w:sz w:val="18"/>
        </w:rPr>
        <w:t> </w:t>
      </w:r>
      <w:hyperlink r:id="rId61">
        <w:r>
          <w:rPr>
            <w:rFonts w:ascii="Microsoft Sans Serif" w:hAnsi="Microsoft Sans Serif"/>
            <w:color w:val="0000FF"/>
            <w:w w:val="90"/>
            <w:sz w:val="18"/>
            <w:u w:val="single" w:color="0000FF"/>
          </w:rPr>
          <w:t>skolstve/statistiky/statisticka-rocenka-publikacia/statisticka-rocenka-vysoke-skoly.html?page_id=9596</w:t>
        </w:r>
        <w:r>
          <w:rPr>
            <w:rFonts w:ascii="Microsoft Sans Serif" w:hAnsi="Microsoft Sans Serif"/>
            <w:w w:val="90"/>
            <w:sz w:val="18"/>
          </w:rPr>
          <w:t>.</w:t>
        </w:r>
      </w:hyperlink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before="99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64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https://doi.org/10.1787/888934278978</w:t>
        </w:r>
      </w:hyperlink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1910" w:h="15880"/>
          <w:pgMar w:top="1500" w:bottom="280" w:left="1120" w:right="1000"/>
        </w:sectPr>
      </w:pPr>
    </w:p>
    <w:p>
      <w:pPr>
        <w:pStyle w:val="Heading5"/>
        <w:spacing w:before="181"/>
      </w:pPr>
      <w:bookmarkStart w:name="Legislative framework" w:id="44"/>
      <w:bookmarkEnd w:id="44"/>
      <w:r>
        <w:rPr>
          <w:b w:val="0"/>
          <w:i w:val="0"/>
        </w:rPr>
      </w:r>
      <w:r>
        <w:rPr/>
        <w:t>Legislative</w:t>
      </w:r>
      <w:r>
        <w:rPr>
          <w:spacing w:val="-7"/>
        </w:rPr>
        <w:t> </w:t>
      </w:r>
      <w:r>
        <w:rPr/>
        <w:t>framework</w:t>
      </w: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Heading7"/>
      </w:pPr>
      <w:bookmarkStart w:name="Types of institutions and key actors in " w:id="45"/>
      <w:bookmarkEnd w:id="45"/>
      <w:r>
        <w:rPr>
          <w:i w:val="0"/>
        </w:rPr>
      </w:r>
      <w:r>
        <w:rPr>
          <w:color w:val="616161"/>
        </w:rPr>
        <w:t>Types</w:t>
      </w:r>
      <w:r>
        <w:rPr>
          <w:color w:val="616161"/>
          <w:spacing w:val="-3"/>
        </w:rPr>
        <w:t> </w:t>
      </w:r>
      <w:r>
        <w:rPr>
          <w:color w:val="616161"/>
        </w:rPr>
        <w:t>of</w:t>
      </w:r>
      <w:r>
        <w:rPr>
          <w:color w:val="616161"/>
          <w:spacing w:val="-3"/>
        </w:rPr>
        <w:t> </w:t>
      </w:r>
      <w:r>
        <w:rPr>
          <w:color w:val="616161"/>
        </w:rPr>
        <w:t>institutions</w:t>
      </w:r>
      <w:r>
        <w:rPr>
          <w:color w:val="616161"/>
          <w:spacing w:val="-2"/>
        </w:rPr>
        <w:t> </w:t>
      </w:r>
      <w:r>
        <w:rPr>
          <w:color w:val="616161"/>
        </w:rPr>
        <w:t>and</w:t>
      </w:r>
      <w:r>
        <w:rPr>
          <w:color w:val="616161"/>
          <w:spacing w:val="-7"/>
        </w:rPr>
        <w:t> </w:t>
      </w:r>
      <w:r>
        <w:rPr>
          <w:color w:val="616161"/>
        </w:rPr>
        <w:t>key</w:t>
      </w:r>
      <w:r>
        <w:rPr>
          <w:color w:val="616161"/>
          <w:spacing w:val="-2"/>
        </w:rPr>
        <w:t> </w:t>
      </w:r>
      <w:r>
        <w:rPr>
          <w:color w:val="616161"/>
        </w:rPr>
        <w:t>actors</w:t>
      </w:r>
      <w:r>
        <w:rPr>
          <w:color w:val="616161"/>
          <w:spacing w:val="-4"/>
        </w:rPr>
        <w:t> </w:t>
      </w:r>
      <w:r>
        <w:rPr>
          <w:color w:val="616161"/>
        </w:rPr>
        <w:t>in</w:t>
      </w:r>
      <w:r>
        <w:rPr>
          <w:color w:val="616161"/>
          <w:spacing w:val="-3"/>
        </w:rPr>
        <w:t> </w:t>
      </w:r>
      <w:r>
        <w:rPr>
          <w:color w:val="616161"/>
        </w:rPr>
        <w:t>higher</w:t>
      </w:r>
      <w:r>
        <w:rPr>
          <w:color w:val="616161"/>
          <w:spacing w:val="-4"/>
        </w:rPr>
        <w:t> </w:t>
      </w:r>
      <w:r>
        <w:rPr>
          <w:color w:val="616161"/>
        </w:rPr>
        <w:t>education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298"/>
        <w:jc w:val="both"/>
      </w:pPr>
      <w:r>
        <w:rPr/>
        <w:t>The Act on Higher Education No. 131/2002 (hereafter “HE Act”) is the main legislation organising the</w:t>
      </w:r>
      <w:r>
        <w:rPr>
          <w:spacing w:val="1"/>
        </w:rPr>
        <w:t> </w:t>
      </w:r>
      <w:r>
        <w:rPr>
          <w:position w:val="1"/>
        </w:rPr>
        <w:t>Slovak higher education system (National Council of the Slovak Republic</w:t>
      </w:r>
      <w:r>
        <w:rPr>
          <w:sz w:val="13"/>
        </w:rPr>
        <w:t>[17]</w:t>
      </w:r>
      <w:r>
        <w:rPr>
          <w:position w:val="1"/>
        </w:rPr>
        <w:t>). The HE Act recognises and</w:t>
      </w:r>
      <w:r>
        <w:rPr>
          <w:spacing w:val="-53"/>
          <w:position w:val="1"/>
        </w:rPr>
        <w:t> </w:t>
      </w:r>
      <w:r>
        <w:rPr/>
        <w:t>defines the types of HEIs: public, state and private. Public HEIs are funded and regulated by the Ministry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Education,</w:t>
      </w:r>
      <w:r>
        <w:rPr>
          <w:spacing w:val="-4"/>
        </w:rPr>
        <w:t> </w:t>
      </w:r>
      <w:r>
        <w:rPr/>
        <w:t>Science,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Sport</w:t>
      </w:r>
      <w:r>
        <w:rPr>
          <w:spacing w:val="-5"/>
        </w:rPr>
        <w:t> </w:t>
      </w:r>
      <w:r>
        <w:rPr/>
        <w:t>(MoE);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HEIs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funded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regulated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ministries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responsibility in the area in which they deliver education (e.g. the Ministry of Health for state medical</w:t>
      </w:r>
      <w:r>
        <w:rPr>
          <w:spacing w:val="1"/>
        </w:rPr>
        <w:t> </w:t>
      </w:r>
      <w:r>
        <w:rPr/>
        <w:t>universities);</w:t>
      </w:r>
      <w:r>
        <w:rPr>
          <w:spacing w:val="-8"/>
        </w:rPr>
        <w:t> </w:t>
      </w:r>
      <w:r>
        <w:rPr/>
        <w:t>private</w:t>
      </w:r>
      <w:r>
        <w:rPr>
          <w:spacing w:val="-8"/>
        </w:rPr>
        <w:t> </w:t>
      </w:r>
      <w:r>
        <w:rPr/>
        <w:t>HEIs</w:t>
      </w:r>
      <w:r>
        <w:rPr>
          <w:spacing w:val="-9"/>
        </w:rPr>
        <w:t> </w:t>
      </w:r>
      <w:r>
        <w:rPr/>
        <w:t>operate</w:t>
      </w:r>
      <w:r>
        <w:rPr>
          <w:spacing w:val="-7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legislative</w:t>
      </w:r>
      <w:r>
        <w:rPr>
          <w:spacing w:val="-9"/>
        </w:rPr>
        <w:t> </w:t>
      </w:r>
      <w:r>
        <w:rPr/>
        <w:t>framework</w:t>
      </w:r>
      <w:r>
        <w:rPr>
          <w:spacing w:val="-6"/>
        </w:rPr>
        <w:t> </w:t>
      </w:r>
      <w:r>
        <w:rPr/>
        <w:t>but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receive</w:t>
      </w:r>
      <w:r>
        <w:rPr>
          <w:spacing w:val="-10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funding.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legislation</w:t>
      </w:r>
      <w:r>
        <w:rPr>
          <w:spacing w:val="-12"/>
        </w:rPr>
        <w:t> </w:t>
      </w:r>
      <w:r>
        <w:rPr/>
        <w:t>sets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detail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internal</w:t>
      </w:r>
      <w:r>
        <w:rPr>
          <w:spacing w:val="-10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structure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HEIs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both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institution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faculty</w:t>
      </w:r>
      <w:r>
        <w:rPr>
          <w:spacing w:val="-53"/>
        </w:rPr>
        <w:t> </w:t>
      </w:r>
      <w:r>
        <w:rPr/>
        <w:t>levels, as discussed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 3.</w:t>
      </w:r>
    </w:p>
    <w:p>
      <w:pPr>
        <w:pStyle w:val="BodyText"/>
        <w:spacing w:line="271" w:lineRule="auto" w:before="122"/>
        <w:ind w:left="183" w:right="300"/>
        <w:jc w:val="both"/>
      </w:pPr>
      <w:r>
        <w:rPr/>
        <w:t>The HE Act was amended in 2007 to introduce three types of institutional profiles, respectively called</w:t>
      </w:r>
      <w:r>
        <w:rPr>
          <w:spacing w:val="1"/>
        </w:rPr>
        <w:t> </w:t>
      </w:r>
      <w:r>
        <w:rPr/>
        <w:t>“university”, “higher education institution” and “professional higher education institution”, according to the</w:t>
      </w:r>
      <w:r>
        <w:rPr>
          <w:spacing w:val="1"/>
        </w:rPr>
        <w:t> </w:t>
      </w:r>
      <w:r>
        <w:rPr/>
        <w:t>level of teaching provision and the kind of research pursued. Universities provide programmes at all three</w:t>
      </w:r>
      <w:r>
        <w:rPr>
          <w:spacing w:val="-54"/>
        </w:rPr>
        <w:t> </w:t>
      </w:r>
      <w:r>
        <w:rPr/>
        <w:t>levels of higher education – bachelor’s, master’s and doctoral levels – and focus on carrying out basic</w:t>
      </w:r>
      <w:r>
        <w:rPr>
          <w:spacing w:val="1"/>
        </w:rPr>
        <w:t> </w:t>
      </w:r>
      <w:r>
        <w:rPr/>
        <w:t>research.</w:t>
      </w:r>
      <w:r>
        <w:rPr>
          <w:spacing w:val="-7"/>
        </w:rPr>
        <w:t> </w:t>
      </w:r>
      <w:r>
        <w:rPr/>
        <w:t>Universities’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programmes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7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close</w:t>
      </w:r>
      <w:r>
        <w:rPr>
          <w:spacing w:val="-2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leading-</w:t>
      </w:r>
      <w:r>
        <w:rPr>
          <w:spacing w:val="1"/>
        </w:rPr>
        <w:t> </w:t>
      </w:r>
      <w:r>
        <w:rPr/>
        <w:t>edge research undertaken by the university. Professional HEIs are to provide study programmes at the</w:t>
      </w:r>
      <w:r>
        <w:rPr>
          <w:spacing w:val="1"/>
        </w:rPr>
        <w:t> </w:t>
      </w:r>
      <w:r>
        <w:rPr/>
        <w:t>first level (bachelor’s) and to conduct applied research. HEIs are to be an intermediate type of institution,</w:t>
      </w:r>
      <w:r>
        <w:rPr>
          <w:spacing w:val="1"/>
        </w:rPr>
        <w:t> </w:t>
      </w:r>
      <w:r>
        <w:rPr/>
        <w:t>conducting basic research like universities, but only providing first- and second-level study programmes –</w:t>
      </w:r>
      <w:r>
        <w:rPr>
          <w:spacing w:val="-54"/>
        </w:rPr>
        <w:t> </w:t>
      </w:r>
      <w:r>
        <w:rPr>
          <w:position w:val="1"/>
        </w:rPr>
        <w:t>bachelor’s and master’s degree programmes (Reichert, 2009</w:t>
      </w:r>
      <w:r>
        <w:rPr>
          <w:sz w:val="13"/>
        </w:rPr>
        <w:t>[18]</w:t>
      </w:r>
      <w:r>
        <w:rPr>
          <w:position w:val="1"/>
        </w:rPr>
        <w:t>). These three institutional profiles were</w:t>
      </w:r>
      <w:r>
        <w:rPr>
          <w:spacing w:val="1"/>
          <w:position w:val="1"/>
        </w:rPr>
        <w:t> </w:t>
      </w:r>
      <w:r>
        <w:rPr/>
        <w:t>little discussed during the project, suggesting they have had a limited impact on the orientation of Slovak</w:t>
      </w:r>
      <w:r>
        <w:rPr>
          <w:spacing w:val="1"/>
        </w:rPr>
        <w:t> </w:t>
      </w:r>
      <w:r>
        <w:rPr/>
        <w:t>HEIs.</w:t>
      </w:r>
    </w:p>
    <w:p>
      <w:pPr>
        <w:pStyle w:val="BodyText"/>
        <w:spacing w:line="273" w:lineRule="auto" w:before="121"/>
        <w:ind w:left="183" w:right="305"/>
        <w:jc w:val="both"/>
      </w:pPr>
      <w:r>
        <w:rPr/>
        <w:t>In addition, the HE Act identifies three national bodies representing higher education stakeholders in their</w:t>
      </w:r>
      <w:r>
        <w:rPr>
          <w:spacing w:val="-53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MoE, the</w:t>
      </w:r>
      <w:r>
        <w:rPr>
          <w:spacing w:val="-3"/>
        </w:rPr>
        <w:t> </w:t>
      </w:r>
      <w:r>
        <w:rPr/>
        <w:t>key</w:t>
      </w:r>
      <w:r>
        <w:rPr>
          <w:spacing w:val="-4"/>
        </w:rPr>
        <w:t> </w:t>
      </w:r>
      <w:r>
        <w:rPr/>
        <w:t>funder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Slovak</w:t>
      </w:r>
      <w:r>
        <w:rPr>
          <w:spacing w:val="1"/>
        </w:rPr>
        <w:t> </w:t>
      </w:r>
      <w:r>
        <w:rPr/>
        <w:t>higher education system:</w:t>
      </w:r>
    </w:p>
    <w:p>
      <w:pPr>
        <w:pStyle w:val="ListParagraph"/>
        <w:numPr>
          <w:ilvl w:val="0"/>
          <w:numId w:val="7"/>
        </w:numPr>
        <w:tabs>
          <w:tab w:pos="863" w:val="left" w:leader="none"/>
        </w:tabs>
        <w:spacing w:line="266" w:lineRule="auto" w:before="95" w:after="0"/>
        <w:ind w:left="862" w:right="316" w:hanging="339"/>
        <w:jc w:val="both"/>
        <w:rPr>
          <w:sz w:val="20"/>
        </w:rPr>
      </w:pPr>
      <w:r>
        <w:rPr>
          <w:sz w:val="20"/>
        </w:rPr>
        <w:t>The Higher Education Council (HEC) is an association whose membership mainly comprises HEI</w:t>
      </w:r>
      <w:r>
        <w:rPr>
          <w:spacing w:val="-53"/>
          <w:sz w:val="20"/>
        </w:rPr>
        <w:t> </w:t>
      </w:r>
      <w:r>
        <w:rPr>
          <w:sz w:val="20"/>
        </w:rPr>
        <w:t>employees, appointed by</w:t>
      </w:r>
      <w:r>
        <w:rPr>
          <w:spacing w:val="-5"/>
          <w:sz w:val="20"/>
        </w:rPr>
        <w:t> </w:t>
      </w:r>
      <w:r>
        <w:rPr>
          <w:sz w:val="20"/>
        </w:rPr>
        <w:t>academic</w:t>
      </w:r>
      <w:r>
        <w:rPr>
          <w:spacing w:val="-1"/>
          <w:sz w:val="20"/>
        </w:rPr>
        <w:t> </w:t>
      </w:r>
      <w:r>
        <w:rPr>
          <w:sz w:val="20"/>
        </w:rPr>
        <w:t>senates,</w:t>
      </w:r>
      <w:r>
        <w:rPr>
          <w:spacing w:val="-2"/>
          <w:sz w:val="20"/>
        </w:rPr>
        <w:t> </w:t>
      </w:r>
      <w:r>
        <w:rPr>
          <w:sz w:val="20"/>
        </w:rPr>
        <w:t>either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HEI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faculty</w:t>
      </w:r>
      <w:r>
        <w:rPr>
          <w:spacing w:val="4"/>
          <w:sz w:val="20"/>
        </w:rPr>
        <w:t> </w:t>
      </w:r>
      <w:r>
        <w:rPr>
          <w:sz w:val="20"/>
        </w:rPr>
        <w:t>level.</w:t>
      </w:r>
    </w:p>
    <w:p>
      <w:pPr>
        <w:pStyle w:val="ListParagraph"/>
        <w:numPr>
          <w:ilvl w:val="0"/>
          <w:numId w:val="7"/>
        </w:numPr>
        <w:tabs>
          <w:tab w:pos="863" w:val="left" w:leader="none"/>
        </w:tabs>
        <w:spacing w:line="271" w:lineRule="auto" w:before="54" w:after="0"/>
        <w:ind w:left="862" w:right="306" w:hanging="339"/>
        <w:jc w:val="both"/>
        <w:rPr>
          <w:sz w:val="20"/>
        </w:rPr>
      </w:pPr>
      <w:r>
        <w:rPr>
          <w:sz w:val="20"/>
        </w:rPr>
        <w:t>The Student Higher Education Council (SHEC) is the highest representative body of higher</w:t>
      </w:r>
      <w:r>
        <w:rPr>
          <w:spacing w:val="1"/>
          <w:sz w:val="20"/>
        </w:rPr>
        <w:t> </w:t>
      </w:r>
      <w:r>
        <w:rPr>
          <w:sz w:val="20"/>
        </w:rPr>
        <w:t>education students in the Slovak Republic. It comprises two student representatives from each</w:t>
      </w:r>
      <w:r>
        <w:rPr>
          <w:spacing w:val="1"/>
          <w:sz w:val="20"/>
        </w:rPr>
        <w:t> </w:t>
      </w:r>
      <w:r>
        <w:rPr>
          <w:sz w:val="20"/>
        </w:rPr>
        <w:t>HEI.</w:t>
      </w:r>
      <w:r>
        <w:rPr>
          <w:spacing w:val="-9"/>
          <w:sz w:val="20"/>
        </w:rPr>
        <w:t> </w:t>
      </w:r>
      <w:r>
        <w:rPr>
          <w:sz w:val="20"/>
        </w:rPr>
        <w:t>One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student</w:t>
      </w:r>
      <w:r>
        <w:rPr>
          <w:spacing w:val="-8"/>
          <w:sz w:val="20"/>
        </w:rPr>
        <w:t> </w:t>
      </w:r>
      <w:r>
        <w:rPr>
          <w:sz w:val="20"/>
        </w:rPr>
        <w:t>representatives</w:t>
      </w:r>
      <w:r>
        <w:rPr>
          <w:spacing w:val="-7"/>
          <w:sz w:val="20"/>
        </w:rPr>
        <w:t> </w:t>
      </w:r>
      <w:r>
        <w:rPr>
          <w:sz w:val="20"/>
        </w:rPr>
        <w:t>is</w:t>
      </w:r>
      <w:r>
        <w:rPr>
          <w:spacing w:val="-8"/>
          <w:sz w:val="20"/>
        </w:rPr>
        <w:t> </w:t>
      </w:r>
      <w:r>
        <w:rPr>
          <w:sz w:val="20"/>
        </w:rPr>
        <w:t>elected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student</w:t>
      </w:r>
      <w:r>
        <w:rPr>
          <w:spacing w:val="-3"/>
          <w:sz w:val="20"/>
        </w:rPr>
        <w:t> </w:t>
      </w:r>
      <w:r>
        <w:rPr>
          <w:sz w:val="20"/>
        </w:rPr>
        <w:t>part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academic</w:t>
      </w:r>
      <w:r>
        <w:rPr>
          <w:spacing w:val="-9"/>
          <w:sz w:val="20"/>
        </w:rPr>
        <w:t> </w:t>
      </w:r>
      <w:r>
        <w:rPr>
          <w:sz w:val="20"/>
        </w:rPr>
        <w:t>senate,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is elected through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direct</w:t>
      </w:r>
      <w:r>
        <w:rPr>
          <w:spacing w:val="-1"/>
          <w:sz w:val="20"/>
        </w:rPr>
        <w:t> </w:t>
      </w:r>
      <w:r>
        <w:rPr>
          <w:sz w:val="20"/>
        </w:rPr>
        <w:t>vote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students of the</w:t>
      </w:r>
      <w:r>
        <w:rPr>
          <w:spacing w:val="1"/>
          <w:sz w:val="20"/>
        </w:rPr>
        <w:t> </w:t>
      </w:r>
      <w:r>
        <w:rPr>
          <w:sz w:val="20"/>
        </w:rPr>
        <w:t>HEI.</w:t>
      </w:r>
    </w:p>
    <w:p>
      <w:pPr>
        <w:pStyle w:val="ListParagraph"/>
        <w:numPr>
          <w:ilvl w:val="0"/>
          <w:numId w:val="7"/>
        </w:numPr>
        <w:tabs>
          <w:tab w:pos="863" w:val="left" w:leader="none"/>
        </w:tabs>
        <w:spacing w:line="271" w:lineRule="auto" w:before="43" w:after="0"/>
        <w:ind w:left="862" w:right="307" w:hanging="339"/>
        <w:jc w:val="both"/>
        <w:rPr>
          <w:sz w:val="20"/>
        </w:rPr>
      </w:pPr>
      <w:r>
        <w:rPr>
          <w:sz w:val="20"/>
        </w:rPr>
        <w:t>The Slovak Rectors Conference is a platform for all Slovak rectors and represents them in</w:t>
      </w:r>
      <w:r>
        <w:rPr>
          <w:spacing w:val="1"/>
          <w:sz w:val="20"/>
        </w:rPr>
        <w:t> </w:t>
      </w:r>
      <w:r>
        <w:rPr>
          <w:sz w:val="20"/>
        </w:rPr>
        <w:t>discussions with the MoE, the HEC and SHEC. In November 2020, nine rectors announced the</w:t>
      </w:r>
      <w:r>
        <w:rPr>
          <w:spacing w:val="1"/>
          <w:sz w:val="20"/>
        </w:rPr>
        <w:t> </w:t>
      </w:r>
      <w:r>
        <w:rPr>
          <w:sz w:val="20"/>
        </w:rPr>
        <w:t>creation of an alternative rectors’ platform, open to all interested in higher education reform</w:t>
      </w:r>
      <w:r>
        <w:rPr>
          <w:spacing w:val="1"/>
          <w:sz w:val="20"/>
        </w:rPr>
        <w:t> </w:t>
      </w:r>
      <w:r>
        <w:rPr>
          <w:sz w:val="20"/>
        </w:rPr>
        <w:t>(Alternatívna platforma</w:t>
      </w:r>
      <w:r>
        <w:rPr>
          <w:spacing w:val="-1"/>
          <w:sz w:val="20"/>
        </w:rPr>
        <w:t> </w:t>
      </w:r>
      <w:r>
        <w:rPr>
          <w:sz w:val="20"/>
        </w:rPr>
        <w:t>slovenských</w:t>
      </w:r>
      <w:r>
        <w:rPr>
          <w:spacing w:val="-2"/>
          <w:sz w:val="20"/>
        </w:rPr>
        <w:t> </w:t>
      </w:r>
      <w:r>
        <w:rPr>
          <w:sz w:val="20"/>
        </w:rPr>
        <w:t>rektoriek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rektorov).</w:t>
      </w:r>
    </w:p>
    <w:p>
      <w:pPr>
        <w:pStyle w:val="BodyText"/>
        <w:spacing w:line="271" w:lineRule="auto" w:before="123"/>
        <w:ind w:left="183" w:right="304"/>
        <w:jc w:val="both"/>
      </w:pPr>
      <w:r>
        <w:rPr/>
        <w:t>The</w:t>
      </w:r>
      <w:r>
        <w:rPr>
          <w:spacing w:val="-9"/>
        </w:rPr>
        <w:t> </w:t>
      </w:r>
      <w:r>
        <w:rPr/>
        <w:t>MoE</w:t>
      </w:r>
      <w:r>
        <w:rPr>
          <w:spacing w:val="-9"/>
        </w:rPr>
        <w:t> </w:t>
      </w:r>
      <w:r>
        <w:rPr/>
        <w:t>plays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crucial</w:t>
      </w:r>
      <w:r>
        <w:rPr>
          <w:spacing w:val="-10"/>
        </w:rPr>
        <w:t> </w:t>
      </w:r>
      <w:r>
        <w:rPr/>
        <w:t>role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steering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Slovak</w:t>
      </w:r>
      <w:r>
        <w:rPr>
          <w:spacing w:val="-7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system,</w:t>
      </w:r>
      <w:r>
        <w:rPr>
          <w:spacing w:val="-9"/>
        </w:rPr>
        <w:t> </w:t>
      </w:r>
      <w:r>
        <w:rPr/>
        <w:t>particularly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regard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53"/>
        </w:rPr>
        <w:t> </w:t>
      </w:r>
      <w:r>
        <w:rPr/>
        <w:t>public HEIs, which it funds. The MoE’s main policy lever is the annual allocation of public funding through</w:t>
      </w:r>
      <w:r>
        <w:rPr>
          <w:spacing w:val="-53"/>
        </w:rPr>
        <w:t> </w:t>
      </w:r>
      <w:r>
        <w:rPr/>
        <w:t>a formula, discussed in Chapter 3 (see in particular Table 3.4). The MoE also keeps the central registers</w:t>
      </w:r>
      <w:r>
        <w:rPr>
          <w:spacing w:val="1"/>
        </w:rPr>
        <w:t> </w:t>
      </w:r>
      <w:r>
        <w:rPr/>
        <w:t>of HEIs, HEIs consortia, and HEI study programmes, of higher education students and employees, of</w:t>
      </w:r>
      <w:r>
        <w:rPr>
          <w:spacing w:val="1"/>
        </w:rPr>
        <w:t> </w:t>
      </w:r>
      <w:r>
        <w:rPr/>
        <w:t>theses and publications and manages a financial information system for public HEIs called IS SOFIA. In</w:t>
      </w:r>
      <w:r>
        <w:rPr>
          <w:spacing w:val="1"/>
        </w:rPr>
        <w:t> </w:t>
      </w:r>
      <w:r>
        <w:rPr/>
        <w:t>addition, the ministry performs a monitoring role by issuing a comprehensive annual report with key</w:t>
      </w:r>
      <w:r>
        <w:rPr>
          <w:spacing w:val="1"/>
        </w:rPr>
        <w:t> </w:t>
      </w:r>
      <w:r>
        <w:rPr>
          <w:position w:val="1"/>
        </w:rPr>
        <w:t>information</w:t>
      </w:r>
      <w:r>
        <w:rPr>
          <w:spacing w:val="-10"/>
          <w:position w:val="1"/>
        </w:rPr>
        <w:t> </w:t>
      </w:r>
      <w:r>
        <w:rPr>
          <w:position w:val="1"/>
        </w:rPr>
        <w:t>and</w:t>
      </w:r>
      <w:r>
        <w:rPr>
          <w:spacing w:val="-8"/>
          <w:position w:val="1"/>
        </w:rPr>
        <w:t> </w:t>
      </w:r>
      <w:r>
        <w:rPr>
          <w:position w:val="1"/>
        </w:rPr>
        <w:t>data</w:t>
      </w:r>
      <w:r>
        <w:rPr>
          <w:spacing w:val="-9"/>
          <w:position w:val="1"/>
        </w:rPr>
        <w:t> </w:t>
      </w:r>
      <w:r>
        <w:rPr>
          <w:position w:val="1"/>
        </w:rPr>
        <w:t>on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higher</w:t>
      </w:r>
      <w:r>
        <w:rPr>
          <w:spacing w:val="-9"/>
          <w:position w:val="1"/>
        </w:rPr>
        <w:t> </w:t>
      </w:r>
      <w:r>
        <w:rPr>
          <w:position w:val="1"/>
        </w:rPr>
        <w:t>education</w:t>
      </w:r>
      <w:r>
        <w:rPr>
          <w:spacing w:val="-9"/>
          <w:position w:val="1"/>
        </w:rPr>
        <w:t> </w:t>
      </w:r>
      <w:r>
        <w:rPr>
          <w:position w:val="1"/>
        </w:rPr>
        <w:t>system</w:t>
      </w:r>
      <w:r>
        <w:rPr>
          <w:spacing w:val="-1"/>
          <w:position w:val="1"/>
        </w:rPr>
        <w:t> </w:t>
      </w:r>
      <w:r>
        <w:rPr>
          <w:position w:val="1"/>
        </w:rPr>
        <w:t>(MoE,</w:t>
      </w:r>
      <w:r>
        <w:rPr>
          <w:spacing w:val="-10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[15]</w:t>
      </w:r>
      <w:r>
        <w:rPr>
          <w:position w:val="1"/>
        </w:rPr>
        <w:t>).</w:t>
      </w:r>
      <w:r>
        <w:rPr>
          <w:spacing w:val="-9"/>
          <w:position w:val="1"/>
        </w:rPr>
        <w:t> </w:t>
      </w:r>
      <w:r>
        <w:rPr>
          <w:position w:val="1"/>
        </w:rPr>
        <w:t>The</w:t>
      </w:r>
      <w:r>
        <w:rPr>
          <w:spacing w:val="-8"/>
          <w:position w:val="1"/>
        </w:rPr>
        <w:t> </w:t>
      </w:r>
      <w:r>
        <w:rPr>
          <w:position w:val="1"/>
        </w:rPr>
        <w:t>Ministry</w:t>
      </w:r>
      <w:r>
        <w:rPr>
          <w:spacing w:val="-10"/>
          <w:position w:val="1"/>
        </w:rPr>
        <w:t> </w:t>
      </w:r>
      <w:r>
        <w:rPr>
          <w:position w:val="1"/>
        </w:rPr>
        <w:t>also</w:t>
      </w:r>
      <w:r>
        <w:rPr>
          <w:spacing w:val="-8"/>
          <w:position w:val="1"/>
        </w:rPr>
        <w:t> </w:t>
      </w:r>
      <w:r>
        <w:rPr>
          <w:position w:val="1"/>
        </w:rPr>
        <w:t>issues</w:t>
      </w:r>
      <w:r>
        <w:rPr>
          <w:spacing w:val="-9"/>
          <w:position w:val="1"/>
        </w:rPr>
        <w:t> </w:t>
      </w:r>
      <w:r>
        <w:rPr>
          <w:position w:val="1"/>
        </w:rPr>
        <w:t>regulations,</w:t>
      </w:r>
      <w:r>
        <w:rPr>
          <w:spacing w:val="-53"/>
          <w:position w:val="1"/>
        </w:rPr>
        <w:t> </w:t>
      </w:r>
      <w:r>
        <w:rPr/>
        <w:t>policies and procedures and communicates related changes to HEIs, such as instructions for accounting,</w:t>
      </w:r>
      <w:r>
        <w:rPr>
          <w:spacing w:val="-53"/>
        </w:rPr>
        <w:t> </w:t>
      </w:r>
      <w:r>
        <w:rPr/>
        <w:t>tuition fees,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keeping</w:t>
      </w:r>
      <w:r>
        <w:rPr>
          <w:spacing w:val="-2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records</w:t>
      </w:r>
      <w:r>
        <w:rPr>
          <w:spacing w:val="1"/>
        </w:rPr>
        <w:t> </w:t>
      </w:r>
      <w:r>
        <w:rPr/>
        <w:t>of students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publications.</w:t>
      </w:r>
    </w:p>
    <w:p>
      <w:pPr>
        <w:pStyle w:val="BodyText"/>
        <w:spacing w:line="271" w:lineRule="auto" w:before="122"/>
        <w:ind w:left="183" w:right="311"/>
        <w:jc w:val="both"/>
      </w:pPr>
      <w:r>
        <w:rPr/>
        <w:t>Substantial changes in higher education policy require legislative amendments to the HE Act or the</w:t>
      </w:r>
      <w:r>
        <w:rPr>
          <w:spacing w:val="1"/>
        </w:rPr>
        <w:t> </w:t>
      </w:r>
      <w:r>
        <w:rPr>
          <w:spacing w:val="-1"/>
        </w:rPr>
        <w:t>introduction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new</w:t>
      </w:r>
      <w:r>
        <w:rPr>
          <w:spacing w:val="-12"/>
        </w:rPr>
        <w:t> </w:t>
      </w:r>
      <w:r>
        <w:rPr>
          <w:spacing w:val="-1"/>
        </w:rPr>
        <w:t>acts,</w:t>
      </w:r>
      <w:r>
        <w:rPr>
          <w:spacing w:val="-11"/>
        </w:rPr>
        <w:t> </w:t>
      </w:r>
      <w:r>
        <w:rPr>
          <w:spacing w:val="-1"/>
        </w:rPr>
        <w:t>such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2018</w:t>
      </w:r>
      <w:r>
        <w:rPr>
          <w:spacing w:val="-11"/>
        </w:rPr>
        <w:t> </w:t>
      </w:r>
      <w:r>
        <w:rPr>
          <w:spacing w:val="-1"/>
        </w:rPr>
        <w:t>Act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Quality</w:t>
      </w:r>
      <w:r>
        <w:rPr>
          <w:spacing w:val="-14"/>
        </w:rPr>
        <w:t> </w:t>
      </w:r>
      <w:r>
        <w:rPr>
          <w:spacing w:val="-1"/>
        </w:rPr>
        <w:t>Assurance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Education,</w:t>
      </w:r>
      <w:r>
        <w:rPr>
          <w:spacing w:val="-11"/>
        </w:rPr>
        <w:t> </w:t>
      </w:r>
      <w:r>
        <w:rPr/>
        <w:t>discussed</w:t>
      </w:r>
      <w:r>
        <w:rPr>
          <w:spacing w:val="-10"/>
        </w:rPr>
        <w:t> </w:t>
      </w:r>
      <w:r>
        <w:rPr/>
        <w:t>below.</w:t>
      </w:r>
      <w:r>
        <w:rPr>
          <w:spacing w:val="1"/>
        </w:rPr>
        <w:t> </w:t>
      </w:r>
      <w:r>
        <w:rPr/>
        <w:t>Amendments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HE</w:t>
      </w:r>
      <w:r>
        <w:rPr>
          <w:spacing w:val="10"/>
        </w:rPr>
        <w:t> </w:t>
      </w:r>
      <w:r>
        <w:rPr/>
        <w:t>Act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relatively</w:t>
      </w:r>
      <w:r>
        <w:rPr>
          <w:spacing w:val="8"/>
        </w:rPr>
        <w:t> </w:t>
      </w:r>
      <w:r>
        <w:rPr/>
        <w:t>frequent,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five</w:t>
      </w:r>
      <w:r>
        <w:rPr>
          <w:spacing w:val="11"/>
        </w:rPr>
        <w:t> </w:t>
      </w:r>
      <w:r>
        <w:rPr/>
        <w:t>changes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Act</w:t>
      </w:r>
      <w:r>
        <w:rPr>
          <w:spacing w:val="14"/>
        </w:rPr>
        <w:t> </w:t>
      </w:r>
      <w:r>
        <w:rPr/>
        <w:t>made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2019.</w:t>
      </w:r>
      <w:r>
        <w:rPr>
          <w:spacing w:val="14"/>
        </w:rPr>
        <w:t> </w:t>
      </w:r>
      <w:r>
        <w:rPr/>
        <w:t>In</w:t>
      </w:r>
      <w:r>
        <w:rPr>
          <w:spacing w:val="11"/>
        </w:rPr>
        <w:t> </w:t>
      </w:r>
      <w:r>
        <w:rPr/>
        <w:t>2020,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/>
      </w:pPr>
      <w:r>
        <w:rPr/>
        <w:t>changes</w:t>
      </w:r>
      <w:r>
        <w:rPr>
          <w:spacing w:val="27"/>
        </w:rPr>
        <w:t> </w:t>
      </w:r>
      <w:r>
        <w:rPr/>
        <w:t>were</w:t>
      </w:r>
      <w:r>
        <w:rPr>
          <w:spacing w:val="25"/>
        </w:rPr>
        <w:t> </w:t>
      </w:r>
      <w:r>
        <w:rPr/>
        <w:t>made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accommodate</w:t>
      </w:r>
      <w:r>
        <w:rPr>
          <w:spacing w:val="25"/>
        </w:rPr>
        <w:t> </w:t>
      </w:r>
      <w:r>
        <w:rPr/>
        <w:t>responses</w:t>
      </w:r>
      <w:r>
        <w:rPr>
          <w:spacing w:val="26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COVID-19</w:t>
      </w:r>
      <w:r>
        <w:rPr>
          <w:spacing w:val="27"/>
        </w:rPr>
        <w:t> </w:t>
      </w:r>
      <w:r>
        <w:rPr/>
        <w:t>crisis,</w:t>
      </w:r>
      <w:r>
        <w:rPr>
          <w:spacing w:val="25"/>
        </w:rPr>
        <w:t> </w:t>
      </w:r>
      <w:r>
        <w:rPr/>
        <w:t>notably</w:t>
      </w:r>
      <w:r>
        <w:rPr>
          <w:spacing w:val="25"/>
        </w:rPr>
        <w:t> </w:t>
      </w:r>
      <w:r>
        <w:rPr/>
        <w:t>authorising</w:t>
      </w:r>
      <w:r>
        <w:rPr>
          <w:spacing w:val="25"/>
        </w:rPr>
        <w:t> </w:t>
      </w:r>
      <w:r>
        <w:rPr/>
        <w:t>distance</w:t>
      </w:r>
      <w:r>
        <w:rPr>
          <w:spacing w:val="-53"/>
        </w:rPr>
        <w:t> </w:t>
      </w:r>
      <w:r>
        <w:rPr/>
        <w:t>education activities</w:t>
      </w:r>
      <w:r>
        <w:rPr>
          <w:spacing w:val="1"/>
        </w:rPr>
        <w:t> </w:t>
      </w:r>
      <w:r>
        <w:rPr/>
        <w:t>and prolonging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elected</w:t>
      </w:r>
      <w:r>
        <w:rPr>
          <w:spacing w:val="-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line="273" w:lineRule="auto" w:before="118"/>
        <w:ind w:left="183"/>
      </w:pPr>
      <w:r>
        <w:rPr/>
        <w:t>In</w:t>
      </w:r>
      <w:r>
        <w:rPr>
          <w:spacing w:val="14"/>
        </w:rPr>
        <w:t> </w:t>
      </w:r>
      <w:r>
        <w:rPr/>
        <w:t>addition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MoE,</w:t>
      </w:r>
      <w:r>
        <w:rPr>
          <w:spacing w:val="17"/>
        </w:rPr>
        <w:t> </w:t>
      </w:r>
      <w:r>
        <w:rPr/>
        <w:t>several</w:t>
      </w:r>
      <w:r>
        <w:rPr>
          <w:spacing w:val="13"/>
        </w:rPr>
        <w:t> </w:t>
      </w:r>
      <w:r>
        <w:rPr/>
        <w:t>government</w:t>
      </w:r>
      <w:r>
        <w:rPr>
          <w:spacing w:val="15"/>
        </w:rPr>
        <w:t> </w:t>
      </w:r>
      <w:r>
        <w:rPr/>
        <w:t>agencies</w:t>
      </w:r>
      <w:r>
        <w:rPr>
          <w:spacing w:val="17"/>
        </w:rPr>
        <w:t> </w:t>
      </w:r>
      <w:r>
        <w:rPr/>
        <w:t>play</w:t>
      </w:r>
      <w:r>
        <w:rPr>
          <w:spacing w:val="14"/>
        </w:rPr>
        <w:t> </w:t>
      </w:r>
      <w:r>
        <w:rPr/>
        <w:t>an</w:t>
      </w:r>
      <w:r>
        <w:rPr>
          <w:spacing w:val="17"/>
        </w:rPr>
        <w:t> </w:t>
      </w:r>
      <w:r>
        <w:rPr/>
        <w:t>essential</w:t>
      </w:r>
      <w:r>
        <w:rPr>
          <w:spacing w:val="15"/>
        </w:rPr>
        <w:t> </w:t>
      </w:r>
      <w:r>
        <w:rPr/>
        <w:t>role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Slovak</w:t>
      </w:r>
      <w:r>
        <w:rPr>
          <w:spacing w:val="18"/>
        </w:rPr>
        <w:t> </w:t>
      </w:r>
      <w:r>
        <w:rPr/>
        <w:t>higher</w:t>
      </w:r>
      <w:r>
        <w:rPr>
          <w:spacing w:val="16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policy, as presented</w:t>
      </w:r>
      <w:r>
        <w:rPr>
          <w:spacing w:val="1"/>
        </w:rPr>
        <w:t> </w:t>
      </w:r>
      <w:r>
        <w:rPr/>
        <w:t>in </w:t>
      </w:r>
      <w:hyperlink w:history="true" w:anchor="_bookmark17">
        <w:r>
          <w:rPr/>
          <w:t>Table 2.1.</w:t>
        </w:r>
      </w:hyperlink>
    </w:p>
    <w:p>
      <w:pPr>
        <w:pStyle w:val="BodyText"/>
        <w:spacing w:before="7"/>
        <w:rPr>
          <w:sz w:val="28"/>
        </w:rPr>
      </w:pPr>
    </w:p>
    <w:p>
      <w:pPr>
        <w:spacing w:before="0"/>
        <w:ind w:left="183" w:right="0" w:firstLine="0"/>
        <w:jc w:val="left"/>
        <w:rPr>
          <w:rFonts w:ascii="Arial"/>
          <w:b/>
          <w:sz w:val="24"/>
        </w:rPr>
      </w:pPr>
      <w:bookmarkStart w:name="_bookmark17" w:id="46"/>
      <w:bookmarkEnd w:id="46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2.1.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government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agencies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that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play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role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</w:p>
    <w:p>
      <w:pPr>
        <w:pStyle w:val="BodyText"/>
        <w:rPr>
          <w:rFonts w:ascii="Arial"/>
          <w:b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5713"/>
      </w:tblGrid>
      <w:tr>
        <w:trPr>
          <w:trHeight w:val="238" w:hRule="atLeast"/>
        </w:trPr>
        <w:tc>
          <w:tcPr>
            <w:tcW w:w="3435" w:type="dxa"/>
            <w:tcBorders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1448" w:right="139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Agency</w:t>
            </w:r>
          </w:p>
        </w:tc>
        <w:tc>
          <w:tcPr>
            <w:tcW w:w="5713" w:type="dxa"/>
            <w:tcBorders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189" w:lineRule="exact" w:before="30"/>
              <w:ind w:left="2676" w:right="26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Role</w:t>
            </w:r>
          </w:p>
        </w:tc>
      </w:tr>
      <w:tr>
        <w:trPr>
          <w:trHeight w:val="1031" w:hRule="atLeast"/>
        </w:trPr>
        <w:tc>
          <w:tcPr>
            <w:tcW w:w="3435" w:type="dxa"/>
            <w:tcBorders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7" w:lineRule="auto"/>
              <w:ind w:left="136"/>
              <w:rPr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Research Agency (RA)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hyperlink r:id="rId65">
              <w:r>
                <w:rPr>
                  <w:rFonts w:ascii="Microsoft Sans Serif"/>
                  <w:w w:val="80"/>
                  <w:sz w:val="17"/>
                </w:rPr>
                <w:t>(</w:t>
              </w:r>
              <w:r>
                <w:rPr>
                  <w:rFonts w:ascii="Microsoft Sans Serif"/>
                  <w:color w:val="0000FF"/>
                  <w:w w:val="80"/>
                  <w:sz w:val="17"/>
                  <w:u w:val="single" w:color="0000FF"/>
                </w:rPr>
                <w:t>http://www.vyskumnaagentura.sk/en</w:t>
              </w:r>
              <w:r>
                <w:rPr>
                  <w:rFonts w:ascii="Microsoft Sans Serif"/>
                  <w:color w:val="0000FF"/>
                  <w:w w:val="80"/>
                  <w:sz w:val="17"/>
                </w:rPr>
                <w:t>/</w:t>
              </w:r>
              <w:r>
                <w:rPr>
                  <w:w w:val="80"/>
                  <w:sz w:val="17"/>
                </w:rPr>
                <w:t>)</w:t>
              </w:r>
            </w:hyperlink>
          </w:p>
        </w:tc>
        <w:tc>
          <w:tcPr>
            <w:tcW w:w="5713" w:type="dxa"/>
            <w:tcBorders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15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RA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grant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bilaterally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administered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Ministry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Economy.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RA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administers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allocation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under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Operational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Programme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Innovation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hyperlink r:id="rId66">
              <w:r>
                <w:rPr>
                  <w:rFonts w:ascii="Microsoft Sans Serif"/>
                  <w:w w:val="80"/>
                  <w:sz w:val="17"/>
                </w:rPr>
                <w:t>(</w:t>
              </w:r>
              <w:r>
                <w:rPr>
                  <w:rFonts w:ascii="Microsoft Sans Serif"/>
                  <w:color w:val="0000FF"/>
                  <w:w w:val="80"/>
                  <w:sz w:val="17"/>
                  <w:u w:val="single" w:color="0000FF"/>
                </w:rPr>
                <w:t>https://www.opvai.sk/</w:t>
              </w:r>
              <w:r>
                <w:rPr>
                  <w:rFonts w:ascii="Microsoft Sans Serif"/>
                  <w:w w:val="80"/>
                  <w:sz w:val="17"/>
                </w:rPr>
                <w:t>)</w:t>
              </w:r>
            </w:hyperlink>
            <w:r>
              <w:rPr>
                <w:rFonts w:ascii="Microsoft Sans Serif"/>
                <w:w w:val="80"/>
                <w:sz w:val="17"/>
              </w:rPr>
              <w:t>.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issues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calls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larger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proposals,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including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investment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supporting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public-private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</w:p>
          <w:p>
            <w:pPr>
              <w:pStyle w:val="TableParagraph"/>
              <w:spacing w:before="1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collaborations.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annual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allocation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RA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not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published.</w:t>
            </w:r>
          </w:p>
        </w:tc>
      </w:tr>
      <w:tr>
        <w:trPr>
          <w:trHeight w:val="1430" w:hRule="atLeast"/>
        </w:trPr>
        <w:tc>
          <w:tcPr>
            <w:tcW w:w="3435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76" w:lineRule="auto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Development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(APVV)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hyperlink r:id="rId67">
              <w:r>
                <w:rPr>
                  <w:rFonts w:ascii="Microsoft Sans Serif"/>
                  <w:w w:val="90"/>
                  <w:sz w:val="17"/>
                </w:rPr>
                <w:t>(</w:t>
              </w:r>
              <w:r>
                <w:rPr>
                  <w:rFonts w:ascii="Microsoft Sans Serif"/>
                  <w:color w:val="0000FF"/>
                  <w:w w:val="90"/>
                  <w:sz w:val="17"/>
                  <w:u w:val="single" w:color="0000FF"/>
                </w:rPr>
                <w:t>https://www.apvv.sk/?lang=en</w:t>
              </w:r>
              <w:r>
                <w:rPr>
                  <w:rFonts w:ascii="Microsoft Sans Serif"/>
                  <w:w w:val="90"/>
                  <w:sz w:val="17"/>
                </w:rPr>
                <w:t>)</w:t>
              </w:r>
            </w:hyperlink>
          </w:p>
        </w:tc>
        <w:tc>
          <w:tcPr>
            <w:tcW w:w="571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APVV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smaller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grant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that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particular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activities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well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international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collaborations.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APVV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usually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supports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middle-sized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up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250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000.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2018,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APVV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39.2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million,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which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21.35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million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was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HEIs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(Statistical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Office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Republic,</w:t>
            </w:r>
            <w:r>
              <w:rPr>
                <w:rFonts w:ascii="Microsoft Sans Serif"/>
                <w:spacing w:val="10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2019</w:t>
            </w:r>
            <w:r>
              <w:rPr>
                <w:rFonts w:ascii="Microsoft Sans Serif"/>
                <w:w w:val="80"/>
                <w:sz w:val="11"/>
              </w:rPr>
              <w:t>[19]</w:t>
            </w:r>
            <w:r>
              <w:rPr>
                <w:rFonts w:ascii="Microsoft Sans Serif"/>
                <w:w w:val="80"/>
                <w:position w:val="1"/>
                <w:sz w:val="17"/>
              </w:rPr>
              <w:t>).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Allocation</w:t>
            </w:r>
            <w:r>
              <w:rPr>
                <w:rFonts w:ascii="Microsoft Sans Serif"/>
                <w:spacing w:val="6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channeled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through</w:t>
            </w:r>
            <w:r>
              <w:rPr>
                <w:rFonts w:ascii="Microsoft Sans Serif"/>
                <w:spacing w:val="10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APVV</w:t>
            </w:r>
            <w:r>
              <w:rPr>
                <w:rFonts w:ascii="Microsoft Sans Serif"/>
                <w:spacing w:val="8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was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volatile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in</w:t>
            </w:r>
            <w:r>
              <w:rPr>
                <w:rFonts w:ascii="Microsoft Sans Serif"/>
                <w:spacing w:val="9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time,</w:t>
            </w:r>
            <w:r>
              <w:rPr>
                <w:rFonts w:ascii="Microsoft Sans Serif"/>
                <w:spacing w:val="8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though</w:t>
            </w:r>
            <w:r>
              <w:rPr>
                <w:rFonts w:ascii="Microsoft Sans Serif"/>
                <w:spacing w:val="9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the</w:t>
            </w:r>
            <w:r>
              <w:rPr>
                <w:rFonts w:ascii="Microsoft Sans Serif"/>
                <w:spacing w:val="1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transparency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decision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process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considered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higher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comparison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Scientific,</w:t>
            </w:r>
          </w:p>
          <w:p>
            <w:pPr>
              <w:pStyle w:val="TableParagraph"/>
              <w:spacing w:line="192" w:lineRule="exact" w:before="0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position w:val="1"/>
                <w:sz w:val="17"/>
              </w:rPr>
              <w:t>Cultural</w:t>
            </w:r>
            <w:r>
              <w:rPr>
                <w:rFonts w:ascii="Microsoft Sans Serif"/>
                <w:spacing w:val="12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Educational</w:t>
            </w:r>
            <w:r>
              <w:rPr>
                <w:rFonts w:ascii="Microsoft Sans Serif"/>
                <w:spacing w:val="10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Grant</w:t>
            </w:r>
            <w:r>
              <w:rPr>
                <w:rFonts w:ascii="Microsoft Sans Serif"/>
                <w:spacing w:val="12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Agencies</w:t>
            </w:r>
            <w:r>
              <w:rPr>
                <w:rFonts w:ascii="Microsoft Sans Serif"/>
                <w:spacing w:val="11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(VEGA</w:t>
            </w:r>
            <w:r>
              <w:rPr>
                <w:rFonts w:ascii="Microsoft Sans Serif"/>
                <w:spacing w:val="10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or</w:t>
            </w:r>
            <w:r>
              <w:rPr>
                <w:rFonts w:ascii="Microsoft Sans Serif"/>
                <w:spacing w:val="9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KEGA)</w:t>
            </w:r>
            <w:r>
              <w:rPr>
                <w:rFonts w:ascii="Microsoft Sans Serif"/>
                <w:spacing w:val="8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(MoE,</w:t>
            </w:r>
            <w:r>
              <w:rPr>
                <w:rFonts w:ascii="Microsoft Sans Serif"/>
                <w:spacing w:val="10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2016</w:t>
            </w:r>
            <w:r>
              <w:rPr>
                <w:rFonts w:ascii="Microsoft Sans Serif"/>
                <w:w w:val="80"/>
                <w:sz w:val="11"/>
              </w:rPr>
              <w:t>[20]</w:t>
            </w:r>
            <w:r>
              <w:rPr>
                <w:rFonts w:ascii="Microsoft Sans Serif"/>
                <w:w w:val="80"/>
                <w:position w:val="1"/>
                <w:sz w:val="17"/>
              </w:rPr>
              <w:t>).</w:t>
            </w:r>
          </w:p>
        </w:tc>
      </w:tr>
      <w:tr>
        <w:trPr>
          <w:trHeight w:val="2250" w:hRule="atLeast"/>
        </w:trPr>
        <w:tc>
          <w:tcPr>
            <w:tcW w:w="3435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Scientific,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Cultural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Educational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Grant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Agencies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(VEGA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and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KEGA)</w:t>
            </w:r>
          </w:p>
          <w:p>
            <w:pPr>
              <w:pStyle w:val="TableParagraph"/>
              <w:spacing w:line="254" w:lineRule="auto" w:before="14"/>
              <w:ind w:left="136" w:right="275"/>
              <w:rPr>
                <w:rFonts w:ascii="Microsoft Sans Serif"/>
                <w:sz w:val="17"/>
              </w:rPr>
            </w:pPr>
            <w:hyperlink r:id="rId68">
              <w:r>
                <w:rPr>
                  <w:rFonts w:ascii="Microsoft Sans Serif"/>
                  <w:w w:val="80"/>
                  <w:sz w:val="17"/>
                </w:rPr>
                <w:t>(</w:t>
              </w:r>
              <w:r>
                <w:rPr>
                  <w:rFonts w:ascii="Microsoft Sans Serif"/>
                  <w:color w:val="0000FF"/>
                  <w:w w:val="80"/>
                  <w:sz w:val="17"/>
                  <w:u w:val="single" w:color="0000FF"/>
                </w:rPr>
                <w:t>https://www.minedu.sk/podpora-vysokoskolskej</w:t>
              </w:r>
              <w:r>
                <w:rPr>
                  <w:rFonts w:ascii="Microsoft Sans Serif"/>
                  <w:color w:val="0000FF"/>
                  <w:w w:val="80"/>
                  <w:sz w:val="17"/>
                </w:rPr>
                <w:t>-</w:t>
              </w:r>
            </w:hyperlink>
            <w:r>
              <w:rPr>
                <w:rFonts w:ascii="Microsoft Sans Serif"/>
                <w:color w:val="0000FF"/>
                <w:spacing w:val="1"/>
                <w:w w:val="80"/>
                <w:sz w:val="17"/>
              </w:rPr>
              <w:t> </w:t>
            </w:r>
            <w:hyperlink r:id="rId68">
              <w:r>
                <w:rPr>
                  <w:rFonts w:ascii="Microsoft Sans Serif"/>
                  <w:color w:val="0000FF"/>
                  <w:w w:val="90"/>
                  <w:sz w:val="17"/>
                  <w:u w:val="single" w:color="0000FF"/>
                </w:rPr>
                <w:t>vedy-a-techniky-vega-kega</w:t>
              </w:r>
              <w:r>
                <w:rPr>
                  <w:rFonts w:ascii="Microsoft Sans Serif"/>
                  <w:color w:val="0000FF"/>
                  <w:w w:val="90"/>
                  <w:sz w:val="17"/>
                </w:rPr>
                <w:t>/</w:t>
              </w:r>
              <w:r>
                <w:rPr>
                  <w:rFonts w:ascii="Microsoft Sans Serif"/>
                  <w:w w:val="90"/>
                  <w:sz w:val="17"/>
                </w:rPr>
                <w:t>)</w:t>
              </w:r>
            </w:hyperlink>
          </w:p>
        </w:tc>
        <w:tc>
          <w:tcPr>
            <w:tcW w:w="571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15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VEGA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KEGA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are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from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state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contribution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HEIs,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items,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with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total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allocation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being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annually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published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MoE.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VEGA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also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co-financed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from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resources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(a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different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item</w:t>
            </w:r>
            <w:r>
              <w:rPr>
                <w:rFonts w:asci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in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the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state</w:t>
            </w:r>
            <w:r>
              <w:rPr>
                <w:rFonts w:asci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budget).</w:t>
            </w:r>
          </w:p>
          <w:p>
            <w:pPr>
              <w:pStyle w:val="TableParagraph"/>
              <w:spacing w:line="249" w:lineRule="auto" w:before="18"/>
              <w:ind w:left="114" w:right="15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VEGA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KEGA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small-scale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research,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cultural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educational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projects,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with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usual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annual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budgets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few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thousand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euros,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covering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everyday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expenses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research,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cultural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teaching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activities.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KEGA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focused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supporting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cultural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educational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activities,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VEGA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activities.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2020,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KEGA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allocated</w:t>
            </w:r>
          </w:p>
          <w:p>
            <w:pPr>
              <w:pStyle w:val="TableParagraph"/>
              <w:spacing w:line="252" w:lineRule="auto" w:before="0"/>
              <w:ind w:left="114" w:right="15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position w:val="1"/>
                <w:sz w:val="17"/>
              </w:rPr>
              <w:t>EUR</w:t>
            </w:r>
            <w:r>
              <w:rPr>
                <w:rFonts w:ascii="Microsoft Sans Serif"/>
                <w:spacing w:val="8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4.4</w:t>
            </w:r>
            <w:r>
              <w:rPr>
                <w:rFonts w:ascii="Microsoft Sans Serif"/>
                <w:spacing w:val="6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million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to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cover</w:t>
            </w:r>
            <w:r>
              <w:rPr>
                <w:rFonts w:ascii="Microsoft Sans Serif"/>
                <w:spacing w:val="10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505</w:t>
            </w:r>
            <w:r>
              <w:rPr>
                <w:rFonts w:ascii="Microsoft Sans Serif"/>
                <w:spacing w:val="9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projects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of</w:t>
            </w:r>
            <w:r>
              <w:rPr>
                <w:rFonts w:ascii="Microsoft Sans Serif"/>
                <w:spacing w:val="11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public</w:t>
            </w:r>
            <w:r>
              <w:rPr>
                <w:rFonts w:ascii="Microsoft Sans Serif"/>
                <w:spacing w:val="8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HEIs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(KEGA,</w:t>
            </w:r>
            <w:r>
              <w:rPr>
                <w:rFonts w:ascii="Microsoft Sans Serif"/>
                <w:spacing w:val="9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2020</w:t>
            </w:r>
            <w:r>
              <w:rPr>
                <w:rFonts w:ascii="Microsoft Sans Serif"/>
                <w:w w:val="80"/>
                <w:sz w:val="11"/>
              </w:rPr>
              <w:t>[21]</w:t>
            </w:r>
            <w:r>
              <w:rPr>
                <w:rFonts w:ascii="Microsoft Sans Serif"/>
                <w:w w:val="80"/>
                <w:position w:val="1"/>
                <w:sz w:val="17"/>
              </w:rPr>
              <w:t>).</w:t>
            </w:r>
            <w:r>
              <w:rPr>
                <w:rFonts w:ascii="Microsoft Sans Serif"/>
                <w:spacing w:val="7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In</w:t>
            </w:r>
            <w:r>
              <w:rPr>
                <w:rFonts w:ascii="Microsoft Sans Serif"/>
                <w:spacing w:val="9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2019,</w:t>
            </w:r>
            <w:r>
              <w:rPr>
                <w:rFonts w:ascii="Microsoft Sans Serif"/>
                <w:spacing w:val="11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VEGA</w:t>
            </w:r>
            <w:r>
              <w:rPr>
                <w:rFonts w:ascii="Microsoft Sans Serif"/>
                <w:spacing w:val="-33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11.75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million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HEIs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4.5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million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Academy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</w:p>
          <w:p>
            <w:pPr>
              <w:pStyle w:val="TableParagraph"/>
              <w:spacing w:line="192" w:lineRule="exact" w:before="0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position w:val="1"/>
                <w:sz w:val="17"/>
              </w:rPr>
              <w:t>Sciences</w:t>
            </w:r>
            <w:r>
              <w:rPr>
                <w:rFonts w:ascii="Microsoft Sans Serif"/>
                <w:spacing w:val="9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(VEGA,</w:t>
            </w:r>
            <w:r>
              <w:rPr>
                <w:rFonts w:ascii="Microsoft Sans Serif"/>
                <w:spacing w:val="11"/>
                <w:w w:val="80"/>
                <w:position w:val="1"/>
                <w:sz w:val="17"/>
              </w:rPr>
              <w:t> </w:t>
            </w:r>
            <w:r>
              <w:rPr>
                <w:rFonts w:ascii="Microsoft Sans Serif"/>
                <w:w w:val="80"/>
                <w:position w:val="1"/>
                <w:sz w:val="17"/>
              </w:rPr>
              <w:t>2020</w:t>
            </w:r>
            <w:r>
              <w:rPr>
                <w:rFonts w:ascii="Microsoft Sans Serif"/>
                <w:w w:val="80"/>
                <w:sz w:val="11"/>
              </w:rPr>
              <w:t>[22]</w:t>
            </w:r>
            <w:r>
              <w:rPr>
                <w:rFonts w:ascii="Microsoft Sans Serif"/>
                <w:w w:val="80"/>
                <w:position w:val="1"/>
                <w:sz w:val="17"/>
              </w:rPr>
              <w:t>).</w:t>
            </w:r>
          </w:p>
        </w:tc>
      </w:tr>
      <w:tr>
        <w:trPr>
          <w:trHeight w:val="2930" w:hRule="atLeast"/>
        </w:trPr>
        <w:tc>
          <w:tcPr>
            <w:tcW w:w="3435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61" w:lineRule="auto" w:before="16"/>
              <w:ind w:left="136" w:right="75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Centre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Scientific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Technical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Information (CVTI)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hyperlink r:id="rId69">
              <w:r>
                <w:rPr>
                  <w:rFonts w:ascii="Microsoft Sans Serif"/>
                  <w:w w:val="90"/>
                  <w:sz w:val="17"/>
                </w:rPr>
                <w:t>(</w:t>
              </w:r>
              <w:r>
                <w:rPr>
                  <w:rFonts w:ascii="Microsoft Sans Serif"/>
                  <w:color w:val="0000FF"/>
                  <w:w w:val="90"/>
                  <w:sz w:val="17"/>
                  <w:u w:val="single" w:color="0000FF"/>
                </w:rPr>
                <w:t>https://www.cvtisr.sk</w:t>
              </w:r>
              <w:r>
                <w:rPr>
                  <w:rFonts w:ascii="Microsoft Sans Serif"/>
                  <w:color w:val="0000FF"/>
                  <w:w w:val="90"/>
                  <w:sz w:val="17"/>
                </w:rPr>
                <w:t>/</w:t>
              </w:r>
              <w:r>
                <w:rPr>
                  <w:rFonts w:ascii="Microsoft Sans Serif"/>
                  <w:w w:val="90"/>
                  <w:sz w:val="17"/>
                </w:rPr>
                <w:t>)</w:t>
              </w:r>
            </w:hyperlink>
          </w:p>
        </w:tc>
        <w:tc>
          <w:tcPr>
            <w:tcW w:w="571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 w:before="16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CVTI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hosts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librarian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services,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including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registers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publications,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facilitates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access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international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databases.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open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access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publishing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plays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co-ordinating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role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international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collaboration.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notably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initiated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nationwide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ethics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initiative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within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SK4EAR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project.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also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collects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processes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statistics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educational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sector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(e.g.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number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students,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graduates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teachers).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Since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2014,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CVTI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integrated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Institute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Information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Prognosis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Education,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responsible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collecting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educational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statistics.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area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higher</w:t>
            </w:r>
            <w:r>
              <w:rPr>
                <w:rFonts w:asci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education,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these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include: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4" w:val="left" w:leader="none"/>
                <w:tab w:pos="835" w:val="left" w:leader="none"/>
              </w:tabs>
              <w:spacing w:line="240" w:lineRule="auto" w:before="19" w:after="0"/>
              <w:ind w:left="834" w:right="0" w:hanging="361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admission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HEIs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(including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applicants,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accepted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enrolled)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4" w:val="left" w:leader="none"/>
                <w:tab w:pos="835" w:val="left" w:leader="none"/>
              </w:tabs>
              <w:spacing w:line="240" w:lineRule="auto" w:before="28" w:after="0"/>
              <w:ind w:left="834" w:right="0" w:hanging="361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numbers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HEI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students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graduates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4" w:val="left" w:leader="none"/>
                <w:tab w:pos="835" w:val="left" w:leader="none"/>
              </w:tabs>
              <w:spacing w:line="240" w:lineRule="auto" w:before="29" w:after="0"/>
              <w:ind w:left="834" w:right="0" w:hanging="361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numbers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HEI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employees,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working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hours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salaries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4" w:val="left" w:leader="none"/>
                <w:tab w:pos="835" w:val="left" w:leader="none"/>
              </w:tabs>
              <w:spacing w:line="240" w:lineRule="auto" w:before="26" w:after="0"/>
              <w:ind w:left="834" w:right="0" w:hanging="361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HEIs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financing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4" w:val="left" w:leader="none"/>
                <w:tab w:pos="835" w:val="left" w:leader="none"/>
              </w:tabs>
              <w:spacing w:line="200" w:lineRule="atLeast" w:before="18" w:after="0"/>
              <w:ind w:left="834" w:right="96" w:hanging="36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basic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information on social and economic conditions of HEI students (during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study</w:t>
            </w:r>
            <w:r>
              <w:rPr>
                <w:rFonts w:ascii="Microsoft Sans Serif" w:hAnsi="Microsoft Sans Serif"/>
                <w:spacing w:val="-5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-5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shortly</w:t>
            </w: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after</w:t>
            </w:r>
            <w:r>
              <w:rPr>
                <w:rFonts w:ascii="Microsoft Sans Serif" w:hAnsi="Microsoft Sans Serif"/>
                <w:spacing w:val="-5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graduation</w:t>
            </w: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through</w:t>
            </w:r>
            <w:r>
              <w:rPr>
                <w:rFonts w:ascii="Microsoft Sans Serif" w:hAnsi="Microsoft Sans Serif"/>
                <w:spacing w:val="-5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tracking</w:t>
            </w:r>
            <w:r>
              <w:rPr>
                <w:rFonts w:ascii="Microsoft Sans Serif" w:hAnsi="Microsoft Sans Serif"/>
                <w:spacing w:val="-5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tool).</w:t>
            </w:r>
          </w:p>
        </w:tc>
      </w:tr>
      <w:tr>
        <w:trPr>
          <w:trHeight w:val="830" w:hRule="atLeast"/>
        </w:trPr>
        <w:tc>
          <w:tcPr>
            <w:tcW w:w="3435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61" w:lineRule="auto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National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Institute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Certified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Educational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Measurements (NUCEM)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hyperlink r:id="rId70">
              <w:r>
                <w:rPr>
                  <w:rFonts w:ascii="Microsoft Sans Serif"/>
                  <w:w w:val="90"/>
                  <w:sz w:val="17"/>
                </w:rPr>
                <w:t>(</w:t>
              </w:r>
              <w:r>
                <w:rPr>
                  <w:rFonts w:ascii="Microsoft Sans Serif"/>
                  <w:color w:val="0000FF"/>
                  <w:w w:val="90"/>
                  <w:sz w:val="17"/>
                  <w:u w:val="single" w:color="0000FF"/>
                </w:rPr>
                <w:t>https://www.nucem.sk/en</w:t>
              </w:r>
              <w:r>
                <w:rPr>
                  <w:rFonts w:ascii="Microsoft Sans Serif"/>
                  <w:w w:val="90"/>
                  <w:sz w:val="17"/>
                </w:rPr>
                <w:t>)</w:t>
              </w:r>
            </w:hyperlink>
          </w:p>
        </w:tc>
        <w:tc>
          <w:tcPr>
            <w:tcW w:w="571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15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NUCEM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administers national and international testing of students'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 other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data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collection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initiatives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(including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Programme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International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Assessment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[PISA],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Teaching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Learning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International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Survey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[TALIS]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</w:p>
          <w:p>
            <w:pPr>
              <w:pStyle w:val="TableParagraph"/>
              <w:spacing w:before="1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PIAAC).</w:t>
            </w:r>
          </w:p>
        </w:tc>
      </w:tr>
      <w:tr>
        <w:trPr>
          <w:trHeight w:val="1028" w:hRule="atLeast"/>
        </w:trPr>
        <w:tc>
          <w:tcPr>
            <w:tcW w:w="3435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 w:right="619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State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Vocational</w:t>
            </w:r>
            <w:r>
              <w:rPr>
                <w:rFonts w:ascii="Microsoft Sans Serif" w:hAns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Education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Institute</w:t>
            </w:r>
            <w:r>
              <w:rPr>
                <w:rFonts w:ascii="Microsoft Sans Serif" w:hAns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(ŠIOV)</w:t>
            </w:r>
            <w:r>
              <w:rPr>
                <w:rFonts w:ascii="Microsoft Sans Serif" w:hAnsi="Microsoft Sans Serif"/>
                <w:spacing w:val="-33"/>
                <w:w w:val="80"/>
                <w:sz w:val="17"/>
              </w:rPr>
              <w:t> </w:t>
            </w:r>
            <w:hyperlink r:id="rId71">
              <w:r>
                <w:rPr>
                  <w:rFonts w:ascii="Microsoft Sans Serif" w:hAnsi="Microsoft Sans Serif"/>
                  <w:w w:val="90"/>
                  <w:sz w:val="17"/>
                </w:rPr>
                <w:t>(</w:t>
              </w:r>
              <w:r>
                <w:rPr>
                  <w:rFonts w:ascii="Microsoft Sans Serif" w:hAnsi="Microsoft Sans Serif"/>
                  <w:color w:val="0000FF"/>
                  <w:w w:val="90"/>
                  <w:sz w:val="17"/>
                  <w:u w:val="single" w:color="0000FF"/>
                </w:rPr>
                <w:t>https://siov.sk</w:t>
              </w:r>
              <w:r>
                <w:rPr>
                  <w:rFonts w:ascii="Microsoft Sans Serif" w:hAnsi="Microsoft Sans Serif"/>
                  <w:color w:val="0000FF"/>
                  <w:w w:val="90"/>
                  <w:sz w:val="17"/>
                </w:rPr>
                <w:t>/</w:t>
              </w:r>
              <w:r>
                <w:rPr>
                  <w:rFonts w:ascii="Microsoft Sans Serif" w:hAnsi="Microsoft Sans Serif"/>
                  <w:w w:val="90"/>
                  <w:sz w:val="17"/>
                </w:rPr>
                <w:t>)</w:t>
              </w:r>
            </w:hyperlink>
          </w:p>
        </w:tc>
        <w:tc>
          <w:tcPr>
            <w:tcW w:w="571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181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ŠIOV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administers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projects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focused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on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development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vocational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educational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programmes.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ŠIOV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also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provides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structure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for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national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contact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points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international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professional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networks,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such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as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National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Skills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Observatory,</w:t>
            </w:r>
            <w:r>
              <w:rPr>
                <w:rFonts w:ascii="Microsoft Sans Serif" w:hAns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European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Quality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Assurance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Vocational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Education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Training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(EQAVET)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Electronic</w:t>
            </w:r>
          </w:p>
          <w:p>
            <w:pPr>
              <w:pStyle w:val="TableParagraph"/>
              <w:spacing w:line="192" w:lineRule="exact" w:before="2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Platform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Adult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Learning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Europe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(EPALE).</w:t>
            </w:r>
          </w:p>
        </w:tc>
      </w:tr>
      <w:tr>
        <w:trPr>
          <w:trHeight w:val="851" w:hRule="atLeast"/>
        </w:trPr>
        <w:tc>
          <w:tcPr>
            <w:tcW w:w="3435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National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Institute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for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Education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(ŠPÚ)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hyperlink r:id="rId72">
              <w:r>
                <w:rPr>
                  <w:rFonts w:ascii="Microsoft Sans Serif" w:hAnsi="Microsoft Sans Serif"/>
                  <w:w w:val="90"/>
                  <w:sz w:val="17"/>
                </w:rPr>
                <w:t>(</w:t>
              </w:r>
              <w:r>
                <w:rPr>
                  <w:rFonts w:ascii="Microsoft Sans Serif" w:hAnsi="Microsoft Sans Serif"/>
                  <w:color w:val="0000FF"/>
                  <w:w w:val="90"/>
                  <w:sz w:val="17"/>
                  <w:u w:val="single" w:color="0000FF"/>
                </w:rPr>
                <w:t>https://www.statpedu.sk/en</w:t>
              </w:r>
              <w:r>
                <w:rPr>
                  <w:rFonts w:ascii="Microsoft Sans Serif" w:hAnsi="Microsoft Sans Serif"/>
                  <w:color w:val="0000FF"/>
                  <w:w w:val="90"/>
                  <w:sz w:val="17"/>
                </w:rPr>
                <w:t>/</w:t>
              </w:r>
              <w:r>
                <w:rPr>
                  <w:rFonts w:ascii="Microsoft Sans Serif" w:hAnsi="Microsoft Sans Serif"/>
                  <w:w w:val="90"/>
                  <w:sz w:val="17"/>
                </w:rPr>
                <w:t>)</w:t>
              </w:r>
            </w:hyperlink>
          </w:p>
          <w:p>
            <w:pPr>
              <w:pStyle w:val="TableParagraph"/>
              <w:spacing w:line="200" w:lineRule="atLeast" w:before="9"/>
              <w:ind w:left="136" w:right="64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Methodological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Pedagogical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Centre</w:t>
            </w:r>
            <w:r>
              <w:rPr>
                <w:rFonts w:ascii="Microsoft Sans Serif"/>
                <w:spacing w:val="1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(MPC)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hyperlink r:id="rId73">
              <w:r>
                <w:rPr>
                  <w:rFonts w:ascii="Microsoft Sans Serif"/>
                  <w:w w:val="90"/>
                  <w:sz w:val="17"/>
                </w:rPr>
                <w:t>(</w:t>
              </w:r>
              <w:r>
                <w:rPr>
                  <w:rFonts w:ascii="Microsoft Sans Serif"/>
                  <w:color w:val="0000FF"/>
                  <w:w w:val="90"/>
                  <w:sz w:val="17"/>
                  <w:u w:val="single" w:color="0000FF"/>
                </w:rPr>
                <w:t>https://mpc-edu.sk/</w:t>
              </w:r>
              <w:r>
                <w:rPr>
                  <w:rFonts w:ascii="Microsoft Sans Serif"/>
                  <w:w w:val="90"/>
                  <w:sz w:val="17"/>
                </w:rPr>
                <w:t>)</w:t>
              </w:r>
            </w:hyperlink>
          </w:p>
        </w:tc>
        <w:tc>
          <w:tcPr>
            <w:tcW w:w="5713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157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ŠPÚ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steers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pedagogical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processes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at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level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primary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secondary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education.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ŠPÚ,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together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with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MPC,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support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teachers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at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primary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secondary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level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with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methodological</w:t>
            </w: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instructions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training.</w:t>
            </w:r>
          </w:p>
        </w:tc>
      </w:tr>
    </w:tbl>
    <w:p>
      <w:pPr>
        <w:spacing w:after="0" w:line="249" w:lineRule="auto"/>
        <w:rPr>
          <w:rFonts w:ascii="Microsoft Sans Serif" w:hAnsi="Microsoft Sans Serif"/>
          <w:sz w:val="17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Heading7"/>
        <w:spacing w:before="184"/>
      </w:pPr>
      <w:bookmarkStart w:name="Accreditation and quality assurance" w:id="47"/>
      <w:bookmarkEnd w:id="47"/>
      <w:r>
        <w:rPr>
          <w:i w:val="0"/>
        </w:rPr>
      </w:r>
      <w:r>
        <w:rPr>
          <w:color w:val="616161"/>
        </w:rPr>
        <w:t>Accreditation</w:t>
      </w:r>
      <w:r>
        <w:rPr>
          <w:color w:val="616161"/>
          <w:spacing w:val="-7"/>
        </w:rPr>
        <w:t> </w:t>
      </w:r>
      <w:r>
        <w:rPr>
          <w:color w:val="616161"/>
        </w:rPr>
        <w:t>and</w:t>
      </w:r>
      <w:r>
        <w:rPr>
          <w:color w:val="616161"/>
          <w:spacing w:val="-5"/>
        </w:rPr>
        <w:t> </w:t>
      </w:r>
      <w:r>
        <w:rPr>
          <w:color w:val="616161"/>
        </w:rPr>
        <w:t>quality</w:t>
      </w:r>
      <w:r>
        <w:rPr>
          <w:color w:val="616161"/>
          <w:spacing w:val="-6"/>
        </w:rPr>
        <w:t> </w:t>
      </w:r>
      <w:r>
        <w:rPr>
          <w:color w:val="616161"/>
        </w:rPr>
        <w:t>assurance</w:t>
      </w:r>
    </w:p>
    <w:p>
      <w:pPr>
        <w:pStyle w:val="BodyText"/>
        <w:spacing w:line="271" w:lineRule="auto" w:before="214"/>
        <w:ind w:left="183" w:right="301"/>
        <w:jc w:val="both"/>
      </w:pPr>
      <w:r>
        <w:rPr/>
        <w:t>The Act on Quality Assurance in Higher Education No. 269/2018 and on amendment of Act No. 343/2015</w:t>
      </w:r>
      <w:r>
        <w:rPr>
          <w:spacing w:val="-54"/>
        </w:rPr>
        <w:t> </w:t>
      </w:r>
      <w:r>
        <w:rPr/>
        <w:t>on</w:t>
      </w:r>
      <w:r>
        <w:rPr>
          <w:spacing w:val="-8"/>
        </w:rPr>
        <w:t> </w:t>
      </w:r>
      <w:r>
        <w:rPr/>
        <w:t>Public</w:t>
      </w:r>
      <w:r>
        <w:rPr>
          <w:spacing w:val="-6"/>
        </w:rPr>
        <w:t> </w:t>
      </w:r>
      <w:r>
        <w:rPr/>
        <w:t>Procurement</w:t>
      </w:r>
      <w:r>
        <w:rPr>
          <w:spacing w:val="-5"/>
        </w:rPr>
        <w:t> </w:t>
      </w:r>
      <w:r>
        <w:rPr/>
        <w:t>(hereafter</w:t>
      </w:r>
      <w:r>
        <w:rPr>
          <w:spacing w:val="-7"/>
        </w:rPr>
        <w:t> </w:t>
      </w:r>
      <w:r>
        <w:rPr/>
        <w:t>“QA</w:t>
      </w:r>
      <w:r>
        <w:rPr>
          <w:spacing w:val="-7"/>
        </w:rPr>
        <w:t> </w:t>
      </w:r>
      <w:r>
        <w:rPr/>
        <w:t>Act”),</w:t>
      </w:r>
      <w:r>
        <w:rPr>
          <w:spacing w:val="-5"/>
        </w:rPr>
        <w:t> </w:t>
      </w:r>
      <w:r>
        <w:rPr/>
        <w:t>passed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2018,</w:t>
      </w:r>
      <w:r>
        <w:rPr>
          <w:spacing w:val="-7"/>
        </w:rPr>
        <w:t> </w:t>
      </w:r>
      <w:r>
        <w:rPr/>
        <w:t>introduced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of higher education institutions and study programmes in the Slovak Republic (National Council of the</w:t>
      </w:r>
      <w:r>
        <w:rPr>
          <w:spacing w:val="1"/>
        </w:rPr>
        <w:t> </w:t>
      </w:r>
      <w:r>
        <w:rPr>
          <w:position w:val="1"/>
        </w:rPr>
        <w:t>Slovak Republic</w:t>
      </w:r>
      <w:r>
        <w:rPr>
          <w:sz w:val="13"/>
        </w:rPr>
        <w:t>[23]</w:t>
      </w:r>
      <w:r>
        <w:rPr>
          <w:position w:val="1"/>
        </w:rPr>
        <w:t>). This new model introduces an independent quality assurance body – the Slovak</w:t>
      </w:r>
      <w:r>
        <w:rPr>
          <w:spacing w:val="1"/>
          <w:position w:val="1"/>
        </w:rPr>
        <w:t> </w:t>
      </w:r>
      <w:r>
        <w:rPr/>
        <w:t>Accreditation Agency for Higher Education (SAAHE) – and places a strong focus on the capacity of HEIs</w:t>
      </w:r>
      <w:r>
        <w:rPr>
          <w:spacing w:val="1"/>
        </w:rPr>
        <w:t> </w:t>
      </w:r>
      <w:r>
        <w:rPr/>
        <w:t>to</w:t>
      </w:r>
      <w:r>
        <w:rPr>
          <w:spacing w:val="-13"/>
        </w:rPr>
        <w:t> </w:t>
      </w:r>
      <w:r>
        <w:rPr/>
        <w:t>create</w:t>
      </w:r>
      <w:r>
        <w:rPr>
          <w:spacing w:val="-12"/>
        </w:rPr>
        <w:t> </w:t>
      </w:r>
      <w:r>
        <w:rPr/>
        <w:t>effective</w:t>
      </w:r>
      <w:r>
        <w:rPr>
          <w:spacing w:val="-12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assurance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line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European-level</w:t>
      </w:r>
      <w:r>
        <w:rPr>
          <w:spacing w:val="-12"/>
        </w:rPr>
        <w:t> </w:t>
      </w:r>
      <w:r>
        <w:rPr/>
        <w:t>practices.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contrasts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advisory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-2"/>
        </w:rPr>
        <w:t> </w:t>
      </w:r>
      <w:r>
        <w:rPr/>
        <w:t>but the government</w:t>
      </w:r>
      <w:r>
        <w:rPr>
          <w:spacing w:val="-2"/>
        </w:rPr>
        <w:t> </w:t>
      </w:r>
      <w:r>
        <w:rPr/>
        <w:t>was responsible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granting</w:t>
      </w:r>
      <w:r>
        <w:rPr>
          <w:spacing w:val="-2"/>
        </w:rPr>
        <w:t> </w:t>
      </w:r>
      <w:r>
        <w:rPr/>
        <w:t>accreditations.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The law sets out a governance structure for the SAAHE that aims to ensure that stakeholders' views are</w:t>
      </w:r>
      <w:r>
        <w:rPr>
          <w:spacing w:val="1"/>
        </w:rPr>
        <w:t> </w:t>
      </w:r>
      <w:r>
        <w:rPr/>
        <w:t>represented in decision making. The SAAHE’s highest executive body is the Executive Board, a nine-</w:t>
      </w:r>
      <w:r>
        <w:rPr>
          <w:spacing w:val="1"/>
        </w:rPr>
        <w:t> </w:t>
      </w:r>
      <w:r>
        <w:rPr>
          <w:spacing w:val="-1"/>
        </w:rPr>
        <w:t>member</w:t>
      </w:r>
      <w:r>
        <w:rPr>
          <w:spacing w:val="-11"/>
        </w:rPr>
        <w:t> </w:t>
      </w:r>
      <w:r>
        <w:rPr>
          <w:spacing w:val="-1"/>
        </w:rPr>
        <w:t>entity</w:t>
      </w:r>
      <w:r>
        <w:rPr>
          <w:spacing w:val="-13"/>
        </w:rPr>
        <w:t> </w:t>
      </w:r>
      <w:r>
        <w:rPr>
          <w:spacing w:val="-1"/>
        </w:rPr>
        <w:t>whose</w:t>
      </w:r>
      <w:r>
        <w:rPr>
          <w:spacing w:val="-12"/>
        </w:rPr>
        <w:t> </w:t>
      </w:r>
      <w:r>
        <w:rPr>
          <w:spacing w:val="-1"/>
        </w:rPr>
        <w:t>members</w:t>
      </w:r>
      <w:r>
        <w:rPr>
          <w:spacing w:val="-10"/>
        </w:rPr>
        <w:t> </w:t>
      </w:r>
      <w:r>
        <w:rPr>
          <w:spacing w:val="-1"/>
        </w:rPr>
        <w:t>(except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Chair,</w:t>
      </w:r>
      <w:r>
        <w:rPr>
          <w:spacing w:val="-9"/>
        </w:rPr>
        <w:t> </w:t>
      </w:r>
      <w:r>
        <w:rPr/>
        <w:t>who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via</w:t>
      </w:r>
      <w:r>
        <w:rPr>
          <w:spacing w:val="-11"/>
        </w:rPr>
        <w:t> </w:t>
      </w:r>
      <w:r>
        <w:rPr/>
        <w:t>public</w:t>
      </w:r>
      <w:r>
        <w:rPr>
          <w:spacing w:val="-10"/>
        </w:rPr>
        <w:t> </w:t>
      </w:r>
      <w:r>
        <w:rPr/>
        <w:t>competition)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by the MoE based on nominations received from the Slovak Rectors Conference (two members), the</w:t>
      </w:r>
      <w:r>
        <w:rPr>
          <w:spacing w:val="1"/>
        </w:rPr>
        <w:t> </w:t>
      </w:r>
      <w:r>
        <w:rPr/>
        <w:t>Student Council for Higher Education (two members), the Higher Education Council (two members),</w:t>
      </w:r>
      <w:r>
        <w:rPr>
          <w:spacing w:val="1"/>
        </w:rPr>
        <w:t> </w:t>
      </w:r>
      <w:r>
        <w:rPr/>
        <w:t>representative associations of employers, professional organisations established by law, the Slovak</w:t>
      </w:r>
      <w:r>
        <w:rPr>
          <w:spacing w:val="1"/>
        </w:rPr>
        <w:t> </w:t>
      </w:r>
      <w:r>
        <w:rPr/>
        <w:t>Academy of Sciences, research and development institutions (out of several nominations, two members</w:t>
      </w:r>
      <w:r>
        <w:rPr>
          <w:spacing w:val="1"/>
        </w:rPr>
        <w:t> </w:t>
      </w:r>
      <w:r>
        <w:rPr/>
        <w:t>are</w:t>
      </w:r>
      <w:r>
        <w:rPr>
          <w:spacing w:val="7"/>
        </w:rPr>
        <w:t> </w:t>
      </w:r>
      <w:r>
        <w:rPr/>
        <w:t>appointed</w:t>
      </w:r>
      <w:r>
        <w:rPr>
          <w:spacing w:val="10"/>
        </w:rPr>
        <w:t> </w:t>
      </w:r>
      <w:r>
        <w:rPr/>
        <w:t>by</w:t>
      </w:r>
      <w:r>
        <w:rPr>
          <w:spacing w:val="6"/>
        </w:rPr>
        <w:t> </w:t>
      </w:r>
      <w:r>
        <w:rPr/>
        <w:t>MoE).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QA</w:t>
      </w:r>
      <w:r>
        <w:rPr>
          <w:spacing w:val="7"/>
        </w:rPr>
        <w:t> </w:t>
      </w:r>
      <w:r>
        <w:rPr/>
        <w:t>Act</w:t>
      </w:r>
      <w:r>
        <w:rPr>
          <w:spacing w:val="7"/>
        </w:rPr>
        <w:t> </w:t>
      </w:r>
      <w:r>
        <w:rPr/>
        <w:t>further</w:t>
      </w:r>
      <w:r>
        <w:rPr>
          <w:spacing w:val="8"/>
        </w:rPr>
        <w:t> </w:t>
      </w:r>
      <w:r>
        <w:rPr/>
        <w:t>identifies</w:t>
      </w:r>
      <w:r>
        <w:rPr>
          <w:spacing w:val="8"/>
        </w:rPr>
        <w:t> </w:t>
      </w:r>
      <w:r>
        <w:rPr/>
        <w:t>several</w:t>
      </w:r>
      <w:r>
        <w:rPr>
          <w:spacing w:val="6"/>
        </w:rPr>
        <w:t> </w:t>
      </w:r>
      <w:r>
        <w:rPr/>
        <w:t>funding</w:t>
      </w:r>
      <w:r>
        <w:rPr>
          <w:spacing w:val="7"/>
        </w:rPr>
        <w:t> </w:t>
      </w:r>
      <w:r>
        <w:rPr/>
        <w:t>sources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SAAHE,</w:t>
      </w:r>
      <w:r>
        <w:rPr>
          <w:spacing w:val="10"/>
        </w:rPr>
        <w:t> </w:t>
      </w:r>
      <w:r>
        <w:rPr/>
        <w:t>including:</w:t>
      </w:r>
    </w:p>
    <w:p>
      <w:pPr>
        <w:pStyle w:val="BodyText"/>
        <w:spacing w:line="271" w:lineRule="auto" w:before="2"/>
        <w:ind w:left="183" w:right="301"/>
        <w:jc w:val="both"/>
      </w:pPr>
      <w:r>
        <w:rPr/>
        <w:t>1) fees for the agency’s activities; 2) funds from the state budget allocated by the MoE; 3) revenues from</w:t>
      </w:r>
      <w:r>
        <w:rPr>
          <w:spacing w:val="1"/>
        </w:rPr>
        <w:t> </w:t>
      </w:r>
      <w:r>
        <w:rPr/>
        <w:t>business activity; and 4) other revenues. Finally, the QA Act requires the SAAHE to be assessed by the</w:t>
      </w:r>
      <w:r>
        <w:rPr>
          <w:spacing w:val="1"/>
        </w:rPr>
        <w:t> </w:t>
      </w:r>
      <w:r>
        <w:rPr/>
        <w:t>European Association for Quality Assurance in Higher Education (ENQA) at least once every five years.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is planned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2024.</w:t>
      </w:r>
    </w:p>
    <w:p>
      <w:pPr>
        <w:pStyle w:val="BodyText"/>
        <w:spacing w:line="271" w:lineRule="auto" w:before="120"/>
        <w:ind w:left="183" w:right="306"/>
        <w:jc w:val="both"/>
        <w:rPr>
          <w:sz w:val="13"/>
        </w:rPr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SAAHE</w:t>
      </w:r>
      <w:r>
        <w:rPr>
          <w:spacing w:val="-13"/>
        </w:rPr>
        <w:t> </w:t>
      </w:r>
      <w:r>
        <w:rPr>
          <w:spacing w:val="-1"/>
        </w:rPr>
        <w:t>supports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accreditation</w:t>
      </w:r>
      <w:r>
        <w:rPr>
          <w:spacing w:val="-13"/>
        </w:rPr>
        <w:t> </w:t>
      </w:r>
      <w:r>
        <w:rPr>
          <w:spacing w:val="-1"/>
        </w:rPr>
        <w:t>process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publishing</w:t>
      </w:r>
      <w:r>
        <w:rPr>
          <w:spacing w:val="-13"/>
        </w:rPr>
        <w:t> </w:t>
      </w:r>
      <w:r>
        <w:rPr/>
        <w:t>standards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met</w:t>
      </w:r>
      <w:r>
        <w:rPr>
          <w:spacing w:val="-12"/>
        </w:rPr>
        <w:t> </w:t>
      </w:r>
      <w:r>
        <w:rPr/>
        <w:t>by</w:t>
      </w:r>
      <w:r>
        <w:rPr>
          <w:spacing w:val="-14"/>
        </w:rPr>
        <w:t> </w:t>
      </w:r>
      <w:r>
        <w:rPr/>
        <w:t>HEIs.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has</w:t>
      </w:r>
      <w:r>
        <w:rPr>
          <w:spacing w:val="-11"/>
        </w:rPr>
        <w:t> </w:t>
      </w:r>
      <w:r>
        <w:rPr/>
        <w:t>published</w:t>
      </w:r>
      <w:r>
        <w:rPr>
          <w:spacing w:val="1"/>
        </w:rPr>
        <w:t> </w:t>
      </w:r>
      <w:r>
        <w:rPr>
          <w:spacing w:val="-1"/>
        </w:rPr>
        <w:t>three</w:t>
      </w:r>
      <w:r>
        <w:rPr>
          <w:spacing w:val="-13"/>
        </w:rPr>
        <w:t> </w:t>
      </w:r>
      <w:r>
        <w:rPr>
          <w:spacing w:val="-1"/>
        </w:rPr>
        <w:t>sets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QA</w:t>
      </w:r>
      <w:r>
        <w:rPr>
          <w:spacing w:val="-14"/>
        </w:rPr>
        <w:t> </w:t>
      </w:r>
      <w:r>
        <w:rPr>
          <w:spacing w:val="-1"/>
        </w:rPr>
        <w:t>standards</w:t>
      </w:r>
      <w:r>
        <w:rPr>
          <w:spacing w:val="-9"/>
        </w:rPr>
        <w:t> </w:t>
      </w:r>
      <w:r>
        <w:rPr>
          <w:spacing w:val="-1"/>
        </w:rPr>
        <w:t>since</w:t>
      </w:r>
      <w:r>
        <w:rPr>
          <w:spacing w:val="-13"/>
        </w:rPr>
        <w:t> </w:t>
      </w:r>
      <w:r>
        <w:rPr>
          <w:spacing w:val="-1"/>
        </w:rPr>
        <w:t>1</w:t>
      </w:r>
      <w:r>
        <w:rPr>
          <w:spacing w:val="3"/>
        </w:rPr>
        <w:t> </w:t>
      </w:r>
      <w:r>
        <w:rPr>
          <w:spacing w:val="-1"/>
        </w:rPr>
        <w:t>September</w:t>
      </w:r>
      <w:r>
        <w:rPr>
          <w:spacing w:val="-12"/>
        </w:rPr>
        <w:t> </w:t>
      </w:r>
      <w:r>
        <w:rPr>
          <w:spacing w:val="-1"/>
        </w:rPr>
        <w:t>2020:</w:t>
      </w:r>
      <w:r>
        <w:rPr>
          <w:spacing w:val="-11"/>
        </w:rPr>
        <w:t> </w:t>
      </w:r>
      <w:r>
        <w:rPr>
          <w:spacing w:val="-1"/>
        </w:rPr>
        <w:t>1)</w:t>
      </w:r>
      <w:r>
        <w:rPr>
          <w:spacing w:val="1"/>
        </w:rPr>
        <w:t> </w:t>
      </w:r>
      <w:r>
        <w:rPr>
          <w:spacing w:val="-1"/>
        </w:rPr>
        <w:t>standards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internal</w:t>
      </w:r>
      <w:r>
        <w:rPr>
          <w:spacing w:val="-14"/>
        </w:rPr>
        <w:t> </w:t>
      </w:r>
      <w:r>
        <w:rPr/>
        <w:t>quality</w:t>
      </w:r>
      <w:r>
        <w:rPr>
          <w:spacing w:val="-16"/>
        </w:rPr>
        <w:t> </w:t>
      </w:r>
      <w:r>
        <w:rPr/>
        <w:t>assurance</w:t>
      </w:r>
      <w:r>
        <w:rPr>
          <w:spacing w:val="-1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 HEIs; 2) standards for study programmes; and 3) standards for habilitation procedures as well as</w:t>
      </w:r>
      <w:r>
        <w:rPr>
          <w:spacing w:val="1"/>
        </w:rPr>
        <w:t> </w:t>
      </w:r>
      <w:r>
        <w:rPr/>
        <w:t>procedures for appointing professors. In addition to standards, the SAAHE also published the list of</w:t>
      </w:r>
      <w:r>
        <w:rPr>
          <w:spacing w:val="1"/>
        </w:rPr>
        <w:t> </w:t>
      </w:r>
      <w:r>
        <w:rPr/>
        <w:t>evaluators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applications.</w:t>
      </w:r>
      <w:r>
        <w:rPr>
          <w:position w:val="6"/>
          <w:sz w:val="13"/>
        </w:rPr>
        <w:t>3</w:t>
      </w:r>
    </w:p>
    <w:p>
      <w:pPr>
        <w:pStyle w:val="BodyText"/>
        <w:spacing w:line="271" w:lineRule="auto" w:before="121"/>
        <w:ind w:left="183" w:right="300"/>
        <w:jc w:val="both"/>
      </w:pPr>
      <w:r>
        <w:rPr/>
        <w:t>The QA Act obliges HEIs to develop and maintain an internal system of quality assurance. The first</w:t>
      </w:r>
      <w:r>
        <w:rPr>
          <w:spacing w:val="1"/>
        </w:rPr>
        <w:t> </w:t>
      </w:r>
      <w:r>
        <w:rPr/>
        <w:t>applications for the internal quality assurance system of HEI evaluation were expected in the second half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2021.</w:t>
      </w:r>
      <w:r>
        <w:rPr>
          <w:spacing w:val="-12"/>
        </w:rPr>
        <w:t> </w:t>
      </w:r>
      <w:r>
        <w:rPr>
          <w:spacing w:val="-1"/>
        </w:rPr>
        <w:t>HEIs’</w:t>
      </w:r>
      <w:r>
        <w:rPr>
          <w:spacing w:val="-11"/>
        </w:rPr>
        <w:t> </w:t>
      </w:r>
      <w:r>
        <w:rPr>
          <w:spacing w:val="-1"/>
        </w:rPr>
        <w:t>internal</w:t>
      </w:r>
      <w:r>
        <w:rPr>
          <w:spacing w:val="-12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assurance</w:t>
      </w:r>
      <w:r>
        <w:rPr>
          <w:spacing w:val="-12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assessed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next</w:t>
      </w:r>
      <w:r>
        <w:rPr>
          <w:spacing w:val="-10"/>
        </w:rPr>
        <w:t> </w:t>
      </w:r>
      <w:r>
        <w:rPr/>
        <w:t>accreditation</w:t>
      </w:r>
      <w:r>
        <w:rPr>
          <w:spacing w:val="-11"/>
        </w:rPr>
        <w:t> </w:t>
      </w:r>
      <w:r>
        <w:rPr/>
        <w:t>process,</w:t>
      </w:r>
      <w:r>
        <w:rPr>
          <w:spacing w:val="-10"/>
        </w:rPr>
        <w:t> </w:t>
      </w:r>
      <w:r>
        <w:rPr/>
        <w:t>which</w:t>
      </w:r>
      <w:r>
        <w:rPr>
          <w:spacing w:val="1"/>
        </w:rPr>
        <w:t> </w:t>
      </w:r>
      <w:r>
        <w:rPr/>
        <w:t>was initially expected to be completed by 2024. However, a legislative amendment in December 2020</w:t>
      </w:r>
      <w:r>
        <w:rPr>
          <w:spacing w:val="1"/>
        </w:rPr>
        <w:t> </w:t>
      </w:r>
      <w:r>
        <w:rPr>
          <w:spacing w:val="-1"/>
        </w:rPr>
        <w:t>moved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deadline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2023.</w:t>
      </w:r>
      <w:r>
        <w:rPr>
          <w:spacing w:val="-13"/>
        </w:rPr>
        <w:t> </w:t>
      </w:r>
      <w:r>
        <w:rPr>
          <w:spacing w:val="-1"/>
        </w:rPr>
        <w:t>Accreditations</w:t>
      </w:r>
      <w:r>
        <w:rPr>
          <w:spacing w:val="-9"/>
        </w:rPr>
        <w:t> </w:t>
      </w:r>
      <w:r>
        <w:rPr>
          <w:spacing w:val="-1"/>
        </w:rPr>
        <w:t>will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4"/>
        </w:rPr>
        <w:t> </w:t>
      </w:r>
      <w:r>
        <w:rPr>
          <w:spacing w:val="-1"/>
        </w:rPr>
        <w:t>granted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SAAHE,</w:t>
      </w:r>
      <w:r>
        <w:rPr>
          <w:spacing w:val="-1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applications</w:t>
      </w:r>
      <w:r>
        <w:rPr>
          <w:spacing w:val="-12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HEIs,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assessing</w:t>
      </w:r>
      <w:r>
        <w:rPr>
          <w:spacing w:val="-3"/>
        </w:rPr>
        <w:t> </w:t>
      </w:r>
      <w:r>
        <w:rPr/>
        <w:t>HEIs’</w:t>
      </w:r>
      <w:r>
        <w:rPr>
          <w:spacing w:val="-2"/>
        </w:rPr>
        <w:t> </w:t>
      </w:r>
      <w:r>
        <w:rPr/>
        <w:t>internal quality</w:t>
      </w:r>
      <w:r>
        <w:rPr>
          <w:spacing w:val="-3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While both institutional and programmatic accreditation exists in the Slovak Republic, programmatic</w:t>
      </w:r>
      <w:r>
        <w:rPr>
          <w:spacing w:val="1"/>
        </w:rPr>
        <w:t> </w:t>
      </w:r>
      <w:r>
        <w:rPr/>
        <w:t>accreditation is expected to be phased out, and programme quality to be ensured internally by HEIs.</w:t>
      </w:r>
      <w:r>
        <w:rPr>
          <w:spacing w:val="1"/>
        </w:rPr>
        <w:t> </w:t>
      </w:r>
      <w:r>
        <w:rPr/>
        <w:t>Programme-level</w:t>
      </w:r>
      <w:r>
        <w:rPr>
          <w:spacing w:val="1"/>
        </w:rPr>
        <w:t> </w:t>
      </w:r>
      <w:r>
        <w:rPr/>
        <w:t>accreditations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rounds,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 September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programmes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fields</w:t>
      </w:r>
      <w:r>
        <w:rPr>
          <w:spacing w:val="-12"/>
        </w:rPr>
        <w:t> </w:t>
      </w:r>
      <w:r>
        <w:rPr>
          <w:spacing w:val="-1"/>
        </w:rPr>
        <w:t>where</w:t>
      </w:r>
      <w:r>
        <w:rPr>
          <w:spacing w:val="-13"/>
        </w:rPr>
        <w:t> </w:t>
      </w:r>
      <w:r>
        <w:rPr>
          <w:spacing w:val="-1"/>
        </w:rPr>
        <w:t>HEIs</w:t>
      </w:r>
      <w:r>
        <w:rPr>
          <w:spacing w:val="-12"/>
        </w:rPr>
        <w:t> </w:t>
      </w:r>
      <w:r>
        <w:rPr>
          <w:spacing w:val="-1"/>
        </w:rPr>
        <w:t>had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yet</w:t>
      </w:r>
      <w:r>
        <w:rPr>
          <w:spacing w:val="-14"/>
        </w:rPr>
        <w:t> </w:t>
      </w:r>
      <w:r>
        <w:rPr>
          <w:spacing w:val="-1"/>
        </w:rPr>
        <w:t>provided</w:t>
      </w:r>
      <w:r>
        <w:rPr>
          <w:spacing w:val="-13"/>
        </w:rPr>
        <w:t> </w:t>
      </w:r>
      <w:r>
        <w:rPr>
          <w:spacing w:val="-1"/>
        </w:rPr>
        <w:t>programmes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31</w:t>
      </w:r>
      <w:r>
        <w:rPr>
          <w:spacing w:val="7"/>
        </w:rPr>
        <w:t> </w:t>
      </w:r>
      <w:r>
        <w:rPr/>
        <w:t>March</w:t>
      </w:r>
      <w:r>
        <w:rPr>
          <w:spacing w:val="-16"/>
        </w:rPr>
        <w:t> </w:t>
      </w:r>
      <w:r>
        <w:rPr/>
        <w:t>2021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fields in which</w:t>
      </w:r>
      <w:r>
        <w:rPr>
          <w:spacing w:val="-1"/>
        </w:rPr>
        <w:t> </w:t>
      </w:r>
      <w:r>
        <w:rPr/>
        <w:t>HEIs</w:t>
      </w:r>
      <w:r>
        <w:rPr>
          <w:spacing w:val="-1"/>
        </w:rPr>
        <w:t> </w:t>
      </w:r>
      <w:r>
        <w:rPr/>
        <w:t>had</w:t>
      </w:r>
      <w:r>
        <w:rPr>
          <w:spacing w:val="1"/>
        </w:rPr>
        <w:t> </w:t>
      </w:r>
      <w:r>
        <w:rPr/>
        <w:t>already</w:t>
      </w:r>
      <w:r>
        <w:rPr>
          <w:spacing w:val="-3"/>
        </w:rPr>
        <w:t> </w:t>
      </w:r>
      <w:r>
        <w:rPr/>
        <w:t>provided programmes.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sz w:val="9"/>
        </w:rPr>
      </w:pPr>
    </w:p>
    <w:p>
      <w:pPr>
        <w:pStyle w:val="Heading2"/>
        <w:numPr>
          <w:ilvl w:val="1"/>
          <w:numId w:val="6"/>
        </w:numPr>
        <w:tabs>
          <w:tab w:pos="652" w:val="left" w:leader="none"/>
        </w:tabs>
        <w:spacing w:line="240" w:lineRule="auto" w:before="92" w:after="0"/>
        <w:ind w:left="651" w:right="0" w:hanging="469"/>
        <w:jc w:val="left"/>
      </w:pPr>
      <w:bookmarkStart w:name="2.3. Performance of Slovak higher educat" w:id="48"/>
      <w:bookmarkEnd w:id="48"/>
      <w:r>
        <w:rPr>
          <w:b w:val="0"/>
        </w:rPr>
      </w:r>
      <w:bookmarkStart w:name="_bookmark18" w:id="49"/>
      <w:bookmarkEnd w:id="49"/>
      <w:r>
        <w:rPr>
          <w:b w:val="0"/>
        </w:rPr>
      </w:r>
      <w:bookmarkStart w:name="_bookmark18" w:id="50"/>
      <w:bookmarkEnd w:id="50"/>
      <w:r>
        <w:rPr>
          <w:color w:val="4E81BD"/>
        </w:rPr>
        <w:t>Pe</w:t>
      </w:r>
      <w:r>
        <w:rPr>
          <w:color w:val="4E81BD"/>
        </w:rPr>
        <w:t>rformance</w:t>
      </w:r>
      <w:r>
        <w:rPr>
          <w:color w:val="4E81BD"/>
          <w:spacing w:val="-3"/>
        </w:rPr>
        <w:t> </w:t>
      </w:r>
      <w:r>
        <w:rPr>
          <w:color w:val="4E81BD"/>
        </w:rPr>
        <w:t>of</w:t>
      </w:r>
      <w:r>
        <w:rPr>
          <w:color w:val="4E81BD"/>
          <w:spacing w:val="-2"/>
        </w:rPr>
        <w:t> </w:t>
      </w:r>
      <w:r>
        <w:rPr>
          <w:color w:val="4E81BD"/>
        </w:rPr>
        <w:t>Slovak</w:t>
      </w:r>
      <w:r>
        <w:rPr>
          <w:color w:val="4E81BD"/>
          <w:spacing w:val="-2"/>
        </w:rPr>
        <w:t> </w:t>
      </w:r>
      <w:r>
        <w:rPr>
          <w:color w:val="4E81BD"/>
        </w:rPr>
        <w:t>higher</w:t>
      </w:r>
      <w:r>
        <w:rPr>
          <w:color w:val="4E81BD"/>
          <w:spacing w:val="-5"/>
        </w:rPr>
        <w:t> </w:t>
      </w:r>
      <w:r>
        <w:rPr>
          <w:color w:val="4E81BD"/>
        </w:rPr>
        <w:t>education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11"/>
        <w:jc w:val="both"/>
      </w:pPr>
      <w:r>
        <w:rPr/>
        <w:t>The following section presents an overview of the performance of Slovak higher education in education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from</w:t>
      </w:r>
      <w:r>
        <w:rPr>
          <w:spacing w:val="4"/>
        </w:rPr>
        <w:t> </w:t>
      </w:r>
      <w:r>
        <w:rPr/>
        <w:t>a</w:t>
      </w:r>
      <w:r>
        <w:rPr>
          <w:spacing w:val="-3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perspective.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</w:pPr>
      <w:bookmarkStart w:name="Education performance" w:id="51"/>
      <w:bookmarkEnd w:id="51"/>
      <w:r>
        <w:rPr>
          <w:b w:val="0"/>
          <w:i w:val="0"/>
        </w:rPr>
      </w:r>
      <w:r>
        <w:rPr/>
        <w:t>Education</w:t>
      </w:r>
      <w:r>
        <w:rPr>
          <w:spacing w:val="-10"/>
        </w:rPr>
        <w:t> </w:t>
      </w:r>
      <w:r>
        <w:rPr/>
        <w:t>performance</w:t>
      </w: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Heading7"/>
        <w:spacing w:before="1"/>
      </w:pPr>
      <w:bookmarkStart w:name="Attainment" w:id="52"/>
      <w:bookmarkEnd w:id="52"/>
      <w:r>
        <w:rPr>
          <w:i w:val="0"/>
        </w:rPr>
      </w:r>
      <w:r>
        <w:rPr>
          <w:color w:val="616161"/>
        </w:rPr>
        <w:t>Attainment</w:t>
      </w: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pStyle w:val="BodyText"/>
        <w:spacing w:line="271" w:lineRule="auto" w:before="1"/>
        <w:ind w:left="183" w:right="304"/>
        <w:jc w:val="both"/>
      </w:pPr>
      <w:r>
        <w:rPr/>
        <w:t>Increased investments in higher education have yielded significant growth in the share of Slovaks</w:t>
      </w:r>
      <w:r>
        <w:rPr>
          <w:spacing w:val="1"/>
        </w:rPr>
        <w:t> </w:t>
      </w:r>
      <w:r>
        <w:rPr>
          <w:spacing w:val="-1"/>
        </w:rPr>
        <w:t>participating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attaining</w:t>
      </w:r>
      <w:r>
        <w:rPr>
          <w:spacing w:val="-11"/>
        </w:rPr>
        <w:t> </w:t>
      </w:r>
      <w:r>
        <w:rPr>
          <w:spacing w:val="-1"/>
        </w:rPr>
        <w:t>tertiary</w:t>
      </w:r>
      <w:r>
        <w:rPr>
          <w:spacing w:val="-11"/>
        </w:rPr>
        <w:t> </w:t>
      </w:r>
      <w:r>
        <w:rPr>
          <w:spacing w:val="-1"/>
        </w:rPr>
        <w:t>education.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beginning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1990s,</w:t>
      </w:r>
      <w:r>
        <w:rPr>
          <w:spacing w:val="-11"/>
        </w:rPr>
        <w:t> </w:t>
      </w:r>
      <w:r>
        <w:rPr/>
        <w:t>tertiary</w:t>
      </w:r>
      <w:r>
        <w:rPr>
          <w:spacing w:val="-13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in the Slovak Republic lagged that of other European countries. However, the share of tertiary educated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25-34</w:t>
      </w:r>
      <w:r>
        <w:rPr>
          <w:spacing w:val="-11"/>
        </w:rPr>
        <w:t> </w:t>
      </w:r>
      <w:r>
        <w:rPr>
          <w:spacing w:val="-1"/>
        </w:rPr>
        <w:t>year-old</w:t>
      </w:r>
      <w:r>
        <w:rPr>
          <w:spacing w:val="-13"/>
        </w:rPr>
        <w:t> </w:t>
      </w:r>
      <w:r>
        <w:rPr>
          <w:spacing w:val="-1"/>
        </w:rPr>
        <w:t>age</w:t>
      </w:r>
      <w:r>
        <w:rPr>
          <w:spacing w:val="-12"/>
        </w:rPr>
        <w:t> </w:t>
      </w:r>
      <w:r>
        <w:rPr>
          <w:spacing w:val="-1"/>
        </w:rPr>
        <w:t>bracket</w:t>
      </w:r>
      <w:r>
        <w:rPr>
          <w:spacing w:val="-18"/>
        </w:rPr>
        <w:t> </w:t>
      </w:r>
      <w:r>
        <w:rPr>
          <w:spacing w:val="-1"/>
        </w:rPr>
        <w:t>more</w:t>
      </w:r>
      <w:r>
        <w:rPr>
          <w:spacing w:val="-15"/>
        </w:rPr>
        <w:t> </w:t>
      </w:r>
      <w:r>
        <w:rPr>
          <w:spacing w:val="-1"/>
        </w:rPr>
        <w:t>than</w:t>
      </w:r>
      <w:r>
        <w:rPr>
          <w:spacing w:val="-13"/>
        </w:rPr>
        <w:t> </w:t>
      </w:r>
      <w:r>
        <w:rPr>
          <w:spacing w:val="-1"/>
        </w:rPr>
        <w:t>tripled</w:t>
      </w:r>
      <w:r>
        <w:rPr>
          <w:spacing w:val="-11"/>
        </w:rPr>
        <w:t> </w:t>
      </w:r>
      <w:r>
        <w:rPr>
          <w:spacing w:val="-1"/>
        </w:rPr>
        <w:t>between</w:t>
      </w:r>
      <w:r>
        <w:rPr>
          <w:spacing w:val="-14"/>
        </w:rPr>
        <w:t> </w:t>
      </w:r>
      <w:r>
        <w:rPr>
          <w:spacing w:val="-1"/>
        </w:rPr>
        <w:t>1998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2019,</w:t>
      </w:r>
      <w:r>
        <w:rPr>
          <w:spacing w:val="-14"/>
        </w:rPr>
        <w:t> </w:t>
      </w:r>
      <w:r>
        <w:rPr/>
        <w:t>from</w:t>
      </w:r>
      <w:r>
        <w:rPr>
          <w:spacing w:val="-11"/>
        </w:rPr>
        <w:t> </w:t>
      </w:r>
      <w:r>
        <w:rPr/>
        <w:t>11%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over</w:t>
      </w:r>
      <w:r>
        <w:rPr>
          <w:spacing w:val="-12"/>
        </w:rPr>
        <w:t> </w:t>
      </w:r>
      <w:r>
        <w:rPr/>
        <w:t>39%</w:t>
      </w:r>
      <w:r>
        <w:rPr>
          <w:spacing w:val="-8"/>
        </w:rPr>
        <w:t> </w:t>
      </w:r>
      <w:r>
        <w:rPr/>
        <w:t>(OECD,</w:t>
      </w:r>
      <w:r>
        <w:rPr>
          <w:spacing w:val="-53"/>
        </w:rPr>
        <w:t> </w:t>
      </w:r>
      <w:r>
        <w:rPr>
          <w:position w:val="1"/>
        </w:rPr>
        <w:t>2021</w:t>
      </w:r>
      <w:r>
        <w:rPr>
          <w:sz w:val="13"/>
        </w:rPr>
        <w:t>[6]</w:t>
      </w:r>
      <w:r>
        <w:rPr>
          <w:position w:val="1"/>
        </w:rPr>
        <w:t>).</w:t>
      </w:r>
      <w:r>
        <w:rPr>
          <w:spacing w:val="-3"/>
          <w:position w:val="1"/>
        </w:rPr>
        <w:t> </w:t>
      </w:r>
      <w:hyperlink w:history="true" w:anchor="_bookmark19">
        <w:r>
          <w:rPr>
            <w:position w:val="1"/>
          </w:rPr>
          <w:t>Table</w:t>
        </w:r>
        <w:r>
          <w:rPr>
            <w:spacing w:val="-1"/>
            <w:position w:val="1"/>
          </w:rPr>
          <w:t> </w:t>
        </w:r>
        <w:r>
          <w:rPr>
            <w:position w:val="1"/>
          </w:rPr>
          <w:t>2.2</w:t>
        </w:r>
        <w:r>
          <w:rPr>
            <w:spacing w:val="-1"/>
            <w:position w:val="1"/>
          </w:rPr>
          <w:t> </w:t>
        </w:r>
      </w:hyperlink>
      <w:r>
        <w:rPr>
          <w:position w:val="1"/>
        </w:rPr>
        <w:t>presents</w:t>
      </w:r>
      <w:r>
        <w:rPr>
          <w:spacing w:val="1"/>
          <w:position w:val="1"/>
        </w:rPr>
        <w:t> </w:t>
      </w:r>
      <w:r>
        <w:rPr>
          <w:position w:val="1"/>
        </w:rPr>
        <w:t>tertiary</w:t>
      </w:r>
      <w:r>
        <w:rPr>
          <w:spacing w:val="-5"/>
          <w:position w:val="1"/>
        </w:rPr>
        <w:t> </w:t>
      </w:r>
      <w:r>
        <w:rPr>
          <w:position w:val="1"/>
        </w:rPr>
        <w:t>education</w:t>
      </w:r>
      <w:r>
        <w:rPr>
          <w:spacing w:val="-1"/>
          <w:position w:val="1"/>
        </w:rPr>
        <w:t> </w:t>
      </w:r>
      <w:r>
        <w:rPr>
          <w:position w:val="1"/>
        </w:rPr>
        <w:t>attainment</w:t>
      </w:r>
      <w:r>
        <w:rPr>
          <w:spacing w:val="-3"/>
          <w:position w:val="1"/>
        </w:rPr>
        <w:t> </w:t>
      </w:r>
      <w:r>
        <w:rPr>
          <w:position w:val="1"/>
        </w:rPr>
        <w:t>for</w:t>
      </w:r>
      <w:r>
        <w:rPr>
          <w:spacing w:val="-3"/>
          <w:position w:val="1"/>
        </w:rPr>
        <w:t> </w:t>
      </w:r>
      <w:r>
        <w:rPr>
          <w:position w:val="1"/>
        </w:rPr>
        <w:t>25-34</w:t>
      </w:r>
      <w:r>
        <w:rPr>
          <w:spacing w:val="1"/>
          <w:position w:val="1"/>
        </w:rPr>
        <w:t> </w:t>
      </w:r>
      <w:r>
        <w:rPr>
          <w:position w:val="1"/>
        </w:rPr>
        <w:t>year-olds in 2009</w:t>
      </w:r>
      <w:r>
        <w:rPr>
          <w:spacing w:val="-4"/>
          <w:position w:val="1"/>
        </w:rPr>
        <w:t> </w:t>
      </w:r>
      <w:r>
        <w:rPr>
          <w:position w:val="1"/>
        </w:rPr>
        <w:t>and</w:t>
      </w:r>
      <w:r>
        <w:rPr>
          <w:spacing w:val="-4"/>
          <w:position w:val="1"/>
        </w:rPr>
        <w:t> </w:t>
      </w:r>
      <w:r>
        <w:rPr>
          <w:position w:val="1"/>
        </w:rPr>
        <w:t>2019.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19" w:id="53"/>
      <w:bookmarkEnd w:id="53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2.2.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Trends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tertiary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attainment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rates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25-34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year-olds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by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gender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(2009,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2019)</w:t>
      </w:r>
    </w:p>
    <w:p>
      <w:pPr>
        <w:pStyle w:val="BodyText"/>
        <w:spacing w:after="1"/>
        <w:rPr>
          <w:rFonts w:ascii="Arial"/>
          <w:b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1119"/>
        <w:gridCol w:w="1119"/>
        <w:gridCol w:w="1119"/>
        <w:gridCol w:w="1121"/>
        <w:gridCol w:w="1119"/>
        <w:gridCol w:w="1118"/>
      </w:tblGrid>
      <w:tr>
        <w:trPr>
          <w:trHeight w:val="241" w:hRule="atLeast"/>
        </w:trPr>
        <w:tc>
          <w:tcPr>
            <w:tcW w:w="2600" w:type="dxa"/>
            <w:tcBorders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  <w:gridSpan w:val="2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945" w:right="92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Men</w:t>
            </w:r>
          </w:p>
        </w:tc>
        <w:tc>
          <w:tcPr>
            <w:tcW w:w="2240" w:type="dxa"/>
            <w:gridSpan w:val="2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826" w:right="80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Women</w:t>
            </w:r>
          </w:p>
        </w:tc>
        <w:tc>
          <w:tcPr>
            <w:tcW w:w="2237" w:type="dxa"/>
            <w:gridSpan w:val="2"/>
            <w:tcBorders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189" w:lineRule="exact" w:before="32"/>
              <w:ind w:left="924" w:right="90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Total</w:t>
            </w:r>
          </w:p>
        </w:tc>
      </w:tr>
      <w:tr>
        <w:trPr>
          <w:trHeight w:val="239" w:hRule="atLeast"/>
        </w:trPr>
        <w:tc>
          <w:tcPr>
            <w:tcW w:w="2600" w:type="dxa"/>
            <w:tcBorders>
              <w:top w:val="single" w:sz="6" w:space="0" w:color="D2D2D2"/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2009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2019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2009</w:t>
            </w:r>
          </w:p>
        </w:tc>
        <w:tc>
          <w:tcPr>
            <w:tcW w:w="1121" w:type="dxa"/>
            <w:tcBorders>
              <w:top w:val="single" w:sz="6" w:space="0" w:color="D2D2D2"/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2019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2009</w:t>
            </w:r>
          </w:p>
        </w:tc>
        <w:tc>
          <w:tcPr>
            <w:tcW w:w="1118" w:type="dxa"/>
            <w:tcBorders>
              <w:top w:val="single" w:sz="6" w:space="0" w:color="D2D2D2"/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2019</w:t>
            </w:r>
          </w:p>
        </w:tc>
      </w:tr>
      <w:tr>
        <w:trPr>
          <w:trHeight w:val="229" w:hRule="atLeast"/>
        </w:trPr>
        <w:tc>
          <w:tcPr>
            <w:tcW w:w="2600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119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17%</w:t>
            </w:r>
          </w:p>
        </w:tc>
        <w:tc>
          <w:tcPr>
            <w:tcW w:w="1119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31%</w:t>
            </w:r>
          </w:p>
        </w:tc>
        <w:tc>
          <w:tcPr>
            <w:tcW w:w="1119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24%</w:t>
            </w:r>
          </w:p>
        </w:tc>
        <w:tc>
          <w:tcPr>
            <w:tcW w:w="1121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48%</w:t>
            </w:r>
          </w:p>
        </w:tc>
        <w:tc>
          <w:tcPr>
            <w:tcW w:w="1119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21%</w:t>
            </w:r>
          </w:p>
        </w:tc>
        <w:tc>
          <w:tcPr>
            <w:tcW w:w="1118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39%</w:t>
            </w:r>
          </w:p>
        </w:tc>
      </w:tr>
      <w:tr>
        <w:trPr>
          <w:trHeight w:val="229" w:hRule="atLeast"/>
        </w:trPr>
        <w:tc>
          <w:tcPr>
            <w:tcW w:w="2600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32%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39%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41%</w:t>
            </w:r>
          </w:p>
        </w:tc>
        <w:tc>
          <w:tcPr>
            <w:tcW w:w="112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51%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36%</w:t>
            </w:r>
          </w:p>
        </w:tc>
        <w:tc>
          <w:tcPr>
            <w:tcW w:w="111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45%</w:t>
            </w:r>
          </w:p>
        </w:tc>
      </w:tr>
      <w:tr>
        <w:trPr>
          <w:trHeight w:val="231" w:hRule="atLeast"/>
        </w:trPr>
        <w:tc>
          <w:tcPr>
            <w:tcW w:w="2600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EU23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29%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38%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40%</w:t>
            </w:r>
          </w:p>
        </w:tc>
        <w:tc>
          <w:tcPr>
            <w:tcW w:w="1121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51%</w:t>
            </w:r>
          </w:p>
        </w:tc>
        <w:tc>
          <w:tcPr>
            <w:tcW w:w="1119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35%</w:t>
            </w:r>
          </w:p>
        </w:tc>
        <w:tc>
          <w:tcPr>
            <w:tcW w:w="1118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44%</w:t>
            </w:r>
          </w:p>
        </w:tc>
      </w:tr>
    </w:tbl>
    <w:p>
      <w:pPr>
        <w:spacing w:line="259" w:lineRule="auto" w:before="129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 Data for the Slovak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Republic: There is a break in the time series, as data for 2019 refer to International Standard Classification of Education</w:t>
      </w:r>
      <w:r>
        <w:rPr>
          <w:rFonts w:ascii="Microsoft Sans Serif"/>
          <w:spacing w:val="-36"/>
          <w:w w:val="80"/>
          <w:sz w:val="18"/>
        </w:rPr>
        <w:t> </w:t>
      </w:r>
      <w:r>
        <w:rPr>
          <w:rFonts w:ascii="Microsoft Sans Serif"/>
          <w:w w:val="90"/>
          <w:sz w:val="18"/>
        </w:rPr>
        <w:t>(ISCED)</w:t>
      </w:r>
      <w:r>
        <w:rPr>
          <w:rFonts w:ascii="Microsoft Sans Serif"/>
          <w:spacing w:val="-7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2011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while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data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for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2009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refer</w:t>
      </w:r>
      <w:r>
        <w:rPr>
          <w:rFonts w:ascii="Microsoft Sans Serif"/>
          <w:spacing w:val="-7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to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ISCED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1997.</w:t>
      </w:r>
    </w:p>
    <w:p>
      <w:pPr>
        <w:spacing w:line="256" w:lineRule="auto" w:before="2"/>
        <w:ind w:left="183" w:right="41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EU23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refers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to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23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countries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that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were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also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OECD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members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2019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(see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Endnote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4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for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37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countries).</w:t>
      </w:r>
    </w:p>
    <w:p>
      <w:pPr>
        <w:spacing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2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[24]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at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Glance</w:t>
      </w:r>
      <w:r>
        <w:rPr>
          <w:rFonts w:ascii="Arial"/>
          <w:i/>
          <w:spacing w:val="12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2020: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Indicators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hyperlink r:id="rId74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https://doi.org/10.1787/69096873-en</w:t>
        </w:r>
        <w:r>
          <w:rPr>
            <w:rFonts w:ascii="Microsoft Sans Serif"/>
            <w:w w:val="80"/>
            <w:position w:val="1"/>
            <w:sz w:val="18"/>
          </w:rPr>
          <w:t>,</w:t>
        </w:r>
        <w:r>
          <w:rPr>
            <w:rFonts w:ascii="Microsoft Sans Serif"/>
            <w:spacing w:val="16"/>
            <w:w w:val="80"/>
            <w:position w:val="1"/>
            <w:sz w:val="18"/>
          </w:rPr>
          <w:t> </w:t>
        </w:r>
      </w:hyperlink>
      <w:r>
        <w:rPr>
          <w:rFonts w:ascii="Microsoft Sans Serif"/>
          <w:w w:val="80"/>
          <w:position w:val="1"/>
          <w:sz w:val="18"/>
        </w:rPr>
        <w:t>Table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A1.2.</w:t>
      </w: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Heading7"/>
        <w:spacing w:before="94"/>
      </w:pPr>
      <w:bookmarkStart w:name="Access, completion and choice of study p" w:id="54"/>
      <w:bookmarkEnd w:id="54"/>
      <w:r>
        <w:rPr>
          <w:i w:val="0"/>
        </w:rPr>
      </w:r>
      <w:r>
        <w:rPr>
          <w:color w:val="616161"/>
        </w:rPr>
        <w:t>Access,</w:t>
      </w:r>
      <w:r>
        <w:rPr>
          <w:color w:val="616161"/>
          <w:spacing w:val="-3"/>
        </w:rPr>
        <w:t> </w:t>
      </w:r>
      <w:r>
        <w:rPr>
          <w:color w:val="616161"/>
        </w:rPr>
        <w:t>completion</w:t>
      </w:r>
      <w:r>
        <w:rPr>
          <w:color w:val="616161"/>
          <w:spacing w:val="-1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choice</w:t>
      </w:r>
      <w:r>
        <w:rPr>
          <w:color w:val="616161"/>
          <w:spacing w:val="-1"/>
        </w:rPr>
        <w:t> </w:t>
      </w:r>
      <w:r>
        <w:rPr>
          <w:color w:val="616161"/>
        </w:rPr>
        <w:t>of</w:t>
      </w:r>
      <w:r>
        <w:rPr>
          <w:color w:val="616161"/>
          <w:spacing w:val="-2"/>
        </w:rPr>
        <w:t> </w:t>
      </w:r>
      <w:r>
        <w:rPr>
          <w:color w:val="616161"/>
        </w:rPr>
        <w:t>study</w:t>
      </w:r>
      <w:r>
        <w:rPr>
          <w:color w:val="616161"/>
          <w:spacing w:val="-3"/>
        </w:rPr>
        <w:t> </w:t>
      </w:r>
      <w:r>
        <w:rPr>
          <w:color w:val="616161"/>
        </w:rPr>
        <w:t>programmes</w:t>
      </w:r>
    </w:p>
    <w:p>
      <w:pPr>
        <w:pStyle w:val="BodyText"/>
        <w:spacing w:before="5"/>
        <w:rPr>
          <w:rFonts w:ascii="Arial"/>
          <w:i/>
          <w:sz w:val="23"/>
        </w:rPr>
      </w:pPr>
    </w:p>
    <w:p>
      <w:pPr>
        <w:pStyle w:val="Heading8"/>
        <w:jc w:val="left"/>
      </w:pPr>
      <w:bookmarkStart w:name="Access" w:id="55"/>
      <w:bookmarkEnd w:id="55"/>
      <w:r>
        <w:rPr>
          <w:b w:val="0"/>
        </w:rPr>
      </w:r>
      <w:r>
        <w:rPr/>
        <w:t>Access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Access to higher education has increased significantly in recent decades (</w:t>
      </w:r>
      <w:hyperlink w:history="true" w:anchor="_bookmark20">
        <w:r>
          <w:rPr/>
          <w:t>Figure 2.4</w:t>
        </w:r>
      </w:hyperlink>
      <w:r>
        <w:rPr/>
        <w:t>). This is due to the</w:t>
      </w:r>
      <w:r>
        <w:rPr>
          <w:spacing w:val="1"/>
        </w:rPr>
        <w:t> </w:t>
      </w:r>
      <w:r>
        <w:rPr/>
        <w:t>expansion of the system and a reduction in student cohorts without a corresponding reduction in the</w:t>
      </w:r>
      <w:r>
        <w:rPr>
          <w:spacing w:val="1"/>
        </w:rPr>
        <w:t> </w:t>
      </w:r>
      <w:r>
        <w:rPr>
          <w:spacing w:val="-1"/>
        </w:rPr>
        <w:t>number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institutions.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led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steadily</w:t>
      </w:r>
      <w:r>
        <w:rPr>
          <w:spacing w:val="-14"/>
        </w:rPr>
        <w:t> </w:t>
      </w:r>
      <w:r>
        <w:rPr/>
        <w:t>growing</w:t>
      </w:r>
      <w:r>
        <w:rPr>
          <w:spacing w:val="-13"/>
        </w:rPr>
        <w:t> </w:t>
      </w:r>
      <w:r>
        <w:rPr/>
        <w:t>acceptance</w:t>
      </w:r>
      <w:r>
        <w:rPr>
          <w:spacing w:val="-12"/>
        </w:rPr>
        <w:t> </w:t>
      </w:r>
      <w:r>
        <w:rPr/>
        <w:t>rate,</w:t>
      </w:r>
      <w:r>
        <w:rPr>
          <w:spacing w:val="-13"/>
        </w:rPr>
        <w:t> </w:t>
      </w:r>
      <w:r>
        <w:rPr/>
        <w:t>resulting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decreased</w:t>
      </w:r>
      <w:r>
        <w:rPr>
          <w:spacing w:val="-13"/>
        </w:rPr>
        <w:t> </w:t>
      </w:r>
      <w:r>
        <w:rPr/>
        <w:t>selectivity</w:t>
      </w:r>
      <w:r>
        <w:rPr>
          <w:spacing w:val="1"/>
        </w:rPr>
        <w:t> </w:t>
      </w:r>
      <w:r>
        <w:rPr/>
        <w:t>of HEIs. In 2019, around 90% of applicants to Slovak HEIs were accepted, and around 90% of accepted</w:t>
      </w:r>
      <w:r>
        <w:rPr>
          <w:spacing w:val="1"/>
        </w:rPr>
        <w:t> </w:t>
      </w:r>
      <w:r>
        <w:rPr>
          <w:position w:val="1"/>
        </w:rPr>
        <w:t>applicants</w:t>
      </w:r>
      <w:r>
        <w:rPr>
          <w:spacing w:val="-1"/>
          <w:position w:val="1"/>
        </w:rPr>
        <w:t> </w:t>
      </w:r>
      <w:r>
        <w:rPr>
          <w:position w:val="1"/>
        </w:rPr>
        <w:t>enrolled (MoE,</w:t>
      </w:r>
      <w:r>
        <w:rPr>
          <w:spacing w:val="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[15]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3"/>
        <w:jc w:val="both"/>
      </w:pPr>
      <w:r>
        <w:rPr/>
        <w:t>The high acceptance rate is a consequence of the decline of the age cohorts usually entering higher</w:t>
      </w:r>
      <w:r>
        <w:rPr>
          <w:spacing w:val="1"/>
        </w:rPr>
        <w:t> </w:t>
      </w:r>
      <w:r>
        <w:rPr/>
        <w:t>education on the one hand and the decline in the number of applications received by Slovak HEIs on the</w:t>
      </w:r>
      <w:r>
        <w:rPr>
          <w:spacing w:val="1"/>
        </w:rPr>
        <w:t> </w:t>
      </w:r>
      <w:r>
        <w:rPr/>
        <w:t>other.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2019,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reference</w:t>
      </w:r>
      <w:r>
        <w:rPr>
          <w:spacing w:val="-8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19-year-olds</w:t>
      </w:r>
      <w:r>
        <w:rPr>
          <w:spacing w:val="-6"/>
        </w:rPr>
        <w:t> </w:t>
      </w:r>
      <w:r>
        <w:rPr/>
        <w:t>declined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approximately</w:t>
      </w:r>
      <w:r>
        <w:rPr>
          <w:spacing w:val="-8"/>
        </w:rPr>
        <w:t> </w:t>
      </w:r>
      <w:r>
        <w:rPr/>
        <w:t>70%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its</w:t>
      </w:r>
      <w:r>
        <w:rPr>
          <w:spacing w:val="1"/>
        </w:rPr>
        <w:t> </w:t>
      </w:r>
      <w:r>
        <w:rPr>
          <w:position w:val="1"/>
        </w:rPr>
        <w:t>2010 level (Eurostat, 2021</w:t>
      </w:r>
      <w:r>
        <w:rPr>
          <w:sz w:val="13"/>
        </w:rPr>
        <w:t>[25]</w:t>
      </w:r>
      <w:r>
        <w:rPr>
          <w:position w:val="1"/>
        </w:rPr>
        <w:t>), while the number of higher education applications dropped to 54% of its</w:t>
      </w:r>
      <w:r>
        <w:rPr>
          <w:spacing w:val="1"/>
          <w:position w:val="1"/>
        </w:rPr>
        <w:t> </w:t>
      </w:r>
      <w:r>
        <w:rPr>
          <w:position w:val="1"/>
        </w:rPr>
        <w:t>2010 level (MoE, 2019</w:t>
      </w:r>
      <w:r>
        <w:rPr>
          <w:sz w:val="13"/>
        </w:rPr>
        <w:t>[15]</w:t>
      </w:r>
      <w:r>
        <w:rPr>
          <w:position w:val="1"/>
        </w:rPr>
        <w:t>). This suggests that both demographic decline and the low attractiveness of</w:t>
      </w:r>
      <w:r>
        <w:rPr>
          <w:spacing w:val="1"/>
          <w:position w:val="1"/>
        </w:rPr>
        <w:t> </w:t>
      </w:r>
      <w:r>
        <w:rPr>
          <w:spacing w:val="-1"/>
        </w:rPr>
        <w:t>higher</w:t>
      </w:r>
      <w:r>
        <w:rPr>
          <w:spacing w:val="-10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pathway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young</w:t>
      </w:r>
      <w:r>
        <w:rPr>
          <w:spacing w:val="-11"/>
        </w:rPr>
        <w:t> </w:t>
      </w:r>
      <w:r>
        <w:rPr>
          <w:spacing w:val="-1"/>
        </w:rPr>
        <w:t>adults</w:t>
      </w:r>
      <w:r>
        <w:rPr>
          <w:spacing w:val="-12"/>
        </w:rPr>
        <w:t> </w:t>
      </w:r>
      <w:r>
        <w:rPr>
          <w:spacing w:val="-1"/>
        </w:rPr>
        <w:t>contribute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shrinking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size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cohorts.</w:t>
      </w:r>
    </w:p>
    <w:p>
      <w:pPr>
        <w:pStyle w:val="BodyText"/>
        <w:spacing w:line="271" w:lineRule="auto" w:before="121"/>
        <w:ind w:left="183" w:right="303"/>
        <w:jc w:val="both"/>
      </w:pPr>
      <w:r>
        <w:rPr/>
        <w:t>Application</w:t>
      </w:r>
      <w:r>
        <w:rPr>
          <w:spacing w:val="-9"/>
        </w:rPr>
        <w:t> </w:t>
      </w:r>
      <w:r>
        <w:rPr/>
        <w:t>statistics</w:t>
      </w:r>
      <w:r>
        <w:rPr>
          <w:spacing w:val="-7"/>
        </w:rPr>
        <w:t> </w:t>
      </w:r>
      <w:r>
        <w:rPr/>
        <w:t>produced</w:t>
      </w:r>
      <w:r>
        <w:rPr>
          <w:spacing w:val="-9"/>
        </w:rPr>
        <w:t> </w:t>
      </w:r>
      <w:r>
        <w:rPr/>
        <w:t>annually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MoE</w:t>
      </w:r>
      <w:r>
        <w:rPr>
          <w:spacing w:val="-8"/>
        </w:rPr>
        <w:t> </w:t>
      </w:r>
      <w:r>
        <w:rPr/>
        <w:t>reveal</w:t>
      </w:r>
      <w:r>
        <w:rPr>
          <w:spacing w:val="-7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rates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selectivity</w:t>
      </w:r>
      <w:r>
        <w:rPr>
          <w:spacing w:val="-10"/>
        </w:rPr>
        <w:t> </w:t>
      </w:r>
      <w:r>
        <w:rPr/>
        <w:t>among</w:t>
      </w:r>
      <w:r>
        <w:rPr>
          <w:spacing w:val="-8"/>
        </w:rPr>
        <w:t> </w:t>
      </w:r>
      <w:r>
        <w:rPr/>
        <w:t>HEIs.</w:t>
      </w:r>
      <w:r>
        <w:rPr>
          <w:spacing w:val="-6"/>
        </w:rPr>
        <w:t> </w:t>
      </w:r>
      <w:r>
        <w:rPr/>
        <w:t>Small</w:t>
      </w:r>
      <w:r>
        <w:rPr>
          <w:spacing w:val="1"/>
        </w:rPr>
        <w:t> </w:t>
      </w:r>
      <w:r>
        <w:rPr/>
        <w:t>HEIs with a focus on the arts (VŠMU, VŠVU Bratislava and AU Banská Bystrica), along with the state</w:t>
      </w:r>
      <w:r>
        <w:rPr>
          <w:spacing w:val="1"/>
        </w:rPr>
        <w:t> </w:t>
      </w:r>
      <w:r>
        <w:rPr/>
        <w:t>police academy (Akadémia PZ), and HEIs in the healthcare field are able to be the most selective in their</w:t>
      </w:r>
      <w:r>
        <w:rPr>
          <w:spacing w:val="-53"/>
        </w:rPr>
        <w:t> </w:t>
      </w:r>
      <w:r>
        <w:rPr/>
        <w:t>acceptance process</w:t>
      </w:r>
      <w:r>
        <w:rPr>
          <w:spacing w:val="1"/>
        </w:rPr>
        <w:t> </w:t>
      </w:r>
      <w:r>
        <w:rPr/>
        <w:t>(accepting every third applicant), and have seen more than 80% of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>
          <w:position w:val="1"/>
        </w:rPr>
        <w:t>applicants enrol in the HEI (MoE, 2019</w:t>
      </w:r>
      <w:r>
        <w:rPr>
          <w:sz w:val="13"/>
        </w:rPr>
        <w:t>[15]</w:t>
      </w:r>
      <w:r>
        <w:rPr>
          <w:position w:val="1"/>
        </w:rPr>
        <w:t>). Various causes explain the differences in selectivity rates,</w:t>
      </w:r>
      <w:r>
        <w:rPr>
          <w:spacing w:val="1"/>
          <w:position w:val="1"/>
        </w:rPr>
        <w:t> </w:t>
      </w:r>
      <w:r>
        <w:rPr/>
        <w:t>including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small</w:t>
      </w:r>
      <w:r>
        <w:rPr>
          <w:spacing w:val="12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study</w:t>
      </w:r>
      <w:r>
        <w:rPr>
          <w:spacing w:val="9"/>
        </w:rPr>
        <w:t> </w:t>
      </w:r>
      <w:r>
        <w:rPr/>
        <w:t>spaces</w:t>
      </w:r>
      <w:r>
        <w:rPr>
          <w:spacing w:val="13"/>
        </w:rPr>
        <w:t> </w:t>
      </w:r>
      <w:r>
        <w:rPr/>
        <w:t>available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highly</w:t>
      </w:r>
      <w:r>
        <w:rPr>
          <w:spacing w:val="9"/>
        </w:rPr>
        <w:t> </w:t>
      </w:r>
      <w:r>
        <w:rPr/>
        <w:t>specialised</w:t>
      </w:r>
      <w:r>
        <w:rPr>
          <w:spacing w:val="14"/>
        </w:rPr>
        <w:t> </w:t>
      </w:r>
      <w:r>
        <w:rPr/>
        <w:t>institutions.</w:t>
      </w:r>
      <w:r>
        <w:rPr>
          <w:spacing w:val="15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may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/>
      </w:pPr>
      <w:r>
        <w:rPr/>
        <w:t>also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signal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greater</w:t>
      </w:r>
      <w:r>
        <w:rPr>
          <w:spacing w:val="-8"/>
        </w:rPr>
        <w:t> </w:t>
      </w:r>
      <w:r>
        <w:rPr/>
        <w:t>attractiveness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HEIs.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contrast,</w:t>
      </w:r>
      <w:r>
        <w:rPr>
          <w:spacing w:val="-9"/>
        </w:rPr>
        <w:t> </w:t>
      </w:r>
      <w:r>
        <w:rPr/>
        <w:t>some</w:t>
      </w:r>
      <w:r>
        <w:rPr>
          <w:spacing w:val="-8"/>
        </w:rPr>
        <w:t> </w:t>
      </w:r>
      <w:r>
        <w:rPr/>
        <w:t>HEIs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acceptance</w:t>
      </w:r>
      <w:r>
        <w:rPr>
          <w:spacing w:val="-9"/>
        </w:rPr>
        <w:t> </w:t>
      </w:r>
      <w:r>
        <w:rPr/>
        <w:t>rates</w:t>
      </w:r>
      <w:r>
        <w:rPr>
          <w:spacing w:val="-52"/>
        </w:rPr>
        <w:t> </w:t>
      </w:r>
      <w:r>
        <w:rPr/>
        <w:t>close</w:t>
      </w:r>
      <w:r>
        <w:rPr>
          <w:spacing w:val="-2"/>
        </w:rPr>
        <w:t> </w:t>
      </w:r>
      <w:r>
        <w:rPr/>
        <w:t>to 100%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share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enrolled</w:t>
      </w:r>
      <w:r>
        <w:rPr>
          <w:spacing w:val="-2"/>
        </w:rPr>
        <w:t> </w:t>
      </w:r>
      <w:r>
        <w:rPr/>
        <w:t>students, as</w:t>
      </w:r>
      <w:r>
        <w:rPr>
          <w:spacing w:val="-1"/>
        </w:rPr>
        <w:t> </w:t>
      </w:r>
      <w:r>
        <w:rPr/>
        <w:t>illustrated in</w:t>
      </w:r>
      <w:r>
        <w:rPr>
          <w:spacing w:val="4"/>
        </w:rPr>
        <w:t> </w:t>
      </w:r>
      <w:hyperlink w:history="true" w:anchor="_bookmark21">
        <w:r>
          <w:rPr/>
          <w:t>Figure</w:t>
        </w:r>
        <w:r>
          <w:rPr>
            <w:spacing w:val="1"/>
          </w:rPr>
          <w:t> </w:t>
        </w:r>
        <w:r>
          <w:rPr/>
          <w:t>2.5</w:t>
        </w:r>
      </w:hyperlink>
      <w:r>
        <w:rPr/>
        <w:t>).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83" w:right="0" w:firstLine="0"/>
        <w:jc w:val="left"/>
        <w:rPr>
          <w:rFonts w:ascii="Arial"/>
          <w:b/>
          <w:sz w:val="24"/>
        </w:rPr>
      </w:pPr>
      <w:bookmarkStart w:name="_bookmark20" w:id="56"/>
      <w:bookmarkEnd w:id="56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2.4.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University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application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process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at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national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level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Republic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(2010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19)</w:t>
      </w:r>
    </w:p>
    <w:p>
      <w:pPr>
        <w:pStyle w:val="Heading6"/>
        <w:spacing w:before="191"/>
      </w:pPr>
      <w:r>
        <w:rPr>
          <w:w w:val="80"/>
        </w:rPr>
        <w:t>Bachelor’s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long</w:t>
      </w:r>
      <w:r>
        <w:rPr>
          <w:spacing w:val="12"/>
          <w:w w:val="80"/>
        </w:rPr>
        <w:t> </w:t>
      </w:r>
      <w:r>
        <w:rPr>
          <w:w w:val="80"/>
        </w:rPr>
        <w:t>first-degree</w:t>
      </w:r>
      <w:r>
        <w:rPr>
          <w:spacing w:val="13"/>
          <w:w w:val="80"/>
        </w:rPr>
        <w:t> </w:t>
      </w:r>
      <w:r>
        <w:rPr>
          <w:w w:val="80"/>
        </w:rPr>
        <w:t>programmes</w:t>
      </w:r>
    </w:p>
    <w:p>
      <w:pPr>
        <w:pStyle w:val="BodyText"/>
        <w:spacing w:before="1"/>
        <w:rPr>
          <w:rFonts w:ascii="Microsoft Sans Serif"/>
          <w:sz w:val="2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923017</wp:posOffset>
            </wp:positionH>
            <wp:positionV relativeFrom="paragraph">
              <wp:posOffset>212613</wp:posOffset>
            </wp:positionV>
            <wp:extent cx="5683017" cy="2977229"/>
            <wp:effectExtent l="0" t="0" r="0" b="0"/>
            <wp:wrapTopAndBottom/>
            <wp:docPr id="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017" cy="297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207"/>
        <w:ind w:left="183" w:right="303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Source:</w:t>
      </w:r>
      <w:r>
        <w:rPr>
          <w:rFonts w:ascii="Microsoft Sans Serif" w:hAnsi="Microsoft Sans Serif"/>
          <w:spacing w:val="7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Ministry</w:t>
      </w:r>
      <w:r>
        <w:rPr>
          <w:rFonts w:ascii="Microsoft Sans Serif" w:hAnsi="Microsoft Sans Serif"/>
          <w:spacing w:val="6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7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Education,</w:t>
      </w:r>
      <w:r>
        <w:rPr>
          <w:rFonts w:ascii="Microsoft Sans Serif" w:hAnsi="Microsoft Sans Serif"/>
          <w:spacing w:val="8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Science,</w:t>
      </w:r>
      <w:r>
        <w:rPr>
          <w:rFonts w:ascii="Microsoft Sans Serif" w:hAnsi="Microsoft Sans Serif"/>
          <w:spacing w:val="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Research</w:t>
      </w:r>
      <w:r>
        <w:rPr>
          <w:rFonts w:ascii="Microsoft Sans Serif" w:hAnsi="Microsoft Sans Serif"/>
          <w:spacing w:val="7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and</w:t>
      </w:r>
      <w:r>
        <w:rPr>
          <w:rFonts w:ascii="Microsoft Sans Serif" w:hAnsi="Microsoft Sans Serif"/>
          <w:spacing w:val="7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Sport</w:t>
      </w:r>
      <w:r>
        <w:rPr>
          <w:rFonts w:ascii="Microsoft Sans Serif" w:hAnsi="Microsoft Sans Serif"/>
          <w:spacing w:val="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7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the</w:t>
      </w:r>
      <w:r>
        <w:rPr>
          <w:rFonts w:ascii="Microsoft Sans Serif" w:hAnsi="Microsoft Sans Serif"/>
          <w:spacing w:val="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Slovak</w:t>
      </w:r>
      <w:r>
        <w:rPr>
          <w:rFonts w:ascii="Microsoft Sans Serif" w:hAnsi="Microsoft Sans Serif"/>
          <w:spacing w:val="18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Republic</w:t>
      </w:r>
      <w:r>
        <w:rPr>
          <w:rFonts w:ascii="Microsoft Sans Serif" w:hAnsi="Microsoft Sans Serif"/>
          <w:spacing w:val="7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(2019</w:t>
      </w:r>
      <w:r>
        <w:rPr>
          <w:rFonts w:ascii="Microsoft Sans Serif" w:hAnsi="Microsoft Sans Serif"/>
          <w:w w:val="80"/>
          <w:sz w:val="12"/>
        </w:rPr>
        <w:t>[15]</w:t>
      </w:r>
      <w:r>
        <w:rPr>
          <w:rFonts w:ascii="Microsoft Sans Serif" w:hAnsi="Microsoft Sans Serif"/>
          <w:w w:val="80"/>
          <w:position w:val="1"/>
          <w:sz w:val="18"/>
        </w:rPr>
        <w:t>),</w:t>
      </w:r>
      <w:r>
        <w:rPr>
          <w:rFonts w:ascii="Microsoft Sans Serif" w:hAnsi="Microsoft Sans Serif"/>
          <w:spacing w:val="8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Výročná</w:t>
      </w:r>
      <w:r>
        <w:rPr>
          <w:rFonts w:ascii="Arial" w:hAnsi="Arial"/>
          <w:i/>
          <w:spacing w:val="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správa</w:t>
      </w:r>
      <w:r>
        <w:rPr>
          <w:rFonts w:ascii="Arial" w:hAnsi="Arial"/>
          <w:i/>
          <w:spacing w:val="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o</w:t>
      </w:r>
      <w:r>
        <w:rPr>
          <w:rFonts w:ascii="Arial" w:hAnsi="Arial"/>
          <w:i/>
          <w:spacing w:val="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stave</w:t>
      </w:r>
      <w:r>
        <w:rPr>
          <w:rFonts w:ascii="Arial" w:hAnsi="Arial"/>
          <w:i/>
          <w:spacing w:val="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vysokého</w:t>
      </w:r>
      <w:r>
        <w:rPr>
          <w:rFonts w:ascii="Arial" w:hAnsi="Arial"/>
          <w:i/>
          <w:spacing w:val="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školstva</w:t>
      </w:r>
      <w:r>
        <w:rPr>
          <w:rFonts w:ascii="Arial" w:hAnsi="Arial"/>
          <w:i/>
          <w:spacing w:val="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za</w:t>
      </w:r>
      <w:r>
        <w:rPr>
          <w:rFonts w:ascii="Arial" w:hAnsi="Arial"/>
          <w:i/>
          <w:spacing w:val="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rok</w:t>
      </w:r>
      <w:r>
        <w:rPr>
          <w:rFonts w:ascii="Arial" w:hAnsi="Arial"/>
          <w:i/>
          <w:spacing w:val="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sz w:val="18"/>
        </w:rPr>
        <w:t>2019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[Annual</w:t>
      </w:r>
      <w:r>
        <w:rPr>
          <w:rFonts w:ascii="Arial" w:hAnsi="Arial"/>
          <w:i/>
          <w:spacing w:val="7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Report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on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the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State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of</w:t>
      </w:r>
      <w:r>
        <w:rPr>
          <w:rFonts w:ascii="Arial" w:hAnsi="Arial"/>
          <w:i/>
          <w:spacing w:val="9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Higher</w:t>
      </w:r>
      <w:r>
        <w:rPr>
          <w:rFonts w:ascii="Arial" w:hAnsi="Arial"/>
          <w:i/>
          <w:spacing w:val="5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Education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for</w:t>
      </w:r>
      <w:r>
        <w:rPr>
          <w:rFonts w:ascii="Arial" w:hAnsi="Arial"/>
          <w:i/>
          <w:spacing w:val="5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2019]</w:t>
      </w:r>
      <w:r>
        <w:rPr>
          <w:rFonts w:ascii="Microsoft Sans Serif" w:hAnsi="Microsoft Sans Serif"/>
          <w:w w:val="80"/>
          <w:sz w:val="18"/>
        </w:rPr>
        <w:t>,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hyperlink r:id="rId60">
        <w:r>
          <w:rPr>
            <w:rFonts w:ascii="Microsoft Sans Serif" w:hAnsi="Microsoft Sans Serif"/>
            <w:color w:val="0000FF"/>
            <w:w w:val="80"/>
            <w:sz w:val="18"/>
            <w:u w:val="single" w:color="0000FF"/>
          </w:rPr>
          <w:t>https://www.minedu.sk/vyrocne-spravy-o-stave-vysokeho-skolstva/</w:t>
        </w:r>
        <w:r>
          <w:rPr>
            <w:rFonts w:ascii="Microsoft Sans Serif" w:hAnsi="Microsoft Sans Serif"/>
            <w:w w:val="80"/>
            <w:sz w:val="18"/>
          </w:rPr>
          <w:t>.</w:t>
        </w:r>
      </w:hyperlink>
    </w:p>
    <w:p>
      <w:pPr>
        <w:pStyle w:val="BodyText"/>
        <w:spacing w:before="10"/>
        <w:rPr>
          <w:rFonts w:ascii="Microsoft Sans Serif"/>
          <w:sz w:val="21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76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https://doi.org/10.1787/888934278997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71" w:lineRule="auto" w:before="93"/>
        <w:ind w:left="183" w:right="306"/>
        <w:jc w:val="both"/>
      </w:pPr>
      <w:r>
        <w:rPr/>
        <w:t>While the average selectivity of Slovak HEIs has declined, this does not mean that students from all</w:t>
      </w:r>
      <w:r>
        <w:rPr>
          <w:spacing w:val="1"/>
        </w:rPr>
        <w:t> </w:t>
      </w:r>
      <w:r>
        <w:rPr/>
        <w:t>backgrounds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access</w:t>
      </w:r>
      <w:r>
        <w:rPr>
          <w:spacing w:val="-10"/>
        </w:rPr>
        <w:t> </w:t>
      </w:r>
      <w:r>
        <w:rPr/>
        <w:t>higher</w:t>
      </w:r>
      <w:r>
        <w:rPr>
          <w:spacing w:val="-10"/>
        </w:rPr>
        <w:t> </w:t>
      </w:r>
      <w:r>
        <w:rPr/>
        <w:t>education.</w:t>
      </w:r>
      <w:r>
        <w:rPr>
          <w:spacing w:val="-9"/>
        </w:rPr>
        <w:t> </w:t>
      </w:r>
      <w:r>
        <w:rPr/>
        <w:t>Some</w:t>
      </w:r>
      <w:r>
        <w:rPr>
          <w:spacing w:val="-11"/>
        </w:rPr>
        <w:t> </w:t>
      </w:r>
      <w:r>
        <w:rPr/>
        <w:t>groups</w:t>
      </w:r>
      <w:r>
        <w:rPr>
          <w:spacing w:val="-10"/>
        </w:rPr>
        <w:t> </w:t>
      </w:r>
      <w:r>
        <w:rPr/>
        <w:t>remain</w:t>
      </w:r>
      <w:r>
        <w:rPr>
          <w:spacing w:val="-11"/>
        </w:rPr>
        <w:t> </w:t>
      </w:r>
      <w:r>
        <w:rPr/>
        <w:t>significantly</w:t>
      </w:r>
      <w:r>
        <w:rPr>
          <w:spacing w:val="-14"/>
        </w:rPr>
        <w:t> </w:t>
      </w:r>
      <w:r>
        <w:rPr/>
        <w:t>under-represented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Slovak</w:t>
      </w:r>
      <w:r>
        <w:rPr>
          <w:spacing w:val="1"/>
        </w:rPr>
        <w:t> </w:t>
      </w:r>
      <w:r>
        <w:rPr>
          <w:position w:val="1"/>
        </w:rPr>
        <w:t>higher</w:t>
      </w:r>
      <w:r>
        <w:rPr>
          <w:spacing w:val="-1"/>
          <w:position w:val="1"/>
        </w:rPr>
        <w:t> </w:t>
      </w:r>
      <w:r>
        <w:rPr>
          <w:position w:val="1"/>
        </w:rPr>
        <w:t>education</w:t>
      </w:r>
      <w:r>
        <w:rPr>
          <w:spacing w:val="-3"/>
          <w:position w:val="1"/>
        </w:rPr>
        <w:t> </w:t>
      </w:r>
      <w:r>
        <w:rPr>
          <w:position w:val="1"/>
        </w:rPr>
        <w:t>(particularly</w:t>
      </w:r>
      <w:r>
        <w:rPr>
          <w:spacing w:val="-3"/>
          <w:position w:val="1"/>
        </w:rPr>
        <w:t> </w:t>
      </w:r>
      <w:r>
        <w:rPr>
          <w:position w:val="1"/>
        </w:rPr>
        <w:t>Roma</w:t>
      </w:r>
      <w:r>
        <w:rPr>
          <w:spacing w:val="-2"/>
          <w:position w:val="1"/>
        </w:rPr>
        <w:t> </w:t>
      </w:r>
      <w:r>
        <w:rPr>
          <w:position w:val="1"/>
        </w:rPr>
        <w:t>students),</w:t>
      </w:r>
      <w:r>
        <w:rPr>
          <w:spacing w:val="-2"/>
          <w:position w:val="1"/>
        </w:rPr>
        <w:t> </w:t>
      </w:r>
      <w:r>
        <w:rPr>
          <w:position w:val="1"/>
        </w:rPr>
        <w:t>raising</w:t>
      </w:r>
      <w:r>
        <w:rPr>
          <w:spacing w:val="2"/>
          <w:position w:val="1"/>
        </w:rPr>
        <w:t> </w:t>
      </w:r>
      <w:r>
        <w:rPr>
          <w:position w:val="1"/>
        </w:rPr>
        <w:t>key</w:t>
      </w:r>
      <w:r>
        <w:rPr>
          <w:spacing w:val="-8"/>
          <w:position w:val="1"/>
        </w:rPr>
        <w:t> </w:t>
      </w:r>
      <w:r>
        <w:rPr>
          <w:position w:val="1"/>
        </w:rPr>
        <w:t>equity</w:t>
      </w:r>
      <w:r>
        <w:rPr>
          <w:spacing w:val="-3"/>
          <w:position w:val="1"/>
        </w:rPr>
        <w:t> </w:t>
      </w:r>
      <w:r>
        <w:rPr>
          <w:position w:val="1"/>
        </w:rPr>
        <w:t>issues</w:t>
      </w:r>
      <w:r>
        <w:rPr>
          <w:spacing w:val="2"/>
          <w:position w:val="1"/>
        </w:rPr>
        <w:t> </w:t>
      </w:r>
      <w:r>
        <w:rPr>
          <w:position w:val="1"/>
        </w:rPr>
        <w:t>(OECD,</w:t>
      </w:r>
      <w:r>
        <w:rPr>
          <w:spacing w:val="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[1]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In addition, adult learners comprise a small share of higher education students in the Slovak Republic.</w:t>
      </w:r>
      <w:r>
        <w:rPr>
          <w:spacing w:val="1"/>
        </w:rPr>
        <w:t> </w:t>
      </w:r>
      <w:r>
        <w:rPr/>
        <w:t>Approximately 85% of new entrants at the bachelor level in the Slovak Republic are below the age of 25.</w:t>
      </w:r>
      <w:r>
        <w:rPr>
          <w:spacing w:val="1"/>
        </w:rPr>
        <w:t> </w:t>
      </w:r>
      <w:r>
        <w:rPr/>
        <w:t>While</w:t>
      </w:r>
      <w:r>
        <w:rPr>
          <w:spacing w:val="-13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broadly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line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OECD</w:t>
      </w:r>
      <w:r>
        <w:rPr>
          <w:spacing w:val="-10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(84%),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share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below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age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25</w:t>
      </w:r>
      <w:r>
        <w:rPr>
          <w:spacing w:val="-7"/>
        </w:rPr>
        <w:t> </w:t>
      </w:r>
      <w:r>
        <w:rPr/>
        <w:t>varies</w:t>
      </w:r>
      <w:r>
        <w:rPr>
          <w:spacing w:val="1"/>
        </w:rPr>
        <w:t> </w:t>
      </w:r>
      <w:r>
        <w:rPr/>
        <w:t>significantly across countries, from more than 96% in Belgium, Japan and Korea, to 68-69% in Israel,</w:t>
      </w:r>
      <w:r>
        <w:rPr>
          <w:spacing w:val="1"/>
        </w:rPr>
        <w:t> </w:t>
      </w:r>
      <w:r>
        <w:rPr/>
        <w:t>Sweden and Switzerland. The gap between the Slovak Republic and the OECD average widens at the</w:t>
      </w:r>
      <w:r>
        <w:rPr>
          <w:spacing w:val="1"/>
        </w:rPr>
        <w:t> </w:t>
      </w:r>
      <w:r>
        <w:rPr/>
        <w:t>master level, as 88% of new entrants at master level are below the age of 30 in the Slovak Republic,</w:t>
      </w:r>
      <w:r>
        <w:rPr>
          <w:spacing w:val="1"/>
        </w:rPr>
        <w:t> </w:t>
      </w:r>
      <w:r>
        <w:rPr/>
        <w:t>significantly above the OECD average of 74%. Similarly, 66% of new entrants at the doctoral level are</w:t>
      </w:r>
      <w:r>
        <w:rPr>
          <w:spacing w:val="1"/>
        </w:rPr>
        <w:t> </w:t>
      </w:r>
      <w:r>
        <w:rPr/>
        <w:t>below 30 in the Slovak Republic, significantly above the OECD average of 57% (OECD, 2020, pp. 212,</w:t>
      </w:r>
      <w:r>
        <w:rPr>
          <w:spacing w:val="1"/>
        </w:rPr>
        <w:t> </w:t>
      </w:r>
      <w:r>
        <w:rPr>
          <w:position w:val="1"/>
        </w:rPr>
        <w:t>Table B4.3</w:t>
      </w:r>
      <w:r>
        <w:rPr>
          <w:sz w:val="13"/>
        </w:rPr>
        <w:t>[24]</w:t>
      </w:r>
      <w:r>
        <w:rPr>
          <w:position w:val="1"/>
        </w:rPr>
        <w:t>). The age profile of higher education students is consistent with findings of recent analysis</w:t>
      </w:r>
      <w:r>
        <w:rPr>
          <w:spacing w:val="1"/>
          <w:position w:val="1"/>
        </w:rPr>
        <w:t> </w:t>
      </w:r>
      <w:r>
        <w:rPr/>
        <w:t>that pointed out the need to increase the accessibility and attractiveness of educational and training</w:t>
      </w:r>
      <w:r>
        <w:rPr>
          <w:spacing w:val="1"/>
        </w:rPr>
        <w:t> </w:t>
      </w:r>
      <w:r>
        <w:rPr>
          <w:position w:val="1"/>
        </w:rPr>
        <w:t>opportunities</w:t>
      </w:r>
      <w:r>
        <w:rPr>
          <w:spacing w:val="-1"/>
          <w:position w:val="1"/>
        </w:rPr>
        <w:t> </w:t>
      </w:r>
      <w:r>
        <w:rPr>
          <w:position w:val="1"/>
        </w:rPr>
        <w:t>for</w:t>
      </w:r>
      <w:r>
        <w:rPr>
          <w:spacing w:val="-2"/>
          <w:position w:val="1"/>
        </w:rPr>
        <w:t> </w:t>
      </w:r>
      <w:r>
        <w:rPr>
          <w:position w:val="1"/>
        </w:rPr>
        <w:t>adults</w:t>
      </w:r>
      <w:r>
        <w:rPr>
          <w:spacing w:val="2"/>
          <w:position w:val="1"/>
        </w:rPr>
        <w:t> </w:t>
      </w:r>
      <w:r>
        <w:rPr>
          <w:position w:val="1"/>
        </w:rPr>
        <w:t>in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Slovak</w:t>
      </w:r>
      <w:r>
        <w:rPr>
          <w:spacing w:val="1"/>
          <w:position w:val="1"/>
        </w:rPr>
        <w:t> </w:t>
      </w:r>
      <w:r>
        <w:rPr>
          <w:position w:val="1"/>
        </w:rPr>
        <w:t>Republic</w:t>
      </w:r>
      <w:r>
        <w:rPr>
          <w:spacing w:val="2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[5]</w:t>
      </w:r>
      <w:r>
        <w:rPr>
          <w:position w:val="1"/>
        </w:rPr>
        <w:t>).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before="165"/>
        <w:ind w:left="183" w:right="0" w:firstLine="0"/>
        <w:jc w:val="both"/>
        <w:rPr>
          <w:rFonts w:ascii="Arial"/>
          <w:b/>
          <w:sz w:val="24"/>
        </w:rPr>
      </w:pPr>
      <w:bookmarkStart w:name="_bookmark21" w:id="57"/>
      <w:bookmarkEnd w:id="57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2.5.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University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application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process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at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level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Republic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(2019)</w:t>
      </w:r>
    </w:p>
    <w:p>
      <w:pPr>
        <w:pStyle w:val="BodyText"/>
        <w:spacing w:before="5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962882</wp:posOffset>
            </wp:positionH>
            <wp:positionV relativeFrom="paragraph">
              <wp:posOffset>218091</wp:posOffset>
            </wp:positionV>
            <wp:extent cx="5609388" cy="2937795"/>
            <wp:effectExtent l="0" t="0" r="0" b="0"/>
            <wp:wrapTopAndBottom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388" cy="293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spacing w:line="256" w:lineRule="auto" w:before="1"/>
        <w:ind w:left="183" w:right="301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Sources: Ministry</w:t>
      </w:r>
      <w:r>
        <w:rPr>
          <w:rFonts w:ascii="Microsoft Sans Serif" w:hAnsi="Microsoft Sans Serif"/>
          <w:spacing w:val="28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 Education, Science, Research</w:t>
      </w:r>
      <w:r>
        <w:rPr>
          <w:rFonts w:ascii="Microsoft Sans Serif" w:hAnsi="Microsoft Sans Serif"/>
          <w:spacing w:val="29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and Sport</w:t>
      </w:r>
      <w:r>
        <w:rPr>
          <w:rFonts w:ascii="Microsoft Sans Serif" w:hAnsi="Microsoft Sans Serif"/>
          <w:spacing w:val="29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28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the Slovak Republic (2019</w:t>
      </w:r>
      <w:r>
        <w:rPr>
          <w:rFonts w:ascii="Microsoft Sans Serif" w:hAnsi="Microsoft Sans Serif"/>
          <w:w w:val="80"/>
          <w:sz w:val="12"/>
        </w:rPr>
        <w:t>[15]</w:t>
      </w:r>
      <w:r>
        <w:rPr>
          <w:rFonts w:ascii="Microsoft Sans Serif" w:hAnsi="Microsoft Sans Serif"/>
          <w:w w:val="80"/>
          <w:position w:val="1"/>
          <w:sz w:val="18"/>
        </w:rPr>
        <w:t>), </w:t>
      </w:r>
      <w:r>
        <w:rPr>
          <w:rFonts w:ascii="Arial" w:hAnsi="Arial"/>
          <w:i/>
          <w:w w:val="80"/>
          <w:position w:val="1"/>
          <w:sz w:val="18"/>
        </w:rPr>
        <w:t>Výročná správa o stave vysokého školstva za</w:t>
      </w:r>
      <w:r>
        <w:rPr>
          <w:rFonts w:ascii="Arial" w:hAnsi="Arial"/>
          <w:i/>
          <w:spacing w:val="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sz w:val="18"/>
        </w:rPr>
        <w:t>rok 2019 [Annual Report on the State of Higher Education for 2019]</w:t>
      </w:r>
      <w:r>
        <w:rPr>
          <w:rFonts w:ascii="Microsoft Sans Serif" w:hAnsi="Microsoft Sans Serif"/>
          <w:w w:val="80"/>
          <w:sz w:val="18"/>
        </w:rPr>
        <w:t>, </w:t>
      </w:r>
      <w:hyperlink r:id="rId60">
        <w:r>
          <w:rPr>
            <w:rFonts w:ascii="Microsoft Sans Serif" w:hAnsi="Microsoft Sans Serif"/>
            <w:color w:val="0000FF"/>
            <w:w w:val="80"/>
            <w:sz w:val="18"/>
            <w:u w:val="single" w:color="0000FF"/>
          </w:rPr>
          <w:t>https://www.minedu.sk/vyrocne-spravy-o-stave-vysokeho-skolstva/</w:t>
        </w:r>
        <w:r>
          <w:rPr>
            <w:rFonts w:ascii="Microsoft Sans Serif" w:hAnsi="Microsoft Sans Serif"/>
            <w:w w:val="80"/>
            <w:sz w:val="18"/>
          </w:rPr>
          <w:t>; </w:t>
        </w:r>
      </w:hyperlink>
      <w:r>
        <w:rPr>
          <w:rFonts w:ascii="Microsoft Sans Serif" w:hAnsi="Microsoft Sans Serif"/>
          <w:w w:val="80"/>
          <w:sz w:val="18"/>
        </w:rPr>
        <w:t>CVTI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(2021</w:t>
      </w:r>
      <w:r>
        <w:rPr>
          <w:rFonts w:ascii="Microsoft Sans Serif" w:hAnsi="Microsoft Sans Serif"/>
          <w:w w:val="80"/>
          <w:sz w:val="12"/>
        </w:rPr>
        <w:t>[16]</w:t>
      </w:r>
      <w:r>
        <w:rPr>
          <w:rFonts w:ascii="Microsoft Sans Serif" w:hAnsi="Microsoft Sans Serif"/>
          <w:w w:val="80"/>
          <w:position w:val="1"/>
          <w:sz w:val="18"/>
        </w:rPr>
        <w:t>), </w:t>
      </w:r>
      <w:r>
        <w:rPr>
          <w:rFonts w:ascii="Arial" w:hAnsi="Arial"/>
          <w:i/>
          <w:w w:val="80"/>
          <w:position w:val="1"/>
          <w:sz w:val="18"/>
        </w:rPr>
        <w:t>Štatistická ročenka - vysoké školy [Statistical Yearbook - Universities]</w:t>
      </w:r>
      <w:r>
        <w:rPr>
          <w:rFonts w:ascii="Microsoft Sans Serif" w:hAnsi="Microsoft Sans Serif"/>
          <w:w w:val="80"/>
          <w:position w:val="1"/>
          <w:sz w:val="18"/>
        </w:rPr>
        <w:t>, </w:t>
      </w:r>
      <w:hyperlink r:id="rId61">
        <w:r>
          <w:rPr>
            <w:rFonts w:ascii="Microsoft Sans Serif" w:hAnsi="Microsoft Sans Serif"/>
            <w:color w:val="0000FF"/>
            <w:w w:val="80"/>
            <w:position w:val="1"/>
            <w:sz w:val="18"/>
            <w:u w:val="single" w:color="0000FF"/>
          </w:rPr>
          <w:t>https://www.cvtisr.sk/cvti-sr-vedecka-kniznica/informacie-o-</w:t>
        </w:r>
      </w:hyperlink>
      <w:r>
        <w:rPr>
          <w:rFonts w:ascii="Microsoft Sans Serif" w:hAnsi="Microsoft Sans Serif"/>
          <w:color w:val="0000FF"/>
          <w:spacing w:val="1"/>
          <w:w w:val="80"/>
          <w:position w:val="1"/>
          <w:sz w:val="18"/>
        </w:rPr>
        <w:t> </w:t>
      </w:r>
      <w:hyperlink r:id="rId61">
        <w:r>
          <w:rPr>
            <w:rFonts w:ascii="Microsoft Sans Serif" w:hAnsi="Microsoft Sans Serif"/>
            <w:color w:val="0000FF"/>
            <w:w w:val="90"/>
            <w:sz w:val="18"/>
            <w:u w:val="single" w:color="0000FF"/>
          </w:rPr>
          <w:t>skolstve/statistiky/statisticka-rocenka-publikacia/statisticka-rocenka-vysoke-skoly.html?page_id=9596</w:t>
        </w:r>
        <w:r>
          <w:rPr>
            <w:rFonts w:ascii="Microsoft Sans Serif" w:hAnsi="Microsoft Sans Serif"/>
            <w:w w:val="90"/>
            <w:sz w:val="18"/>
          </w:rPr>
          <w:t>.</w:t>
        </w:r>
      </w:hyperlink>
    </w:p>
    <w:p>
      <w:pPr>
        <w:pStyle w:val="BodyText"/>
        <w:rPr>
          <w:rFonts w:ascii="Microsoft Sans Serif"/>
          <w:sz w:val="22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78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https://doi.org/10.1787/888934279016</w:t>
        </w:r>
      </w:hyperlink>
    </w:p>
    <w:p>
      <w:pPr>
        <w:pStyle w:val="BodyText"/>
        <w:spacing w:before="10"/>
        <w:rPr>
          <w:rFonts w:ascii="Microsoft Sans Serif"/>
          <w:sz w:val="14"/>
        </w:rPr>
      </w:pPr>
    </w:p>
    <w:p>
      <w:pPr>
        <w:pStyle w:val="Heading8"/>
        <w:spacing w:before="93"/>
        <w:jc w:val="left"/>
      </w:pPr>
      <w:bookmarkStart w:name="Completion" w:id="58"/>
      <w:bookmarkEnd w:id="58"/>
      <w:r>
        <w:rPr>
          <w:b w:val="0"/>
        </w:rPr>
      </w:r>
      <w:r>
        <w:rPr/>
        <w:t>Completion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271" w:lineRule="auto" w:before="1"/>
        <w:ind w:left="183" w:right="306"/>
        <w:jc w:val="both"/>
      </w:pPr>
      <w:r>
        <w:rPr/>
        <w:t>Higher education completion rates refer to the proportion of students who enter a higher education</w:t>
      </w:r>
      <w:r>
        <w:rPr>
          <w:spacing w:val="1"/>
        </w:rPr>
        <w:t> </w:t>
      </w:r>
      <w:r>
        <w:rPr/>
        <w:t>programme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graduate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it</w:t>
      </w:r>
      <w:r>
        <w:rPr>
          <w:spacing w:val="-10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theoretical</w:t>
      </w:r>
      <w:r>
        <w:rPr>
          <w:spacing w:val="-10"/>
        </w:rPr>
        <w:t> </w:t>
      </w:r>
      <w:r>
        <w:rPr/>
        <w:t>duration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programme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within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set</w:t>
      </w:r>
      <w:r>
        <w:rPr>
          <w:spacing w:val="-9"/>
        </w:rPr>
        <w:t> </w:t>
      </w:r>
      <w:r>
        <w:rPr/>
        <w:t>timeframe</w:t>
      </w:r>
      <w:r>
        <w:rPr>
          <w:spacing w:val="-53"/>
        </w:rPr>
        <w:t> </w:t>
      </w:r>
      <w:r>
        <w:rPr/>
        <w:t>(for example the theoretical duration of the programme plus three years). While students may leave a</w:t>
      </w:r>
      <w:r>
        <w:rPr>
          <w:spacing w:val="1"/>
        </w:rPr>
        <w:t> </w:t>
      </w:r>
      <w:r>
        <w:rPr/>
        <w:t>programme for a variety of reasons, such as to pursue attractive employment opportunities or to find a</w:t>
      </w:r>
      <w:r>
        <w:rPr>
          <w:spacing w:val="1"/>
        </w:rPr>
        <w:t> </w:t>
      </w:r>
      <w:r>
        <w:rPr>
          <w:position w:val="1"/>
        </w:rPr>
        <w:t>programme better fit to their needs (OECD, 2019</w:t>
      </w:r>
      <w:r>
        <w:rPr>
          <w:sz w:val="13"/>
        </w:rPr>
        <w:t>[26]</w:t>
      </w:r>
      <w:r>
        <w:rPr>
          <w:position w:val="1"/>
        </w:rPr>
        <w:t>), completion rates provide important information on</w:t>
      </w:r>
      <w:r>
        <w:rPr>
          <w:spacing w:val="1"/>
          <w:position w:val="1"/>
        </w:rPr>
        <w:t> </w:t>
      </w:r>
      <w:r>
        <w:rPr>
          <w:position w:val="1"/>
        </w:rPr>
        <w:t>whether</w:t>
      </w:r>
      <w:r>
        <w:rPr>
          <w:spacing w:val="-4"/>
          <w:position w:val="1"/>
        </w:rPr>
        <w:t> </w:t>
      </w:r>
      <w:r>
        <w:rPr>
          <w:position w:val="1"/>
        </w:rPr>
        <w:t>complete</w:t>
      </w:r>
      <w:r>
        <w:rPr>
          <w:spacing w:val="-5"/>
          <w:position w:val="1"/>
        </w:rPr>
        <w:t> </w:t>
      </w:r>
      <w:r>
        <w:rPr>
          <w:position w:val="1"/>
        </w:rPr>
        <w:t>higher</w:t>
      </w:r>
      <w:r>
        <w:rPr>
          <w:spacing w:val="-2"/>
          <w:position w:val="1"/>
        </w:rPr>
        <w:t> </w:t>
      </w:r>
      <w:r>
        <w:rPr>
          <w:position w:val="1"/>
        </w:rPr>
        <w:t>education</w:t>
      </w:r>
      <w:r>
        <w:rPr>
          <w:spacing w:val="-5"/>
          <w:position w:val="1"/>
        </w:rPr>
        <w:t> </w:t>
      </w:r>
      <w:r>
        <w:rPr>
          <w:position w:val="1"/>
        </w:rPr>
        <w:t>“on</w:t>
      </w:r>
      <w:r>
        <w:rPr>
          <w:spacing w:val="-4"/>
          <w:position w:val="1"/>
        </w:rPr>
        <w:t> </w:t>
      </w:r>
      <w:r>
        <w:rPr>
          <w:position w:val="1"/>
        </w:rPr>
        <w:t>time”,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5"/>
          <w:position w:val="1"/>
        </w:rPr>
        <w:t> </w:t>
      </w:r>
      <w:r>
        <w:rPr>
          <w:position w:val="1"/>
        </w:rPr>
        <w:t>therefore</w:t>
      </w:r>
      <w:r>
        <w:rPr>
          <w:spacing w:val="-4"/>
          <w:position w:val="1"/>
        </w:rPr>
        <w:t> </w:t>
      </w:r>
      <w:r>
        <w:rPr>
          <w:position w:val="1"/>
        </w:rPr>
        <w:t>on the</w:t>
      </w:r>
      <w:r>
        <w:rPr>
          <w:spacing w:val="-3"/>
          <w:position w:val="1"/>
        </w:rPr>
        <w:t> </w:t>
      </w:r>
      <w:r>
        <w:rPr>
          <w:position w:val="1"/>
        </w:rPr>
        <w:t>efficiency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-2"/>
          <w:position w:val="1"/>
        </w:rPr>
        <w:t> </w:t>
      </w:r>
      <w:r>
        <w:rPr>
          <w:position w:val="1"/>
        </w:rPr>
        <w:t>HEIs (OECD,</w:t>
      </w:r>
      <w:r>
        <w:rPr>
          <w:spacing w:val="-2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[27]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In 2017, across the eight OECD countries that submitted cross-cohort data (as no true cohort data was</w:t>
      </w:r>
      <w:r>
        <w:rPr>
          <w:spacing w:val="1"/>
        </w:rPr>
        <w:t> </w:t>
      </w:r>
      <w:r>
        <w:rPr/>
        <w:t>available for the Slovak Republic), 77% of students who entered a bachelor’s programme completed it</w:t>
      </w:r>
      <w:r>
        <w:rPr>
          <w:spacing w:val="1"/>
        </w:rPr>
        <w:t> </w:t>
      </w:r>
      <w:r>
        <w:rPr>
          <w:spacing w:val="-1"/>
        </w:rPr>
        <w:t>within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theoretical</w:t>
      </w:r>
      <w:r>
        <w:rPr>
          <w:spacing w:val="-11"/>
        </w:rPr>
        <w:t> </w:t>
      </w:r>
      <w:r>
        <w:rPr>
          <w:spacing w:val="-1"/>
        </w:rPr>
        <w:t>duration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programme.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1"/>
        </w:rPr>
        <w:t> </w:t>
      </w:r>
      <w:r>
        <w:rPr/>
        <w:t>Republic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significantly</w:t>
      </w:r>
      <w:r>
        <w:rPr>
          <w:spacing w:val="-13"/>
        </w:rPr>
        <w:t> </w:t>
      </w:r>
      <w:r>
        <w:rPr/>
        <w:t>below</w:t>
      </w:r>
      <w:r>
        <w:rPr>
          <w:spacing w:val="-12"/>
        </w:rPr>
        <w:t> </w:t>
      </w:r>
      <w:r>
        <w:rPr/>
        <w:t>this</w:t>
      </w:r>
      <w:r>
        <w:rPr>
          <w:spacing w:val="-9"/>
        </w:rPr>
        <w:t> </w:t>
      </w:r>
      <w:r>
        <w:rPr/>
        <w:t>average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62%</w:t>
      </w:r>
      <w:r>
        <w:rPr>
          <w:spacing w:val="-8"/>
        </w:rPr>
        <w:t> </w:t>
      </w:r>
      <w:r>
        <w:rPr/>
        <w:t>completion</w:t>
      </w:r>
      <w:r>
        <w:rPr>
          <w:spacing w:val="-9"/>
        </w:rPr>
        <w:t> </w:t>
      </w:r>
      <w:r>
        <w:rPr/>
        <w:t>rate.</w:t>
      </w:r>
      <w:r>
        <w:rPr>
          <w:spacing w:val="-7"/>
        </w:rPr>
        <w:t> </w:t>
      </w:r>
      <w:r>
        <w:rPr/>
        <w:t>At</w:t>
      </w:r>
      <w:r>
        <w:rPr>
          <w:spacing w:val="-9"/>
        </w:rPr>
        <w:t> </w:t>
      </w:r>
      <w:r>
        <w:rPr/>
        <w:t>short-cycle</w:t>
      </w:r>
      <w:r>
        <w:rPr>
          <w:spacing w:val="-9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level</w:t>
      </w:r>
      <w:r>
        <w:rPr>
          <w:spacing w:val="-10"/>
        </w:rPr>
        <w:t> </w:t>
      </w:r>
      <w:r>
        <w:rPr/>
        <w:t>(a</w:t>
      </w:r>
      <w:r>
        <w:rPr>
          <w:spacing w:val="-7"/>
        </w:rPr>
        <w:t> </w:t>
      </w:r>
      <w:r>
        <w:rPr/>
        <w:t>level</w:t>
      </w:r>
      <w:r>
        <w:rPr>
          <w:spacing w:val="-10"/>
        </w:rPr>
        <w:t> </w:t>
      </w:r>
      <w:r>
        <w:rPr/>
        <w:t>few</w:t>
      </w:r>
      <w:r>
        <w:rPr>
          <w:spacing w:val="-8"/>
        </w:rPr>
        <w:t> </w:t>
      </w:r>
      <w:r>
        <w:rPr/>
        <w:t>Slovak</w:t>
      </w:r>
      <w:r>
        <w:rPr>
          <w:spacing w:val="-6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pursue),</w:t>
      </w:r>
      <w:r>
        <w:rPr>
          <w:spacing w:val="-9"/>
        </w:rPr>
        <w:t> </w:t>
      </w:r>
      <w:r>
        <w:rPr/>
        <w:t>the</w:t>
      </w:r>
      <w:r>
        <w:rPr>
          <w:spacing w:val="-53"/>
        </w:rPr>
        <w:t> </w:t>
      </w:r>
      <w:r>
        <w:rPr/>
        <w:t>Slovak Republic had the lowest completion rate at 55% among the eight countries with cross-cohort data,</w:t>
      </w:r>
      <w:r>
        <w:rPr>
          <w:spacing w:val="-54"/>
        </w:rPr>
        <w:t> </w:t>
      </w:r>
      <w:r>
        <w:rPr>
          <w:position w:val="1"/>
        </w:rPr>
        <w:t>below</w:t>
      </w:r>
      <w:r>
        <w:rPr>
          <w:spacing w:val="-4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eight-country</w:t>
      </w:r>
      <w:r>
        <w:rPr>
          <w:spacing w:val="-5"/>
          <w:position w:val="1"/>
        </w:rPr>
        <w:t> </w:t>
      </w:r>
      <w:r>
        <w:rPr>
          <w:position w:val="1"/>
        </w:rPr>
        <w:t>average</w:t>
      </w:r>
      <w:r>
        <w:rPr>
          <w:spacing w:val="-1"/>
          <w:position w:val="1"/>
        </w:rPr>
        <w:t> </w:t>
      </w:r>
      <w:r>
        <w:rPr>
          <w:position w:val="1"/>
        </w:rPr>
        <w:t>of 70%</w:t>
      </w:r>
      <w:r>
        <w:rPr>
          <w:spacing w:val="3"/>
          <w:position w:val="1"/>
        </w:rPr>
        <w:t> </w:t>
      </w:r>
      <w:r>
        <w:rPr>
          <w:position w:val="1"/>
        </w:rPr>
        <w:t>(OECD, 2019,</w:t>
      </w:r>
      <w:r>
        <w:rPr>
          <w:spacing w:val="1"/>
          <w:position w:val="1"/>
        </w:rPr>
        <w:t> </w:t>
      </w:r>
      <w:r>
        <w:rPr>
          <w:position w:val="1"/>
        </w:rPr>
        <w:t>pp. 225,</w:t>
      </w:r>
      <w:r>
        <w:rPr>
          <w:spacing w:val="-2"/>
          <w:position w:val="1"/>
        </w:rPr>
        <w:t> </w:t>
      </w:r>
      <w:r>
        <w:rPr>
          <w:position w:val="1"/>
        </w:rPr>
        <w:t>Table B5.1</w:t>
      </w:r>
      <w:r>
        <w:rPr>
          <w:sz w:val="13"/>
        </w:rPr>
        <w:t>[26]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299"/>
        <w:jc w:val="both"/>
      </w:pPr>
      <w:r>
        <w:rPr/>
        <w:t>There are notable gender differences with respect to completion rates in the Slovak Republic. In line with</w:t>
      </w:r>
      <w:r>
        <w:rPr>
          <w:spacing w:val="1"/>
        </w:rPr>
        <w:t> </w:t>
      </w:r>
      <w:r>
        <w:rPr/>
        <w:t>every other country with cross-cohort data, women in short-cycle and bachelor’s programmes had higher</w:t>
      </w:r>
      <w:r>
        <w:rPr>
          <w:spacing w:val="1"/>
        </w:rPr>
        <w:t> </w:t>
      </w:r>
      <w:r>
        <w:rPr/>
        <w:t>completion rates than men. This difference was smaller in short-cycle higher education programmes, with</w:t>
      </w:r>
      <w:r>
        <w:rPr>
          <w:spacing w:val="-53"/>
        </w:rPr>
        <w:t> </w:t>
      </w:r>
      <w:r>
        <w:rPr/>
        <w:t>a 6 percentage-point difference between women and men in the Slovak Republic (57% for women, 51%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men),</w:t>
      </w:r>
      <w:r>
        <w:rPr>
          <w:spacing w:val="-13"/>
        </w:rPr>
        <w:t> </w:t>
      </w:r>
      <w:r>
        <w:rPr>
          <w:spacing w:val="-1"/>
        </w:rPr>
        <w:t>below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10</w:t>
      </w:r>
      <w:r>
        <w:rPr>
          <w:spacing w:val="2"/>
        </w:rPr>
        <w:t> </w:t>
      </w:r>
      <w:r>
        <w:rPr>
          <w:spacing w:val="-1"/>
        </w:rPr>
        <w:t>percentage-point</w:t>
      </w:r>
      <w:r>
        <w:rPr>
          <w:spacing w:val="-11"/>
        </w:rPr>
        <w:t> </w:t>
      </w:r>
      <w:r>
        <w:rPr>
          <w:spacing w:val="-1"/>
        </w:rPr>
        <w:t>difference</w:t>
      </w:r>
      <w:r>
        <w:rPr>
          <w:spacing w:val="-12"/>
        </w:rPr>
        <w:t> </w:t>
      </w:r>
      <w:r>
        <w:rPr/>
        <w:t>on</w:t>
      </w:r>
      <w:r>
        <w:rPr>
          <w:spacing w:val="-9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eight</w:t>
      </w:r>
      <w:r>
        <w:rPr>
          <w:spacing w:val="-13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with</w:t>
      </w:r>
      <w:r>
        <w:rPr>
          <w:spacing w:val="-13"/>
        </w:rPr>
        <w:t> </w:t>
      </w:r>
      <w:r>
        <w:rPr/>
        <w:t>cross-cohort</w:t>
      </w:r>
      <w:r>
        <w:rPr>
          <w:spacing w:val="-10"/>
        </w:rPr>
        <w:t> </w:t>
      </w:r>
      <w:r>
        <w:rPr/>
        <w:t>data</w:t>
      </w:r>
      <w:r>
        <w:rPr>
          <w:spacing w:val="1"/>
        </w:rPr>
        <w:t> </w:t>
      </w:r>
      <w:r>
        <w:rPr/>
        <w:t>(75%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women,</w:t>
      </w:r>
      <w:r>
        <w:rPr>
          <w:spacing w:val="27"/>
        </w:rPr>
        <w:t> </w:t>
      </w:r>
      <w:r>
        <w:rPr/>
        <w:t>65%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men).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contrast,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comparatively</w:t>
      </w:r>
      <w:r>
        <w:rPr>
          <w:spacing w:val="26"/>
        </w:rPr>
        <w:t> </w:t>
      </w:r>
      <w:r>
        <w:rPr/>
        <w:t>larger</w:t>
      </w:r>
      <w:r>
        <w:rPr>
          <w:spacing w:val="27"/>
        </w:rPr>
        <w:t> </w:t>
      </w:r>
      <w:r>
        <w:rPr/>
        <w:t>at</w:t>
      </w:r>
      <w:r>
        <w:rPr>
          <w:spacing w:val="26"/>
        </w:rPr>
        <w:t> </w:t>
      </w:r>
      <w:r>
        <w:rPr/>
        <w:t>bachelor’s</w:t>
      </w:r>
      <w:r>
        <w:rPr>
          <w:spacing w:val="28"/>
        </w:rPr>
        <w:t> </w:t>
      </w:r>
      <w:r>
        <w:rPr/>
        <w:t>level</w:t>
      </w:r>
      <w:r>
        <w:rPr>
          <w:spacing w:val="33"/>
        </w:rPr>
        <w:t> </w:t>
      </w:r>
      <w:r>
        <w:rPr/>
        <w:t>reaching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6"/>
        <w:jc w:val="both"/>
      </w:pPr>
      <w:r>
        <w:rPr/>
        <w:t>17</w:t>
      </w:r>
      <w:r>
        <w:rPr>
          <w:spacing w:val="-5"/>
        </w:rPr>
        <w:t> </w:t>
      </w:r>
      <w:r>
        <w:rPr/>
        <w:t>percentage</w:t>
      </w:r>
      <w:r>
        <w:rPr>
          <w:spacing w:val="-7"/>
        </w:rPr>
        <w:t> </w:t>
      </w:r>
      <w:r>
        <w:rPr/>
        <w:t>points</w:t>
      </w:r>
      <w:r>
        <w:rPr>
          <w:spacing w:val="-7"/>
        </w:rPr>
        <w:t> </w:t>
      </w:r>
      <w:r>
        <w:rPr/>
        <w:t>(70%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women,</w:t>
      </w:r>
      <w:r>
        <w:rPr>
          <w:spacing w:val="-7"/>
        </w:rPr>
        <w:t> </w:t>
      </w:r>
      <w:r>
        <w:rPr/>
        <w:t>53%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men)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Slovak</w:t>
      </w:r>
      <w:r>
        <w:rPr>
          <w:spacing w:val="3"/>
        </w:rPr>
        <w:t> </w:t>
      </w:r>
      <w:r>
        <w:rPr/>
        <w:t>Republic,</w:t>
      </w:r>
      <w:r>
        <w:rPr>
          <w:spacing w:val="-6"/>
        </w:rPr>
        <w:t> </w:t>
      </w:r>
      <w:r>
        <w:rPr/>
        <w:t>above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OECD</w:t>
      </w:r>
      <w:r>
        <w:rPr>
          <w:spacing w:val="-6"/>
        </w:rPr>
        <w:t> </w:t>
      </w:r>
      <w:r>
        <w:rPr/>
        <w:t>average</w:t>
      </w:r>
      <w:r>
        <w:rPr>
          <w:spacing w:val="-7"/>
        </w:rPr>
        <w:t> </w:t>
      </w:r>
      <w:r>
        <w:rPr/>
        <w:t>of</w:t>
      </w:r>
      <w:r>
        <w:rPr>
          <w:spacing w:val="-54"/>
        </w:rPr>
        <w:t> </w:t>
      </w:r>
      <w:r>
        <w:rPr>
          <w:position w:val="1"/>
        </w:rPr>
        <w:t>12</w:t>
      </w:r>
      <w:r>
        <w:rPr>
          <w:spacing w:val="-3"/>
          <w:position w:val="1"/>
        </w:rPr>
        <w:t> </w:t>
      </w:r>
      <w:r>
        <w:rPr>
          <w:position w:val="1"/>
        </w:rPr>
        <w:t>percentage</w:t>
      </w:r>
      <w:r>
        <w:rPr>
          <w:spacing w:val="-3"/>
          <w:position w:val="1"/>
        </w:rPr>
        <w:t> </w:t>
      </w:r>
      <w:r>
        <w:rPr>
          <w:position w:val="1"/>
        </w:rPr>
        <w:t>points</w:t>
      </w:r>
      <w:r>
        <w:rPr>
          <w:spacing w:val="-1"/>
          <w:position w:val="1"/>
        </w:rPr>
        <w:t> </w:t>
      </w:r>
      <w:r>
        <w:rPr>
          <w:position w:val="1"/>
        </w:rPr>
        <w:t>(82%</w:t>
      </w:r>
      <w:r>
        <w:rPr>
          <w:spacing w:val="1"/>
          <w:position w:val="1"/>
        </w:rPr>
        <w:t> </w:t>
      </w:r>
      <w:r>
        <w:rPr>
          <w:position w:val="1"/>
        </w:rPr>
        <w:t>for</w:t>
      </w:r>
      <w:r>
        <w:rPr>
          <w:spacing w:val="-2"/>
          <w:position w:val="1"/>
        </w:rPr>
        <w:t> </w:t>
      </w:r>
      <w:r>
        <w:rPr>
          <w:position w:val="1"/>
        </w:rPr>
        <w:t>women,</w:t>
      </w:r>
      <w:r>
        <w:rPr>
          <w:spacing w:val="-2"/>
          <w:position w:val="1"/>
        </w:rPr>
        <w:t> </w:t>
      </w:r>
      <w:r>
        <w:rPr>
          <w:position w:val="1"/>
        </w:rPr>
        <w:t>70%</w:t>
      </w:r>
      <w:r>
        <w:rPr>
          <w:spacing w:val="-2"/>
          <w:position w:val="1"/>
        </w:rPr>
        <w:t> </w:t>
      </w:r>
      <w:r>
        <w:rPr>
          <w:position w:val="1"/>
        </w:rPr>
        <w:t>for</w:t>
      </w:r>
      <w:r>
        <w:rPr>
          <w:spacing w:val="-2"/>
          <w:position w:val="1"/>
        </w:rPr>
        <w:t> </w:t>
      </w:r>
      <w:r>
        <w:rPr>
          <w:position w:val="1"/>
        </w:rPr>
        <w:t>men).</w:t>
      </w:r>
      <w:r>
        <w:rPr>
          <w:spacing w:val="-1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2019,</w:t>
      </w:r>
      <w:r>
        <w:rPr>
          <w:spacing w:val="-2"/>
          <w:position w:val="1"/>
        </w:rPr>
        <w:t> </w:t>
      </w:r>
      <w:r>
        <w:rPr>
          <w:position w:val="1"/>
        </w:rPr>
        <w:t>pp. 225,</w:t>
      </w:r>
      <w:r>
        <w:rPr>
          <w:spacing w:val="-2"/>
          <w:position w:val="1"/>
        </w:rPr>
        <w:t> </w:t>
      </w:r>
      <w:r>
        <w:rPr>
          <w:position w:val="1"/>
        </w:rPr>
        <w:t>Table</w:t>
      </w:r>
      <w:r>
        <w:rPr>
          <w:spacing w:val="-3"/>
          <w:position w:val="1"/>
        </w:rPr>
        <w:t> </w:t>
      </w:r>
      <w:r>
        <w:rPr>
          <w:position w:val="1"/>
        </w:rPr>
        <w:t>B5.1</w:t>
      </w:r>
      <w:r>
        <w:rPr>
          <w:sz w:val="13"/>
        </w:rPr>
        <w:t>[26]</w:t>
      </w:r>
      <w:r>
        <w:rPr>
          <w:position w:val="1"/>
        </w:rPr>
        <w:t>).</w:t>
      </w:r>
    </w:p>
    <w:p>
      <w:pPr>
        <w:pStyle w:val="BodyText"/>
        <w:spacing w:before="1"/>
      </w:pPr>
    </w:p>
    <w:p>
      <w:pPr>
        <w:pStyle w:val="Heading8"/>
      </w:pPr>
      <w:bookmarkStart w:name="Choice of study programmes" w:id="59"/>
      <w:bookmarkEnd w:id="59"/>
      <w:r>
        <w:rPr>
          <w:b w:val="0"/>
        </w:rPr>
      </w:r>
      <w:r>
        <w:rPr/>
        <w:t>Choice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study</w:t>
      </w:r>
      <w:r>
        <w:rPr>
          <w:spacing w:val="-7"/>
        </w:rPr>
        <w:t> </w:t>
      </w:r>
      <w:r>
        <w:rPr/>
        <w:t>programmes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Students’ choice of study programmes is not a measure of performance per se. However, it provides</w:t>
      </w:r>
      <w:r>
        <w:rPr>
          <w:spacing w:val="1"/>
        </w:rPr>
        <w:t> </w:t>
      </w:r>
      <w:r>
        <w:rPr/>
        <w:t>important information on the potential alignment of the skills of future graduates with the needs of the</w:t>
      </w:r>
      <w:r>
        <w:rPr>
          <w:spacing w:val="1"/>
        </w:rPr>
        <w:t> </w:t>
      </w:r>
      <w:r>
        <w:rPr>
          <w:spacing w:val="-1"/>
        </w:rPr>
        <w:t>labour</w:t>
      </w:r>
      <w:r>
        <w:rPr>
          <w:spacing w:val="-9"/>
        </w:rPr>
        <w:t> </w:t>
      </w:r>
      <w:r>
        <w:rPr>
          <w:spacing w:val="-1"/>
        </w:rPr>
        <w:t>market.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following</w:t>
      </w:r>
      <w:r>
        <w:rPr>
          <w:spacing w:val="-11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briefly</w:t>
      </w:r>
      <w:r>
        <w:rPr>
          <w:spacing w:val="-14"/>
        </w:rPr>
        <w:t> </w:t>
      </w:r>
      <w:r>
        <w:rPr/>
        <w:t>reviews</w:t>
      </w:r>
      <w:r>
        <w:rPr>
          <w:spacing w:val="-9"/>
        </w:rPr>
        <w:t> </w:t>
      </w:r>
      <w:r>
        <w:rPr/>
        <w:t>attainment</w:t>
      </w:r>
      <w:r>
        <w:rPr>
          <w:spacing w:val="-10"/>
        </w:rPr>
        <w:t> </w:t>
      </w:r>
      <w:r>
        <w:rPr/>
        <w:t>rates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which</w:t>
      </w:r>
      <w:r>
        <w:rPr>
          <w:spacing w:val="-11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about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graduates</w:t>
      </w:r>
      <w:r>
        <w:rPr>
          <w:spacing w:val="-5"/>
        </w:rPr>
        <w:t> </w:t>
      </w:r>
      <w:r>
        <w:rPr/>
        <w:t>currently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labour</w:t>
      </w:r>
      <w:r>
        <w:rPr>
          <w:spacing w:val="-6"/>
        </w:rPr>
        <w:t> </w:t>
      </w:r>
      <w:r>
        <w:rPr/>
        <w:t>force,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entry</w:t>
      </w:r>
      <w:r>
        <w:rPr>
          <w:spacing w:val="-6"/>
        </w:rPr>
        <w:t> </w:t>
      </w:r>
      <w:r>
        <w:rPr/>
        <w:t>rates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provide</w:t>
      </w:r>
      <w:r>
        <w:rPr>
          <w:spacing w:val="-5"/>
        </w:rPr>
        <w:t> </w:t>
      </w:r>
      <w:r>
        <w:rPr/>
        <w:t>indications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 future</w:t>
      </w:r>
      <w:r>
        <w:rPr>
          <w:spacing w:val="-1"/>
        </w:rPr>
        <w:t> </w:t>
      </w:r>
      <w:r>
        <w:rPr/>
        <w:t>graduates.</w:t>
      </w:r>
    </w:p>
    <w:p>
      <w:pPr>
        <w:pStyle w:val="BodyText"/>
        <w:spacing w:line="271" w:lineRule="auto" w:before="119"/>
        <w:ind w:left="183" w:right="301"/>
        <w:jc w:val="both"/>
      </w:pPr>
      <w:r>
        <w:rPr/>
        <w:t>Higher education attainment data reveal that the Slovak Republic is the OECD country with the largest</w:t>
      </w:r>
      <w:r>
        <w:rPr>
          <w:spacing w:val="1"/>
        </w:rPr>
        <w:t> </w:t>
      </w:r>
      <w:r>
        <w:rPr/>
        <w:t>share of higher education graduates holding a master’s degree, with 31% holding such qualification level</w:t>
      </w:r>
      <w:r>
        <w:rPr>
          <w:spacing w:val="1"/>
        </w:rPr>
        <w:t> </w:t>
      </w:r>
      <w:r>
        <w:rPr>
          <w:position w:val="1"/>
        </w:rPr>
        <w:t>in 2019, compared to 14% on average among OECD countries (OECD, 2020</w:t>
      </w:r>
      <w:r>
        <w:rPr>
          <w:sz w:val="13"/>
        </w:rPr>
        <w:t>[24]</w:t>
      </w:r>
      <w:r>
        <w:rPr>
          <w:position w:val="1"/>
        </w:rPr>
        <w:t>) (see </w:t>
      </w:r>
      <w:hyperlink w:history="true" w:anchor="_bookmark22">
        <w:r>
          <w:rPr>
            <w:position w:val="1"/>
          </w:rPr>
          <w:t>Figure 2.6</w:t>
        </w:r>
      </w:hyperlink>
      <w:r>
        <w:rPr>
          <w:position w:val="1"/>
        </w:rPr>
        <w:t>). This</w:t>
      </w:r>
      <w:r>
        <w:rPr>
          <w:spacing w:val="1"/>
          <w:position w:val="1"/>
        </w:rPr>
        <w:t> </w:t>
      </w:r>
      <w:r>
        <w:rPr/>
        <w:t>feature is</w:t>
      </w:r>
      <w:r>
        <w:rPr>
          <w:spacing w:val="1"/>
        </w:rPr>
        <w:t> </w:t>
      </w:r>
      <w:r>
        <w:rPr/>
        <w:t>shared, albeit to</w:t>
      </w:r>
      <w:r>
        <w:rPr>
          <w:spacing w:val="1"/>
        </w:rPr>
        <w:t> </w:t>
      </w:r>
      <w:r>
        <w:rPr/>
        <w:t>a lesser</w:t>
      </w:r>
      <w:r>
        <w:rPr>
          <w:spacing w:val="1"/>
        </w:rPr>
        <w:t> </w:t>
      </w:r>
      <w:r>
        <w:rPr/>
        <w:t>extent, by Central and Eastern European countries, such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Czech Republic, Poland and Slovenia. This is due to the very high share of students (nearly 90%) who</w:t>
      </w:r>
      <w:r>
        <w:rPr>
          <w:spacing w:val="1"/>
        </w:rPr>
        <w:t> </w:t>
      </w:r>
      <w:r>
        <w:rPr/>
        <w:t>complete a bachelor’s degree and continue immediately to a master’s degree programme the following</w:t>
      </w:r>
      <w:r>
        <w:rPr>
          <w:spacing w:val="1"/>
        </w:rPr>
        <w:t> </w:t>
      </w:r>
      <w:r>
        <w:rPr>
          <w:position w:val="1"/>
        </w:rPr>
        <w:t>academic year (Lukáč</w:t>
      </w:r>
      <w:r>
        <w:rPr>
          <w:spacing w:val="-1"/>
          <w:position w:val="1"/>
        </w:rPr>
        <w:t> </w:t>
      </w:r>
      <w:r>
        <w:rPr>
          <w:position w:val="1"/>
        </w:rPr>
        <w:t>and Hall,</w:t>
      </w:r>
      <w:r>
        <w:rPr>
          <w:spacing w:val="-2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[28]</w:t>
      </w:r>
      <w:r>
        <w:rPr>
          <w:position w:val="1"/>
        </w:rPr>
        <w:t>).</w:t>
      </w:r>
    </w:p>
    <w:p>
      <w:pPr>
        <w:pStyle w:val="BodyText"/>
        <w:rPr>
          <w:sz w:val="29"/>
        </w:rPr>
      </w:pPr>
    </w:p>
    <w:p>
      <w:pPr>
        <w:spacing w:line="244" w:lineRule="auto" w:before="0"/>
        <w:ind w:left="183" w:right="0" w:firstLine="0"/>
        <w:jc w:val="left"/>
        <w:rPr>
          <w:rFonts w:ascii="Arial"/>
          <w:b/>
          <w:sz w:val="24"/>
        </w:rPr>
      </w:pPr>
      <w:bookmarkStart w:name="_bookmark22" w:id="60"/>
      <w:bookmarkEnd w:id="60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2.6.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Share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25-34</w:t>
      </w:r>
      <w:r>
        <w:rPr>
          <w:rFonts w:ascii="Arial"/>
          <w:b/>
          <w:color w:val="4E81BD"/>
          <w:spacing w:val="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year-olds</w:t>
      </w:r>
      <w:r>
        <w:rPr>
          <w:rFonts w:ascii="Arial"/>
          <w:b/>
          <w:color w:val="4E81BD"/>
          <w:spacing w:val="1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with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tertiary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OECD</w:t>
      </w:r>
      <w:r>
        <w:rPr>
          <w:rFonts w:ascii="Arial"/>
          <w:b/>
          <w:color w:val="4E81BD"/>
          <w:spacing w:val="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countries,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by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level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tertiary</w:t>
      </w:r>
      <w:r>
        <w:rPr>
          <w:rFonts w:ascii="Arial"/>
          <w:b/>
          <w:color w:val="4E81BD"/>
          <w:spacing w:val="-51"/>
          <w:w w:val="80"/>
          <w:sz w:val="24"/>
        </w:rPr>
        <w:t> </w:t>
      </w:r>
      <w:r>
        <w:rPr>
          <w:rFonts w:ascii="Arial"/>
          <w:b/>
          <w:color w:val="4E81BD"/>
          <w:w w:val="90"/>
          <w:sz w:val="24"/>
        </w:rPr>
        <w:t>education</w:t>
      </w:r>
      <w:r>
        <w:rPr>
          <w:rFonts w:ascii="Arial"/>
          <w:b/>
          <w:color w:val="4E81BD"/>
          <w:spacing w:val="-8"/>
          <w:w w:val="90"/>
          <w:sz w:val="24"/>
        </w:rPr>
        <w:t> </w:t>
      </w:r>
      <w:r>
        <w:rPr>
          <w:rFonts w:ascii="Arial"/>
          <w:b/>
          <w:color w:val="4E81BD"/>
          <w:w w:val="90"/>
          <w:sz w:val="24"/>
        </w:rPr>
        <w:t>(2019)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951772</wp:posOffset>
            </wp:positionH>
            <wp:positionV relativeFrom="paragraph">
              <wp:posOffset>109548</wp:posOffset>
            </wp:positionV>
            <wp:extent cx="5716196" cy="2354865"/>
            <wp:effectExtent l="0" t="0" r="0" b="0"/>
            <wp:wrapTopAndBottom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96" cy="235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spacing w:line="259" w:lineRule="auto"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Countries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are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ranked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in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descending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order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percentage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25-34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year-olds</w:t>
      </w:r>
      <w:r>
        <w:rPr>
          <w:rFonts w:ascii="Microsoft Sans Serif"/>
          <w:spacing w:val="3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with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bachelor's,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master's</w:t>
      </w:r>
      <w:r>
        <w:rPr>
          <w:rFonts w:ascii="Microsoft Sans Serif"/>
          <w:spacing w:val="3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or doctoral</w:t>
      </w:r>
      <w:r>
        <w:rPr>
          <w:rFonts w:ascii="Microsoft Sans Serif"/>
          <w:spacing w:val="3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or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equivalent</w:t>
      </w:r>
      <w:r>
        <w:rPr>
          <w:rFonts w:ascii="Microsoft Sans Serif"/>
          <w:spacing w:val="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degree.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5"/>
          <w:sz w:val="18"/>
        </w:rPr>
        <w:t>Some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categories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might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be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included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in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other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categories.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Refer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to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source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for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more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information.</w:t>
      </w:r>
    </w:p>
    <w:p>
      <w:pPr>
        <w:spacing w:line="259" w:lineRule="auto"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EU23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refers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to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23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countries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that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were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also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OECD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members</w:t>
      </w:r>
      <w:r>
        <w:rPr>
          <w:rFonts w:ascii="Microsoft Sans Serif"/>
          <w:spacing w:val="6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2019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(see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Endnote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4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for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37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countries).</w:t>
      </w:r>
    </w:p>
    <w:p>
      <w:pPr>
        <w:spacing w:before="1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Chile: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Year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reference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differs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from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2019.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source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for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more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details.</w:t>
      </w:r>
    </w:p>
    <w:p>
      <w:pPr>
        <w:spacing w:before="14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2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[24]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at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Glance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2020: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Indicators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hyperlink r:id="rId74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https://doi.org/10.1787/69096873-en</w:t>
        </w:r>
        <w:r>
          <w:rPr>
            <w:rFonts w:ascii="Microsoft Sans Serif"/>
            <w:w w:val="80"/>
            <w:position w:val="1"/>
            <w:sz w:val="18"/>
          </w:rPr>
          <w:t>,</w:t>
        </w:r>
        <w:r>
          <w:rPr>
            <w:rFonts w:ascii="Microsoft Sans Serif"/>
            <w:spacing w:val="16"/>
            <w:w w:val="80"/>
            <w:position w:val="1"/>
            <w:sz w:val="18"/>
          </w:rPr>
          <w:t> </w:t>
        </w:r>
      </w:hyperlink>
      <w:r>
        <w:rPr>
          <w:rFonts w:ascii="Microsoft Sans Serif"/>
          <w:w w:val="80"/>
          <w:position w:val="1"/>
          <w:sz w:val="18"/>
        </w:rPr>
        <w:t>Figure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A1.6.</w:t>
      </w:r>
    </w:p>
    <w:p>
      <w:pPr>
        <w:pStyle w:val="BodyText"/>
        <w:spacing w:before="2"/>
        <w:rPr>
          <w:rFonts w:ascii="Microsoft Sans Serif"/>
          <w:sz w:val="23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80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https://doi.org/10.1787/888934279035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71" w:lineRule="auto" w:before="93"/>
        <w:ind w:left="183" w:right="301"/>
        <w:jc w:val="both"/>
      </w:pPr>
      <w:r>
        <w:rPr/>
        <w:t>By contrast, in 2019, only 7% of Slovak higher education graduates held a bachelor’s degree as their</w:t>
      </w:r>
      <w:r>
        <w:rPr>
          <w:spacing w:val="1"/>
        </w:rPr>
        <w:t> </w:t>
      </w:r>
      <w:r>
        <w:rPr/>
        <w:t>highest</w:t>
      </w:r>
      <w:r>
        <w:rPr>
          <w:spacing w:val="-10"/>
        </w:rPr>
        <w:t> </w:t>
      </w:r>
      <w:r>
        <w:rPr/>
        <w:t>qualification,</w:t>
      </w:r>
      <w:r>
        <w:rPr>
          <w:spacing w:val="-10"/>
        </w:rPr>
        <w:t> </w:t>
      </w:r>
      <w:r>
        <w:rPr/>
        <w:t>compared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24%</w:t>
      </w:r>
      <w:r>
        <w:rPr>
          <w:spacing w:val="-7"/>
        </w:rPr>
        <w:t> </w:t>
      </w:r>
      <w:r>
        <w:rPr/>
        <w:t>among</w:t>
      </w:r>
      <w:r>
        <w:rPr>
          <w:spacing w:val="-9"/>
        </w:rPr>
        <w:t> </w:t>
      </w:r>
      <w:r>
        <w:rPr/>
        <w:t>OECD</w:t>
      </w:r>
      <w:r>
        <w:rPr>
          <w:spacing w:val="-5"/>
        </w:rPr>
        <w:t> </w:t>
      </w:r>
      <w:r>
        <w:rPr/>
        <w:t>countries.</w:t>
      </w:r>
      <w:r>
        <w:rPr>
          <w:spacing w:val="-7"/>
        </w:rPr>
        <w:t> </w:t>
      </w:r>
      <w:r>
        <w:rPr/>
        <w:t>Short-cycle</w:t>
      </w:r>
      <w:r>
        <w:rPr>
          <w:spacing w:val="-8"/>
        </w:rPr>
        <w:t> </w:t>
      </w:r>
      <w:r>
        <w:rPr/>
        <w:t>tertiary</w:t>
      </w:r>
      <w:r>
        <w:rPr>
          <w:spacing w:val="-13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also</w:t>
      </w:r>
      <w:r>
        <w:rPr>
          <w:spacing w:val="-7"/>
        </w:rPr>
        <w:t> </w:t>
      </w:r>
      <w:r>
        <w:rPr/>
        <w:t>very</w:t>
      </w:r>
      <w:r>
        <w:rPr>
          <w:spacing w:val="1"/>
        </w:rPr>
        <w:t> </w:t>
      </w:r>
      <w:r>
        <w:rPr/>
        <w:t>limited in the Slovak Republic, with no data reported for 2019 versus 8% on average in the OECD. At the</w:t>
      </w:r>
      <w:r>
        <w:rPr>
          <w:spacing w:val="1"/>
        </w:rPr>
        <w:t> </w:t>
      </w:r>
      <w:r>
        <w:rPr/>
        <w:t>other</w:t>
      </w:r>
      <w:r>
        <w:rPr>
          <w:spacing w:val="6"/>
        </w:rPr>
        <w:t> </w:t>
      </w:r>
      <w:r>
        <w:rPr/>
        <w:t>end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spectrum,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share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doctoral</w:t>
      </w:r>
      <w:r>
        <w:rPr>
          <w:spacing w:val="8"/>
        </w:rPr>
        <w:t> </w:t>
      </w:r>
      <w:r>
        <w:rPr/>
        <w:t>graduates</w:t>
      </w:r>
      <w:r>
        <w:rPr>
          <w:spacing w:val="6"/>
        </w:rPr>
        <w:t> </w:t>
      </w:r>
      <w:r>
        <w:rPr/>
        <w:t>(1%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all</w:t>
      </w:r>
      <w:r>
        <w:rPr>
          <w:spacing w:val="5"/>
        </w:rPr>
        <w:t> </w:t>
      </w:r>
      <w:r>
        <w:rPr/>
        <w:t>higher</w:t>
      </w:r>
      <w:r>
        <w:rPr>
          <w:spacing w:val="6"/>
        </w:rPr>
        <w:t> </w:t>
      </w:r>
      <w:r>
        <w:rPr/>
        <w:t>education</w:t>
      </w:r>
      <w:r>
        <w:rPr>
          <w:spacing w:val="5"/>
        </w:rPr>
        <w:t> </w:t>
      </w:r>
      <w:r>
        <w:rPr/>
        <w:t>graduates)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93"/>
        <w:ind w:left="183"/>
        <w:jc w:val="both"/>
      </w:pPr>
      <w:r>
        <w:rPr/>
        <w:t>Slovak Republic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similar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OECD</w:t>
      </w:r>
      <w:r>
        <w:rPr>
          <w:spacing w:val="27"/>
        </w:rPr>
        <w:t> </w:t>
      </w:r>
      <w:r>
        <w:rPr/>
        <w:t>average.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suggests</w:t>
      </w:r>
      <w:r>
        <w:rPr>
          <w:spacing w:val="27"/>
        </w:rPr>
        <w:t> </w:t>
      </w:r>
      <w:r>
        <w:rPr/>
        <w:t>that</w:t>
      </w:r>
      <w:r>
        <w:rPr>
          <w:spacing w:val="29"/>
        </w:rPr>
        <w:t> </w:t>
      </w:r>
      <w:r>
        <w:rPr/>
        <w:t>Slovak</w:t>
      </w:r>
      <w:r>
        <w:rPr>
          <w:spacing w:val="30"/>
        </w:rPr>
        <w:t> </w:t>
      </w:r>
      <w:r>
        <w:rPr/>
        <w:t>students</w:t>
      </w:r>
      <w:r>
        <w:rPr>
          <w:spacing w:val="27"/>
        </w:rPr>
        <w:t> </w:t>
      </w:r>
      <w:r>
        <w:rPr/>
        <w:t>do</w:t>
      </w:r>
      <w:r>
        <w:rPr>
          <w:spacing w:val="26"/>
        </w:rPr>
        <w:t> </w:t>
      </w:r>
      <w:r>
        <w:rPr/>
        <w:t>not</w:t>
      </w:r>
      <w:r>
        <w:rPr>
          <w:spacing w:val="30"/>
        </w:rPr>
        <w:t> </w:t>
      </w:r>
      <w:r>
        <w:rPr/>
        <w:t>view</w:t>
      </w:r>
      <w:r>
        <w:rPr>
          <w:spacing w:val="24"/>
        </w:rPr>
        <w:t> </w:t>
      </w:r>
      <w:r>
        <w:rPr/>
        <w:t>the</w:t>
      </w:r>
    </w:p>
    <w:p>
      <w:pPr>
        <w:pStyle w:val="BodyText"/>
        <w:spacing w:before="29"/>
        <w:ind w:left="183"/>
        <w:jc w:val="both"/>
      </w:pPr>
      <w:r>
        <w:rPr/>
        <w:t>bachelor’s</w:t>
      </w:r>
      <w:r>
        <w:rPr>
          <w:spacing w:val="-5"/>
        </w:rPr>
        <w:t> </w:t>
      </w:r>
      <w:r>
        <w:rPr/>
        <w:t>degree,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even</w:t>
      </w:r>
      <w:r>
        <w:rPr>
          <w:spacing w:val="-6"/>
        </w:rPr>
        <w:t> </w:t>
      </w:r>
      <w:r>
        <w:rPr/>
        <w:t>less,</w:t>
      </w:r>
      <w:r>
        <w:rPr>
          <w:spacing w:val="-5"/>
        </w:rPr>
        <w:t> </w:t>
      </w:r>
      <w:r>
        <w:rPr/>
        <w:t>short-cycle</w:t>
      </w:r>
      <w:r>
        <w:rPr>
          <w:spacing w:val="-5"/>
        </w:rPr>
        <w:t> </w:t>
      </w:r>
      <w:r>
        <w:rPr/>
        <w:t>tertiary</w:t>
      </w:r>
      <w:r>
        <w:rPr>
          <w:spacing w:val="-8"/>
        </w:rPr>
        <w:t> </w:t>
      </w:r>
      <w:r>
        <w:rPr/>
        <w:t>education,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standalone</w:t>
      </w:r>
      <w:r>
        <w:rPr>
          <w:spacing w:val="-4"/>
        </w:rPr>
        <w:t> </w:t>
      </w:r>
      <w:r>
        <w:rPr/>
        <w:t>educational</w:t>
      </w:r>
      <w:r>
        <w:rPr>
          <w:spacing w:val="-6"/>
        </w:rPr>
        <w:t> </w:t>
      </w:r>
      <w:r>
        <w:rPr/>
        <w:t>pathways.</w:t>
      </w:r>
    </w:p>
    <w:p>
      <w:pPr>
        <w:pStyle w:val="BodyText"/>
        <w:spacing w:line="271" w:lineRule="auto" w:before="149"/>
        <w:ind w:left="183" w:right="301"/>
        <w:jc w:val="both"/>
      </w:pPr>
      <w:r>
        <w:rPr/>
        <w:t>Turning to entry rates provides information about the choice of current students and future graduates.</w:t>
      </w:r>
      <w:r>
        <w:rPr>
          <w:spacing w:val="1"/>
        </w:rPr>
        <w:t> </w:t>
      </w:r>
      <w:r>
        <w:rPr/>
        <w:t>Excluding international students in 2018, the bachelor’s entry rate for students under the age of 25 was</w:t>
      </w:r>
      <w:r>
        <w:rPr>
          <w:spacing w:val="1"/>
        </w:rPr>
        <w:t> </w:t>
      </w:r>
      <w:r>
        <w:rPr/>
        <w:t>38%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1"/>
        </w:rPr>
        <w:t> </w:t>
      </w:r>
      <w:r>
        <w:rPr/>
        <w:t>Republic,</w:t>
      </w:r>
      <w:r>
        <w:rPr>
          <w:spacing w:val="-5"/>
        </w:rPr>
        <w:t> </w:t>
      </w:r>
      <w:r>
        <w:rPr/>
        <w:t>below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OECD</w:t>
      </w:r>
      <w:r>
        <w:rPr>
          <w:spacing w:val="-5"/>
        </w:rPr>
        <w:t> </w:t>
      </w:r>
      <w:r>
        <w:rPr/>
        <w:t>average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44%.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master’s</w:t>
      </w:r>
      <w:r>
        <w:rPr>
          <w:spacing w:val="-4"/>
        </w:rPr>
        <w:t> </w:t>
      </w:r>
      <w:r>
        <w:rPr/>
        <w:t>entry</w:t>
      </w:r>
      <w:r>
        <w:rPr>
          <w:spacing w:val="-6"/>
        </w:rPr>
        <w:t> </w:t>
      </w:r>
      <w:r>
        <w:rPr/>
        <w:t>rate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under</w:t>
      </w:r>
      <w:r>
        <w:rPr>
          <w:spacing w:val="-54"/>
        </w:rPr>
        <w:t> </w:t>
      </w:r>
      <w:r>
        <w:rPr/>
        <w:t>the age of 30 was 27%, almost twice the share on average in the OECD (14%), suggesting continued</w:t>
      </w:r>
      <w:r>
        <w:rPr>
          <w:spacing w:val="1"/>
        </w:rPr>
        <w:t> </w:t>
      </w:r>
      <w:r>
        <w:rPr/>
        <w:t>student preference for pursuing master’s level studies. The doctoral entry rate for students under the age</w:t>
      </w:r>
      <w:r>
        <w:rPr>
          <w:spacing w:val="-53"/>
        </w:rPr>
        <w:t> </w:t>
      </w:r>
      <w:r>
        <w:rPr>
          <w:position w:val="1"/>
        </w:rPr>
        <w:t>of</w:t>
      </w:r>
      <w:r>
        <w:rPr>
          <w:spacing w:val="-1"/>
          <w:position w:val="1"/>
        </w:rPr>
        <w:t> </w:t>
      </w:r>
      <w:r>
        <w:rPr>
          <w:position w:val="1"/>
        </w:rPr>
        <w:t>30</w:t>
      </w:r>
      <w:r>
        <w:rPr>
          <w:spacing w:val="-1"/>
          <w:position w:val="1"/>
        </w:rPr>
        <w:t> </w:t>
      </w:r>
      <w:r>
        <w:rPr>
          <w:position w:val="1"/>
        </w:rPr>
        <w:t>was</w:t>
      </w:r>
      <w:r>
        <w:rPr>
          <w:spacing w:val="-1"/>
          <w:position w:val="1"/>
        </w:rPr>
        <w:t> </w:t>
      </w:r>
      <w:r>
        <w:rPr>
          <w:position w:val="1"/>
        </w:rPr>
        <w:t>1.5%,</w:t>
      </w:r>
      <w:r>
        <w:rPr>
          <w:spacing w:val="-2"/>
          <w:position w:val="1"/>
        </w:rPr>
        <w:t> </w:t>
      </w:r>
      <w:r>
        <w:rPr>
          <w:position w:val="1"/>
        </w:rPr>
        <w:t>above the</w:t>
      </w:r>
      <w:r>
        <w:rPr>
          <w:spacing w:val="-1"/>
          <w:position w:val="1"/>
        </w:rPr>
        <w:t> </w:t>
      </w:r>
      <w:r>
        <w:rPr>
          <w:position w:val="1"/>
        </w:rPr>
        <w:t>OECD</w:t>
      </w:r>
      <w:r>
        <w:rPr>
          <w:spacing w:val="-2"/>
          <w:position w:val="1"/>
        </w:rPr>
        <w:t> </w:t>
      </w:r>
      <w:r>
        <w:rPr>
          <w:position w:val="1"/>
        </w:rPr>
        <w:t>average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4"/>
          <w:position w:val="1"/>
        </w:rPr>
        <w:t> </w:t>
      </w:r>
      <w:r>
        <w:rPr>
          <w:position w:val="1"/>
        </w:rPr>
        <w:t>1%</w:t>
      </w:r>
      <w:r>
        <w:rPr>
          <w:spacing w:val="-3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2020, pp.</w:t>
      </w:r>
      <w:r>
        <w:rPr>
          <w:spacing w:val="2"/>
          <w:position w:val="1"/>
        </w:rPr>
        <w:t> </w:t>
      </w:r>
      <w:r>
        <w:rPr>
          <w:position w:val="1"/>
        </w:rPr>
        <w:t>212,</w:t>
      </w:r>
      <w:r>
        <w:rPr>
          <w:spacing w:val="-2"/>
          <w:position w:val="1"/>
        </w:rPr>
        <w:t> </w:t>
      </w:r>
      <w:r>
        <w:rPr>
          <w:position w:val="1"/>
        </w:rPr>
        <w:t>Table</w:t>
      </w:r>
      <w:r>
        <w:rPr>
          <w:spacing w:val="-1"/>
          <w:position w:val="1"/>
        </w:rPr>
        <w:t> </w:t>
      </w:r>
      <w:r>
        <w:rPr>
          <w:position w:val="1"/>
        </w:rPr>
        <w:t>B4.3</w:t>
      </w:r>
      <w:r>
        <w:rPr>
          <w:sz w:val="13"/>
        </w:rPr>
        <w:t>[24]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Students choose their field of study based on their career aspirations and preferences, which are often</w:t>
      </w:r>
      <w:r>
        <w:rPr>
          <w:spacing w:val="1"/>
        </w:rPr>
        <w:t> </w:t>
      </w:r>
      <w:r>
        <w:rPr>
          <w:spacing w:val="-1"/>
          <w:position w:val="1"/>
        </w:rPr>
        <w:t>formed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well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before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they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enter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higher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education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(Hofer,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Zhivkovikj</w:t>
      </w:r>
      <w:r>
        <w:rPr>
          <w:spacing w:val="-12"/>
          <w:position w:val="1"/>
        </w:rPr>
        <w:t> </w:t>
      </w:r>
      <w:r>
        <w:rPr>
          <w:position w:val="1"/>
        </w:rPr>
        <w:t>and</w:t>
      </w:r>
      <w:r>
        <w:rPr>
          <w:spacing w:val="-12"/>
          <w:position w:val="1"/>
        </w:rPr>
        <w:t> </w:t>
      </w:r>
      <w:r>
        <w:rPr>
          <w:position w:val="1"/>
        </w:rPr>
        <w:t>Smyth,</w:t>
      </w:r>
      <w:r>
        <w:rPr>
          <w:spacing w:val="-11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[29]</w:t>
      </w:r>
      <w:r>
        <w:rPr>
          <w:position w:val="1"/>
        </w:rPr>
        <w:t>).</w:t>
      </w:r>
      <w:r>
        <w:rPr>
          <w:spacing w:val="-13"/>
          <w:position w:val="1"/>
        </w:rPr>
        <w:t> </w:t>
      </w:r>
      <w:r>
        <w:rPr>
          <w:position w:val="1"/>
        </w:rPr>
        <w:t>Looking</w:t>
      </w:r>
      <w:r>
        <w:rPr>
          <w:spacing w:val="-13"/>
          <w:position w:val="1"/>
        </w:rPr>
        <w:t> </w:t>
      </w:r>
      <w:r>
        <w:rPr>
          <w:position w:val="1"/>
        </w:rPr>
        <w:t>at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3"/>
          <w:position w:val="1"/>
        </w:rPr>
        <w:t> </w:t>
      </w:r>
      <w:r>
        <w:rPr>
          <w:position w:val="1"/>
        </w:rPr>
        <w:t>fields</w:t>
      </w:r>
      <w:r>
        <w:rPr>
          <w:spacing w:val="1"/>
          <w:position w:val="1"/>
        </w:rPr>
        <w:t> </w:t>
      </w:r>
      <w:r>
        <w:rPr/>
        <w:t>of recent graduates sheds light on the potential alignment between the knowledge and skills of graduates</w:t>
      </w:r>
      <w:r>
        <w:rPr>
          <w:spacing w:val="-53"/>
        </w:rPr>
        <w:t> </w:t>
      </w:r>
      <w:r>
        <w:rPr/>
        <w:t>and the needs of the labour market. Looking at 2018 graduates from all tertiary education levels (short-</w:t>
      </w:r>
      <w:r>
        <w:rPr>
          <w:spacing w:val="1"/>
        </w:rPr>
        <w:t> </w:t>
      </w:r>
      <w:r>
        <w:rPr/>
        <w:t>cycle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doctoral),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field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business,</w:t>
      </w:r>
      <w:r>
        <w:rPr>
          <w:spacing w:val="-5"/>
        </w:rPr>
        <w:t> </w:t>
      </w:r>
      <w:r>
        <w:rPr/>
        <w:t>administration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law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popular,</w:t>
      </w:r>
      <w:r>
        <w:rPr>
          <w:spacing w:val="-6"/>
        </w:rPr>
        <w:t> </w:t>
      </w:r>
      <w:r>
        <w:rPr/>
        <w:t>although</w:t>
      </w:r>
      <w:r>
        <w:rPr>
          <w:spacing w:val="-7"/>
        </w:rPr>
        <w:t> </w:t>
      </w:r>
      <w:r>
        <w:rPr/>
        <w:t>only</w:t>
      </w:r>
      <w:r>
        <w:rPr>
          <w:spacing w:val="-9"/>
        </w:rPr>
        <w:t> </w:t>
      </w:r>
      <w:r>
        <w:rPr/>
        <w:t>one</w:t>
      </w:r>
      <w:r>
        <w:rPr>
          <w:spacing w:val="-7"/>
        </w:rPr>
        <w:t> </w:t>
      </w:r>
      <w:r>
        <w:rPr/>
        <w:t>in</w:t>
      </w:r>
      <w:r>
        <w:rPr>
          <w:spacing w:val="-53"/>
        </w:rPr>
        <w:t> </w:t>
      </w:r>
      <w:r>
        <w:rPr/>
        <w:t>five graduates in the Slovak Republic completed programmes in this area, compared to one in four</w:t>
      </w:r>
      <w:r>
        <w:rPr>
          <w:spacing w:val="1"/>
        </w:rPr>
        <w:t> </w:t>
      </w:r>
      <w:r>
        <w:rPr/>
        <w:t>graduates on average in the OECD. The health and welfare field was the second most popular, with 17%</w:t>
      </w:r>
      <w:r>
        <w:rPr>
          <w:spacing w:val="-53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Slovak</w:t>
      </w:r>
      <w:r>
        <w:rPr>
          <w:spacing w:val="1"/>
        </w:rPr>
        <w:t> </w:t>
      </w:r>
      <w:r>
        <w:rPr>
          <w:spacing w:val="-1"/>
        </w:rPr>
        <w:t>Republic,</w:t>
      </w:r>
      <w:r>
        <w:rPr>
          <w:spacing w:val="-10"/>
        </w:rPr>
        <w:t> </w:t>
      </w:r>
      <w:r>
        <w:rPr/>
        <w:t>slightly</w:t>
      </w:r>
      <w:r>
        <w:rPr>
          <w:spacing w:val="-14"/>
        </w:rPr>
        <w:t> </w:t>
      </w:r>
      <w:r>
        <w:rPr/>
        <w:t>above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OECD</w:t>
      </w:r>
      <w:r>
        <w:rPr>
          <w:spacing w:val="-7"/>
        </w:rPr>
        <w:t> </w:t>
      </w:r>
      <w:r>
        <w:rPr/>
        <w:t>average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15%.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field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third</w:t>
      </w:r>
      <w:r>
        <w:rPr>
          <w:spacing w:val="-10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 in the Slovak Republic, with 14% of graduates, above the OECD average of 10%. The field of</w:t>
      </w:r>
      <w:r>
        <w:rPr>
          <w:spacing w:val="1"/>
        </w:rPr>
        <w:t> </w:t>
      </w:r>
      <w:r>
        <w:rPr/>
        <w:t>engineering, manufacturing and construction concentrated 14% of OECD country graduates and 12% of</w:t>
      </w:r>
      <w:r>
        <w:rPr>
          <w:spacing w:val="1"/>
        </w:rPr>
        <w:t> </w:t>
      </w:r>
      <w:r>
        <w:rPr/>
        <w:t>Slovak</w:t>
      </w:r>
      <w:r>
        <w:rPr>
          <w:spacing w:val="-3"/>
        </w:rPr>
        <w:t> </w:t>
      </w:r>
      <w:r>
        <w:rPr/>
        <w:t>graduates,</w:t>
      </w:r>
      <w:r>
        <w:rPr>
          <w:spacing w:val="-6"/>
        </w:rPr>
        <w:t> </w:t>
      </w:r>
      <w:r>
        <w:rPr/>
        <w:t>making</w:t>
      </w:r>
      <w:r>
        <w:rPr>
          <w:spacing w:val="-7"/>
        </w:rPr>
        <w:t> </w:t>
      </w:r>
      <w:r>
        <w:rPr/>
        <w:t>it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third</w:t>
      </w:r>
      <w:r>
        <w:rPr>
          <w:spacing w:val="-7"/>
        </w:rPr>
        <w:t> </w:t>
      </w:r>
      <w:r>
        <w:rPr/>
        <w:t>most</w:t>
      </w:r>
      <w:r>
        <w:rPr>
          <w:spacing w:val="-6"/>
        </w:rPr>
        <w:t> </w:t>
      </w:r>
      <w:r>
        <w:rPr/>
        <w:t>popular</w:t>
      </w:r>
      <w:r>
        <w:rPr>
          <w:spacing w:val="-3"/>
        </w:rPr>
        <w:t> </w:t>
      </w:r>
      <w:r>
        <w:rPr/>
        <w:t>among</w:t>
      </w:r>
      <w:r>
        <w:rPr>
          <w:spacing w:val="-7"/>
        </w:rPr>
        <w:t> </w:t>
      </w:r>
      <w:r>
        <w:rPr/>
        <w:t>OECD</w:t>
      </w:r>
      <w:r>
        <w:rPr>
          <w:spacing w:val="-6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fourth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popular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4%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programmes in information and communication technologies, despite high labour market demand for</w:t>
      </w:r>
      <w:r>
        <w:rPr>
          <w:spacing w:val="1"/>
        </w:rPr>
        <w:t> </w:t>
      </w:r>
      <w:r>
        <w:rPr>
          <w:position w:val="1"/>
        </w:rPr>
        <w:t>graduates</w:t>
      </w:r>
      <w:r>
        <w:rPr>
          <w:spacing w:val="-2"/>
          <w:position w:val="1"/>
        </w:rPr>
        <w:t> </w:t>
      </w:r>
      <w:r>
        <w:rPr>
          <w:position w:val="1"/>
        </w:rPr>
        <w:t>from</w:t>
      </w:r>
      <w:r>
        <w:rPr>
          <w:spacing w:val="1"/>
          <w:position w:val="1"/>
        </w:rPr>
        <w:t> </w:t>
      </w:r>
      <w:r>
        <w:rPr>
          <w:position w:val="1"/>
        </w:rPr>
        <w:t>these</w:t>
      </w:r>
      <w:r>
        <w:rPr>
          <w:spacing w:val="-2"/>
          <w:position w:val="1"/>
        </w:rPr>
        <w:t> </w:t>
      </w:r>
      <w:r>
        <w:rPr>
          <w:position w:val="1"/>
        </w:rPr>
        <w:t>fields</w:t>
      </w:r>
      <w:r>
        <w:rPr>
          <w:spacing w:val="-2"/>
          <w:position w:val="1"/>
        </w:rPr>
        <w:t> </w:t>
      </w:r>
      <w:r>
        <w:rPr>
          <w:position w:val="1"/>
        </w:rPr>
        <w:t>across</w:t>
      </w:r>
      <w:r>
        <w:rPr>
          <w:spacing w:val="-1"/>
          <w:position w:val="1"/>
        </w:rPr>
        <w:t> </w:t>
      </w:r>
      <w:r>
        <w:rPr>
          <w:position w:val="1"/>
        </w:rPr>
        <w:t>OECD</w:t>
      </w:r>
      <w:r>
        <w:rPr>
          <w:spacing w:val="-2"/>
          <w:position w:val="1"/>
        </w:rPr>
        <w:t> </w:t>
      </w:r>
      <w:r>
        <w:rPr>
          <w:position w:val="1"/>
        </w:rPr>
        <w:t>countries</w:t>
      </w:r>
      <w:r>
        <w:rPr>
          <w:spacing w:val="3"/>
          <w:position w:val="1"/>
        </w:rPr>
        <w:t> </w:t>
      </w:r>
      <w:r>
        <w:rPr>
          <w:position w:val="1"/>
        </w:rPr>
        <w:t>(OECD,</w:t>
      </w:r>
      <w:r>
        <w:rPr>
          <w:spacing w:val="-1"/>
          <w:position w:val="1"/>
        </w:rPr>
        <w:t> </w:t>
      </w:r>
      <w:r>
        <w:rPr>
          <w:position w:val="1"/>
        </w:rPr>
        <w:t>2020,</w:t>
      </w:r>
      <w:r>
        <w:rPr>
          <w:spacing w:val="-3"/>
          <w:position w:val="1"/>
        </w:rPr>
        <w:t> </w:t>
      </w:r>
      <w:r>
        <w:rPr>
          <w:position w:val="1"/>
        </w:rPr>
        <w:t>pp.</w:t>
      </w:r>
      <w:r>
        <w:rPr>
          <w:spacing w:val="-1"/>
          <w:position w:val="1"/>
        </w:rPr>
        <w:t> </w:t>
      </w:r>
      <w:r>
        <w:rPr>
          <w:position w:val="1"/>
        </w:rPr>
        <w:t>224,</w:t>
      </w:r>
      <w:r>
        <w:rPr>
          <w:spacing w:val="-2"/>
          <w:position w:val="1"/>
        </w:rPr>
        <w:t> </w:t>
      </w:r>
      <w:r>
        <w:rPr>
          <w:position w:val="1"/>
        </w:rPr>
        <w:t>Table</w:t>
      </w:r>
      <w:r>
        <w:rPr>
          <w:spacing w:val="-1"/>
          <w:position w:val="1"/>
        </w:rPr>
        <w:t> </w:t>
      </w:r>
      <w:r>
        <w:rPr>
          <w:position w:val="1"/>
        </w:rPr>
        <w:t>B5.2</w:t>
      </w:r>
      <w:r>
        <w:rPr>
          <w:sz w:val="13"/>
        </w:rPr>
        <w:t>[24]</w:t>
      </w:r>
      <w:r>
        <w:rPr>
          <w:position w:val="1"/>
        </w:rPr>
        <w:t>).</w:t>
      </w:r>
    </w:p>
    <w:p>
      <w:pPr>
        <w:pStyle w:val="BodyText"/>
        <w:spacing w:line="271" w:lineRule="auto" w:before="123"/>
        <w:ind w:left="183" w:right="301"/>
        <w:jc w:val="both"/>
      </w:pPr>
      <w:r>
        <w:rPr/>
        <w:t>Entry patterns by field of study reveal a strong gender bias in study choices in the Slovak Republic,</w:t>
      </w:r>
      <w:r>
        <w:rPr>
          <w:spacing w:val="1"/>
        </w:rPr>
        <w:t> </w:t>
      </w:r>
      <w:r>
        <w:rPr/>
        <w:t>consistent with other OECD countries. In bachelor programmes, there was an overwhelming majority of</w:t>
      </w:r>
      <w:r>
        <w:rPr>
          <w:spacing w:val="1"/>
        </w:rPr>
        <w:t> </w:t>
      </w:r>
      <w:r>
        <w:rPr/>
        <w:t>women (77%) among students entering health and welfare fields in 2017 in the Slovak Republic, which is</w:t>
      </w:r>
      <w:r>
        <w:rPr>
          <w:spacing w:val="-53"/>
        </w:rPr>
        <w:t> </w:t>
      </w:r>
      <w:r>
        <w:rPr/>
        <w:t>the same proportion found on average across OECD countries. At the other end of the spectrum, men</w:t>
      </w:r>
      <w:r>
        <w:rPr>
          <w:spacing w:val="1"/>
        </w:rPr>
        <w:t> </w:t>
      </w:r>
      <w:r>
        <w:rPr/>
        <w:t>dominated science, technology, engineering and mathematics (STEM) fields, with 71% of new entrants in</w:t>
      </w:r>
      <w:r>
        <w:rPr>
          <w:spacing w:val="-54"/>
        </w:rPr>
        <w:t> </w:t>
      </w:r>
      <w:r>
        <w:rPr/>
        <w:t>bachelor programmes in the Slovak Republic, slightly above the OECD average of 70%. The gap was</w:t>
      </w:r>
      <w:r>
        <w:rPr>
          <w:spacing w:val="1"/>
        </w:rPr>
        <w:t> </w:t>
      </w:r>
      <w:r>
        <w:rPr>
          <w:spacing w:val="-1"/>
        </w:rPr>
        <w:t>narrower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business,</w:t>
      </w:r>
      <w:r>
        <w:rPr>
          <w:spacing w:val="-13"/>
        </w:rPr>
        <w:t> </w:t>
      </w:r>
      <w:r>
        <w:rPr>
          <w:spacing w:val="-1"/>
        </w:rPr>
        <w:t>administrative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law</w:t>
      </w:r>
      <w:r>
        <w:rPr>
          <w:spacing w:val="-13"/>
        </w:rPr>
        <w:t> </w:t>
      </w:r>
      <w:r>
        <w:rPr>
          <w:spacing w:val="-1"/>
        </w:rPr>
        <w:t>field,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59%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women</w:t>
      </w:r>
      <w:r>
        <w:rPr>
          <w:spacing w:val="-14"/>
        </w:rPr>
        <w:t> </w:t>
      </w:r>
      <w:r>
        <w:rPr/>
        <w:t>entering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field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bachelor</w:t>
      </w:r>
      <w:r>
        <w:rPr>
          <w:spacing w:val="1"/>
        </w:rPr>
        <w:t> </w:t>
      </w:r>
      <w:r>
        <w:rPr/>
        <w:t>level in the Slovak Republic, yet it remained above the OECD average of 54% (OECD, 2019, pp. 205,</w:t>
      </w:r>
      <w:r>
        <w:rPr>
          <w:spacing w:val="1"/>
        </w:rPr>
        <w:t> </w:t>
      </w:r>
      <w:r>
        <w:rPr>
          <w:position w:val="1"/>
        </w:rPr>
        <w:t>Table</w:t>
      </w:r>
      <w:r>
        <w:rPr>
          <w:spacing w:val="-2"/>
          <w:position w:val="1"/>
        </w:rPr>
        <w:t> </w:t>
      </w:r>
      <w:r>
        <w:rPr>
          <w:position w:val="1"/>
        </w:rPr>
        <w:t>B4.2</w:t>
      </w:r>
      <w:r>
        <w:rPr>
          <w:sz w:val="13"/>
        </w:rPr>
        <w:t>[26]</w:t>
      </w:r>
      <w:r>
        <w:rPr>
          <w:position w:val="1"/>
        </w:rPr>
        <w:t>)</w:t>
      </w:r>
    </w:p>
    <w:p>
      <w:pPr>
        <w:pStyle w:val="BodyText"/>
        <w:spacing w:before="2"/>
      </w:pPr>
    </w:p>
    <w:p>
      <w:pPr>
        <w:pStyle w:val="Heading7"/>
      </w:pPr>
      <w:bookmarkStart w:name="Internationalisation" w:id="61"/>
      <w:bookmarkEnd w:id="61"/>
      <w:r>
        <w:rPr>
          <w:i w:val="0"/>
        </w:rPr>
      </w:r>
      <w:r>
        <w:rPr>
          <w:color w:val="616161"/>
        </w:rPr>
        <w:t>Internationalisation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68" w:lineRule="auto"/>
        <w:ind w:left="183" w:right="301"/>
        <w:jc w:val="both"/>
      </w:pPr>
      <w:r>
        <w:rPr/>
        <w:t>The Slovak Republic faces significant brain drain as large numbers of young people completing upper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pursue</w:t>
      </w:r>
      <w:r>
        <w:rPr>
          <w:spacing w:val="55"/>
        </w:rPr>
        <w:t> </w:t>
      </w:r>
      <w:r>
        <w:rPr/>
        <w:t>their</w:t>
      </w:r>
      <w:r>
        <w:rPr>
          <w:spacing w:val="56"/>
        </w:rPr>
        <w:t> </w:t>
      </w:r>
      <w:r>
        <w:rPr/>
        <w:t>higher</w:t>
      </w:r>
      <w:r>
        <w:rPr>
          <w:spacing w:val="55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studies.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-1"/>
        </w:rPr>
        <w:t> </w:t>
      </w:r>
      <w:r>
        <w:rPr/>
        <w:t>Republic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highest</w:t>
      </w:r>
      <w:r>
        <w:rPr>
          <w:spacing w:val="-9"/>
        </w:rPr>
        <w:t> </w:t>
      </w:r>
      <w:r>
        <w:rPr/>
        <w:t>rates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enrolled</w:t>
      </w:r>
      <w:r>
        <w:rPr>
          <w:spacing w:val="-8"/>
        </w:rPr>
        <w:t> </w:t>
      </w:r>
      <w:r>
        <w:rPr/>
        <w:t>abroad,</w:t>
      </w:r>
      <w:r>
        <w:rPr>
          <w:spacing w:val="-9"/>
        </w:rPr>
        <w:t> </w:t>
      </w:r>
      <w:r>
        <w:rPr/>
        <w:t>second</w:t>
      </w:r>
      <w:r>
        <w:rPr>
          <w:spacing w:val="-9"/>
        </w:rPr>
        <w:t> </w:t>
      </w:r>
      <w:r>
        <w:rPr/>
        <w:t>only</w:t>
      </w:r>
      <w:r>
        <w:rPr>
          <w:spacing w:val="-12"/>
        </w:rPr>
        <w:t> </w:t>
      </w:r>
      <w:r>
        <w:rPr/>
        <w:t>to</w:t>
      </w:r>
      <w:r>
        <w:rPr>
          <w:spacing w:val="1"/>
        </w:rPr>
        <w:t> </w:t>
      </w:r>
      <w:r>
        <w:rPr/>
        <w:t>Luxembourg,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19%,</w:t>
      </w:r>
      <w:r>
        <w:rPr>
          <w:spacing w:val="-5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4%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average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EU23</w:t>
      </w:r>
      <w:r>
        <w:rPr>
          <w:vertAlign w:val="superscript"/>
        </w:rPr>
        <w:t>4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2%</w:t>
      </w:r>
      <w:r>
        <w:rPr>
          <w:spacing w:val="-5"/>
          <w:vertAlign w:val="baseline"/>
        </w:rPr>
        <w:t> </w:t>
      </w:r>
      <w:r>
        <w:rPr>
          <w:vertAlign w:val="baseline"/>
        </w:rPr>
        <w:t>on</w:t>
      </w:r>
      <w:r>
        <w:rPr>
          <w:spacing w:val="-6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OECD</w:t>
      </w:r>
      <w:r>
        <w:rPr>
          <w:spacing w:val="-5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spacing w:val="-1"/>
          <w:position w:val="1"/>
          <w:vertAlign w:val="baseline"/>
        </w:rPr>
        <w:t>(OECD,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2020,</w:t>
      </w:r>
      <w:r>
        <w:rPr>
          <w:spacing w:val="-11"/>
          <w:position w:val="1"/>
          <w:vertAlign w:val="baseline"/>
        </w:rPr>
        <w:t> </w:t>
      </w:r>
      <w:r>
        <w:rPr>
          <w:position w:val="1"/>
          <w:vertAlign w:val="baseline"/>
        </w:rPr>
        <w:t>pp.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240,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Table</w:t>
      </w:r>
      <w:r>
        <w:rPr>
          <w:spacing w:val="-14"/>
          <w:position w:val="1"/>
          <w:vertAlign w:val="baseline"/>
        </w:rPr>
        <w:t> </w:t>
      </w:r>
      <w:r>
        <w:rPr>
          <w:position w:val="1"/>
          <w:vertAlign w:val="baseline"/>
        </w:rPr>
        <w:t>B6.3</w:t>
      </w:r>
      <w:r>
        <w:rPr>
          <w:sz w:val="13"/>
          <w:vertAlign w:val="baseline"/>
        </w:rPr>
        <w:t>[24]</w:t>
      </w:r>
      <w:r>
        <w:rPr>
          <w:position w:val="1"/>
          <w:vertAlign w:val="baseline"/>
        </w:rPr>
        <w:t>).</w:t>
      </w:r>
      <w:r>
        <w:rPr>
          <w:spacing w:val="-14"/>
          <w:position w:val="1"/>
          <w:vertAlign w:val="baseline"/>
        </w:rPr>
        <w:t> </w:t>
      </w:r>
      <w:r>
        <w:rPr>
          <w:position w:val="1"/>
          <w:vertAlign w:val="baseline"/>
        </w:rPr>
        <w:t>Due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to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historical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ties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and</w:t>
      </w:r>
      <w:r>
        <w:rPr>
          <w:spacing w:val="-14"/>
          <w:position w:val="1"/>
          <w:vertAlign w:val="baseline"/>
        </w:rPr>
        <w:t> </w:t>
      </w:r>
      <w:r>
        <w:rPr>
          <w:position w:val="1"/>
          <w:vertAlign w:val="baseline"/>
        </w:rPr>
        <w:t>language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similarities</w:t>
      </w:r>
      <w:r>
        <w:rPr>
          <w:position w:val="1"/>
          <w:vertAlign w:val="superscript"/>
        </w:rPr>
        <w:t>5</w:t>
      </w:r>
      <w:r>
        <w:rPr>
          <w:position w:val="1"/>
          <w:vertAlign w:val="baseline"/>
        </w:rPr>
        <w:t>,</w:t>
      </w:r>
      <w:r>
        <w:rPr>
          <w:spacing w:val="-14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14"/>
          <w:position w:val="1"/>
          <w:vertAlign w:val="baseline"/>
        </w:rPr>
        <w:t> </w:t>
      </w:r>
      <w:r>
        <w:rPr>
          <w:position w:val="1"/>
          <w:vertAlign w:val="baseline"/>
        </w:rPr>
        <w:t>Czech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Republic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top</w:t>
      </w:r>
      <w:r>
        <w:rPr>
          <w:spacing w:val="-6"/>
          <w:vertAlign w:val="baseline"/>
        </w:rPr>
        <w:t> </w:t>
      </w:r>
      <w:r>
        <w:rPr>
          <w:vertAlign w:val="baseline"/>
        </w:rPr>
        <w:t>study</w:t>
      </w:r>
      <w:r>
        <w:rPr>
          <w:spacing w:val="-6"/>
          <w:vertAlign w:val="baseline"/>
        </w:rPr>
        <w:t> </w:t>
      </w:r>
      <w:r>
        <w:rPr>
          <w:vertAlign w:val="baseline"/>
        </w:rPr>
        <w:t>destination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Slovak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students.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1992,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Slovak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4"/>
          <w:vertAlign w:val="baseline"/>
        </w:rPr>
        <w:t> </w:t>
      </w:r>
      <w:r>
        <w:rPr>
          <w:vertAlign w:val="baseline"/>
        </w:rPr>
        <w:t>studying</w:t>
      </w:r>
      <w:r>
        <w:rPr>
          <w:spacing w:val="-54"/>
          <w:vertAlign w:val="baseline"/>
        </w:rPr>
        <w:t> </w:t>
      </w:r>
      <w:r>
        <w:rPr>
          <w:position w:val="1"/>
          <w:vertAlign w:val="baseline"/>
        </w:rPr>
        <w:t>in the Czech Republic was around 2 500 according to an estimate from the MoE (Šerý et al., 2013</w:t>
      </w:r>
      <w:r>
        <w:rPr>
          <w:sz w:val="13"/>
          <w:vertAlign w:val="baseline"/>
        </w:rPr>
        <w:t>[30]</w:t>
      </w:r>
      <w:r>
        <w:rPr>
          <w:position w:val="1"/>
          <w:vertAlign w:val="baseline"/>
        </w:rPr>
        <w:t>).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Almost 30 years later, around 22 000 Slovak students are enrolled in study programmes within the Czech</w:t>
      </w:r>
      <w:r>
        <w:rPr>
          <w:spacing w:val="-54"/>
          <w:vertAlign w:val="baseline"/>
        </w:rPr>
        <w:t> </w:t>
      </w:r>
      <w:r>
        <w:rPr>
          <w:position w:val="1"/>
          <w:vertAlign w:val="baseline"/>
        </w:rPr>
        <w:t>higher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education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institutions,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accounting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for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almost</w:t>
      </w:r>
      <w:r>
        <w:rPr>
          <w:spacing w:val="-4"/>
          <w:position w:val="1"/>
          <w:vertAlign w:val="baseline"/>
        </w:rPr>
        <w:t> </w:t>
      </w:r>
      <w:r>
        <w:rPr>
          <w:position w:val="1"/>
          <w:vertAlign w:val="baseline"/>
        </w:rPr>
        <w:t>half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of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all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international</w:t>
      </w:r>
      <w:r>
        <w:rPr>
          <w:spacing w:val="-4"/>
          <w:position w:val="1"/>
          <w:vertAlign w:val="baseline"/>
        </w:rPr>
        <w:t> </w:t>
      </w:r>
      <w:r>
        <w:rPr>
          <w:position w:val="1"/>
          <w:vertAlign w:val="baseline"/>
        </w:rPr>
        <w:t>students</w:t>
      </w:r>
      <w:r>
        <w:rPr>
          <w:spacing w:val="5"/>
          <w:position w:val="1"/>
          <w:vertAlign w:val="baseline"/>
        </w:rPr>
        <w:t> </w:t>
      </w:r>
      <w:r>
        <w:rPr>
          <w:position w:val="1"/>
          <w:vertAlign w:val="baseline"/>
        </w:rPr>
        <w:t>(OECD,</w:t>
      </w:r>
      <w:r>
        <w:rPr>
          <w:spacing w:val="-4"/>
          <w:position w:val="1"/>
          <w:vertAlign w:val="baseline"/>
        </w:rPr>
        <w:t> </w:t>
      </w:r>
      <w:r>
        <w:rPr>
          <w:position w:val="1"/>
          <w:vertAlign w:val="baseline"/>
        </w:rPr>
        <w:t>2021</w:t>
      </w:r>
      <w:r>
        <w:rPr>
          <w:sz w:val="13"/>
          <w:vertAlign w:val="baseline"/>
        </w:rPr>
        <w:t>[6]</w:t>
      </w:r>
      <w:r>
        <w:rPr>
          <w:position w:val="1"/>
          <w:vertAlign w:val="baseline"/>
        </w:rPr>
        <w:t>).</w:t>
      </w:r>
    </w:p>
    <w:p>
      <w:pPr>
        <w:pStyle w:val="BodyText"/>
        <w:spacing w:line="271" w:lineRule="auto" w:before="133"/>
        <w:ind w:left="183" w:right="301"/>
        <w:jc w:val="both"/>
      </w:pPr>
      <w:r>
        <w:rPr/>
        <w:t>On the other hand, the Slovak Republic is lagging in attracting international students, especially at</w:t>
      </w:r>
      <w:r>
        <w:rPr>
          <w:spacing w:val="1"/>
        </w:rPr>
        <w:t> </w:t>
      </w:r>
      <w:r>
        <w:rPr/>
        <w:t>advanced levels of study. Although international students make up 9% of new entrants at the bachelor</w:t>
      </w:r>
      <w:r>
        <w:rPr>
          <w:spacing w:val="1"/>
        </w:rPr>
        <w:t> </w:t>
      </w:r>
      <w:r>
        <w:rPr/>
        <w:t>level in the Slovak Republic and on average across OECD countries, the Slovak Republic fails to attract</w:t>
      </w:r>
      <w:r>
        <w:rPr>
          <w:spacing w:val="1"/>
        </w:rPr>
        <w:t> </w:t>
      </w:r>
      <w:r>
        <w:rPr/>
        <w:t>more international students at higher levels of education. For example, the share of international new</w:t>
      </w:r>
      <w:r>
        <w:rPr>
          <w:spacing w:val="1"/>
        </w:rPr>
        <w:t> </w:t>
      </w:r>
      <w:r>
        <w:rPr/>
        <w:t>entrants at the master’s level on average among OECD countries (21%) is almost three times that of the</w:t>
      </w:r>
      <w:r>
        <w:rPr>
          <w:spacing w:val="1"/>
        </w:rPr>
        <w:t> </w:t>
      </w:r>
      <w:r>
        <w:rPr/>
        <w:t>Slovak Republic</w:t>
      </w:r>
      <w:r>
        <w:rPr>
          <w:spacing w:val="10"/>
        </w:rPr>
        <w:t> </w:t>
      </w:r>
      <w:r>
        <w:rPr/>
        <w:t>(8%).</w:t>
      </w:r>
      <w:r>
        <w:rPr>
          <w:spacing w:val="15"/>
        </w:rPr>
        <w:t> </w:t>
      </w:r>
      <w:r>
        <w:rPr/>
        <w:t>Similarly,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doctoral</w:t>
      </w:r>
      <w:r>
        <w:rPr>
          <w:spacing w:val="12"/>
        </w:rPr>
        <w:t> </w:t>
      </w:r>
      <w:r>
        <w:rPr/>
        <w:t>level,</w:t>
      </w:r>
      <w:r>
        <w:rPr>
          <w:spacing w:val="14"/>
        </w:rPr>
        <w:t> </w:t>
      </w:r>
      <w:r>
        <w:rPr/>
        <w:t>one</w:t>
      </w:r>
      <w:r>
        <w:rPr>
          <w:spacing w:val="11"/>
        </w:rPr>
        <w:t> </w:t>
      </w:r>
      <w:r>
        <w:rPr/>
        <w:t>out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ten</w:t>
      </w:r>
      <w:r>
        <w:rPr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entrants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international</w:t>
      </w:r>
      <w:r>
        <w:rPr>
          <w:spacing w:val="23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5"/>
        <w:jc w:val="both"/>
      </w:pPr>
      <w:r>
        <w:rPr/>
        <w:t>Slovak</w:t>
      </w:r>
      <w:r>
        <w:rPr>
          <w:spacing w:val="1"/>
        </w:rPr>
        <w:t> </w:t>
      </w:r>
      <w:r>
        <w:rPr/>
        <w:t>Republic</w:t>
      </w:r>
      <w:r>
        <w:rPr>
          <w:spacing w:val="31"/>
        </w:rPr>
        <w:t> </w:t>
      </w:r>
      <w:r>
        <w:rPr/>
        <w:t>(10%),</w:t>
      </w:r>
      <w:r>
        <w:rPr>
          <w:spacing w:val="30"/>
        </w:rPr>
        <w:t> </w:t>
      </w:r>
      <w:r>
        <w:rPr/>
        <w:t>compared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three</w:t>
      </w:r>
      <w:r>
        <w:rPr>
          <w:spacing w:val="32"/>
        </w:rPr>
        <w:t> </w:t>
      </w:r>
      <w:r>
        <w:rPr/>
        <w:t>out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ten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/>
        <w:t>average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OECD</w:t>
      </w:r>
      <w:r>
        <w:rPr>
          <w:spacing w:val="30"/>
        </w:rPr>
        <w:t> </w:t>
      </w:r>
      <w:r>
        <w:rPr/>
        <w:t>(29%)</w:t>
      </w:r>
      <w:r>
        <w:rPr>
          <w:spacing w:val="41"/>
        </w:rPr>
        <w:t> </w:t>
      </w:r>
      <w:r>
        <w:rPr/>
        <w:t>(OECD,</w:t>
      </w:r>
      <w:r>
        <w:rPr>
          <w:spacing w:val="32"/>
        </w:rPr>
        <w:t> </w:t>
      </w:r>
      <w:r>
        <w:rPr/>
        <w:t>2020,</w:t>
      </w:r>
      <w:r>
        <w:rPr>
          <w:spacing w:val="-53"/>
        </w:rPr>
        <w:t> </w:t>
      </w:r>
      <w:r>
        <w:rPr>
          <w:position w:val="1"/>
        </w:rPr>
        <w:t>pp.</w:t>
      </w:r>
      <w:r>
        <w:rPr>
          <w:spacing w:val="-2"/>
          <w:position w:val="1"/>
        </w:rPr>
        <w:t> </w:t>
      </w:r>
      <w:r>
        <w:rPr>
          <w:position w:val="1"/>
        </w:rPr>
        <w:t>212,</w:t>
      </w:r>
      <w:r>
        <w:rPr>
          <w:spacing w:val="-1"/>
          <w:position w:val="1"/>
        </w:rPr>
        <w:t> </w:t>
      </w:r>
      <w:r>
        <w:rPr>
          <w:position w:val="1"/>
        </w:rPr>
        <w:t>Table</w:t>
      </w:r>
      <w:r>
        <w:rPr>
          <w:spacing w:val="1"/>
          <w:position w:val="1"/>
        </w:rPr>
        <w:t> </w:t>
      </w:r>
      <w:r>
        <w:rPr>
          <w:position w:val="1"/>
        </w:rPr>
        <w:t>B4.3</w:t>
      </w:r>
      <w:r>
        <w:rPr>
          <w:sz w:val="13"/>
        </w:rPr>
        <w:t>[24]</w:t>
      </w:r>
      <w:r>
        <w:rPr>
          <w:position w:val="1"/>
        </w:rPr>
        <w:t>).</w:t>
      </w:r>
    </w:p>
    <w:p>
      <w:pPr>
        <w:pStyle w:val="BodyText"/>
        <w:spacing w:line="271" w:lineRule="auto" w:before="118"/>
        <w:ind w:left="183" w:right="302"/>
        <w:jc w:val="both"/>
      </w:pPr>
      <w:r>
        <w:rPr/>
        <w:t>There have been improvements in recent years, however, with 7 international students per 100 national</w:t>
      </w:r>
      <w:r>
        <w:rPr>
          <w:spacing w:val="1"/>
        </w:rPr>
        <w:t> </w:t>
      </w:r>
      <w:r>
        <w:rPr/>
        <w:t>students (whether enrolled at home or abroad) in 2018, compared to 6 on average in OECD countries</w:t>
      </w:r>
      <w:r>
        <w:rPr>
          <w:spacing w:val="1"/>
        </w:rPr>
        <w:t> </w:t>
      </w:r>
      <w:r>
        <w:rPr>
          <w:spacing w:val="-1"/>
          <w:position w:val="1"/>
        </w:rPr>
        <w:t>(OECD,</w:t>
      </w:r>
      <w:r>
        <w:rPr>
          <w:spacing w:val="-13"/>
          <w:position w:val="1"/>
        </w:rPr>
        <w:t> </w:t>
      </w:r>
      <w:r>
        <w:rPr>
          <w:position w:val="1"/>
        </w:rPr>
        <w:t>2020,</w:t>
      </w:r>
      <w:r>
        <w:rPr>
          <w:spacing w:val="-12"/>
          <w:position w:val="1"/>
        </w:rPr>
        <w:t> </w:t>
      </w:r>
      <w:r>
        <w:rPr>
          <w:position w:val="1"/>
        </w:rPr>
        <w:t>pp. 240,</w:t>
      </w:r>
      <w:r>
        <w:rPr>
          <w:spacing w:val="-12"/>
          <w:position w:val="1"/>
        </w:rPr>
        <w:t> </w:t>
      </w:r>
      <w:r>
        <w:rPr>
          <w:position w:val="1"/>
        </w:rPr>
        <w:t>Table</w:t>
      </w:r>
      <w:r>
        <w:rPr>
          <w:spacing w:val="-14"/>
          <w:position w:val="1"/>
        </w:rPr>
        <w:t> </w:t>
      </w:r>
      <w:r>
        <w:rPr>
          <w:position w:val="1"/>
        </w:rPr>
        <w:t>B6.3</w:t>
      </w:r>
      <w:r>
        <w:rPr>
          <w:sz w:val="13"/>
        </w:rPr>
        <w:t>[24]</w:t>
      </w:r>
      <w:r>
        <w:rPr>
          <w:position w:val="1"/>
        </w:rPr>
        <w:t>).</w:t>
      </w:r>
      <w:r>
        <w:rPr>
          <w:spacing w:val="-13"/>
          <w:position w:val="1"/>
        </w:rPr>
        <w:t> </w:t>
      </w:r>
      <w:r>
        <w:rPr>
          <w:position w:val="1"/>
        </w:rPr>
        <w:t>National</w:t>
      </w:r>
      <w:r>
        <w:rPr>
          <w:spacing w:val="-12"/>
          <w:position w:val="1"/>
        </w:rPr>
        <w:t> </w:t>
      </w:r>
      <w:r>
        <w:rPr>
          <w:position w:val="1"/>
        </w:rPr>
        <w:t>data</w:t>
      </w:r>
      <w:r>
        <w:rPr>
          <w:spacing w:val="-12"/>
          <w:position w:val="1"/>
        </w:rPr>
        <w:t> </w:t>
      </w:r>
      <w:r>
        <w:rPr>
          <w:position w:val="1"/>
        </w:rPr>
        <w:t>suggests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1"/>
          <w:position w:val="1"/>
        </w:rPr>
        <w:t> </w:t>
      </w:r>
      <w:r>
        <w:rPr>
          <w:position w:val="1"/>
        </w:rPr>
        <w:t>figure</w:t>
      </w:r>
      <w:r>
        <w:rPr>
          <w:spacing w:val="-13"/>
          <w:position w:val="1"/>
        </w:rPr>
        <w:t> </w:t>
      </w:r>
      <w:r>
        <w:rPr>
          <w:position w:val="1"/>
        </w:rPr>
        <w:t>might</w:t>
      </w:r>
      <w:r>
        <w:rPr>
          <w:spacing w:val="-11"/>
          <w:position w:val="1"/>
        </w:rPr>
        <w:t> </w:t>
      </w:r>
      <w:r>
        <w:rPr>
          <w:position w:val="1"/>
        </w:rPr>
        <w:t>be</w:t>
      </w:r>
      <w:r>
        <w:rPr>
          <w:spacing w:val="-11"/>
          <w:position w:val="1"/>
        </w:rPr>
        <w:t> </w:t>
      </w:r>
      <w:r>
        <w:rPr>
          <w:position w:val="1"/>
        </w:rPr>
        <w:t>higher,</w:t>
      </w:r>
      <w:r>
        <w:rPr>
          <w:spacing w:val="-11"/>
          <w:position w:val="1"/>
        </w:rPr>
        <w:t> </w:t>
      </w:r>
      <w:r>
        <w:rPr>
          <w:position w:val="1"/>
        </w:rPr>
        <w:t>with</w:t>
      </w:r>
      <w:r>
        <w:rPr>
          <w:spacing w:val="-12"/>
          <w:position w:val="1"/>
        </w:rPr>
        <w:t> </w:t>
      </w:r>
      <w:r>
        <w:rPr>
          <w:position w:val="1"/>
        </w:rPr>
        <w:t>international</w:t>
      </w:r>
      <w:r>
        <w:rPr>
          <w:spacing w:val="1"/>
          <w:position w:val="1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representing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/>
        <w:t>11%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7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enrolled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bachelor’s,</w:t>
      </w:r>
      <w:r>
        <w:rPr>
          <w:spacing w:val="-6"/>
        </w:rPr>
        <w:t> </w:t>
      </w:r>
      <w:r>
        <w:rPr/>
        <w:t>master’s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doctoral</w:t>
      </w:r>
      <w:r>
        <w:rPr>
          <w:spacing w:val="-2"/>
        </w:rPr>
        <w:t> </w:t>
      </w:r>
      <w:r>
        <w:rPr/>
        <w:t>levels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>
          <w:position w:val="1"/>
        </w:rPr>
        <w:t>2020 (CVTI, 2021</w:t>
      </w:r>
      <w:r>
        <w:rPr>
          <w:sz w:val="13"/>
        </w:rPr>
        <w:t>[16]</w:t>
      </w:r>
      <w:r>
        <w:rPr>
          <w:position w:val="1"/>
        </w:rPr>
        <w:t>). It is notable that the upward trend in international enrolment is driven in large part</w:t>
      </w:r>
      <w:r>
        <w:rPr>
          <w:spacing w:val="1"/>
          <w:position w:val="1"/>
        </w:rPr>
        <w:t> </w:t>
      </w:r>
      <w:r>
        <w:rPr/>
        <w:t>by Ukrainian students, who typically study in Slovak-language programmes, combined with a decline in</w:t>
      </w:r>
      <w:r>
        <w:rPr>
          <w:spacing w:val="1"/>
        </w:rPr>
        <w:t> </w:t>
      </w:r>
      <w:r>
        <w:rPr/>
        <w:t>domestic students. In 2020, Ukrainian students represented approximately 37% of international students</w:t>
      </w:r>
      <w:r>
        <w:rPr>
          <w:spacing w:val="1"/>
        </w:rPr>
        <w:t> </w:t>
      </w:r>
      <w:r>
        <w:rPr>
          <w:position w:val="1"/>
        </w:rPr>
        <w:t>enrolled</w:t>
      </w:r>
      <w:r>
        <w:rPr>
          <w:spacing w:val="-3"/>
          <w:position w:val="1"/>
        </w:rPr>
        <w:t> </w:t>
      </w:r>
      <w:r>
        <w:rPr>
          <w:position w:val="1"/>
        </w:rPr>
        <w:t>in</w:t>
      </w:r>
      <w:r>
        <w:rPr>
          <w:spacing w:val="-1"/>
          <w:position w:val="1"/>
        </w:rPr>
        <w:t> </w:t>
      </w:r>
      <w:r>
        <w:rPr>
          <w:position w:val="1"/>
        </w:rPr>
        <w:t>Slovak</w:t>
      </w:r>
      <w:r>
        <w:rPr>
          <w:spacing w:val="1"/>
          <w:position w:val="1"/>
        </w:rPr>
        <w:t> </w:t>
      </w:r>
      <w:r>
        <w:rPr>
          <w:position w:val="1"/>
        </w:rPr>
        <w:t>institutions</w:t>
      </w:r>
      <w:r>
        <w:rPr>
          <w:spacing w:val="-2"/>
          <w:position w:val="1"/>
        </w:rPr>
        <w:t> </w:t>
      </w:r>
      <w:r>
        <w:rPr>
          <w:position w:val="1"/>
        </w:rPr>
        <w:t>at</w:t>
      </w:r>
      <w:r>
        <w:rPr>
          <w:spacing w:val="-3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bachelor’s,</w:t>
      </w:r>
      <w:r>
        <w:rPr>
          <w:spacing w:val="-2"/>
          <w:position w:val="1"/>
        </w:rPr>
        <w:t> </w:t>
      </w:r>
      <w:r>
        <w:rPr>
          <w:position w:val="1"/>
        </w:rPr>
        <w:t>master’s</w:t>
      </w:r>
      <w:r>
        <w:rPr>
          <w:spacing w:val="-2"/>
          <w:position w:val="1"/>
        </w:rPr>
        <w:t> </w:t>
      </w:r>
      <w:r>
        <w:rPr>
          <w:position w:val="1"/>
        </w:rPr>
        <w:t>and doctoral</w:t>
      </w:r>
      <w:r>
        <w:rPr>
          <w:spacing w:val="-3"/>
          <w:position w:val="1"/>
        </w:rPr>
        <w:t> </w:t>
      </w:r>
      <w:r>
        <w:rPr>
          <w:position w:val="1"/>
        </w:rPr>
        <w:t>level</w:t>
      </w:r>
      <w:r>
        <w:rPr>
          <w:spacing w:val="1"/>
          <w:position w:val="1"/>
        </w:rPr>
        <w:t> </w:t>
      </w:r>
      <w:r>
        <w:rPr>
          <w:position w:val="1"/>
        </w:rPr>
        <w:t>(CVTI,</w:t>
      </w:r>
      <w:r>
        <w:rPr>
          <w:spacing w:val="-2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[16]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However, despite progress in attracting international students, the ratio between international students 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Slovak</w:t>
      </w:r>
      <w:r>
        <w:rPr>
          <w:spacing w:val="1"/>
        </w:rPr>
        <w:t> </w:t>
      </w:r>
      <w:r>
        <w:rPr>
          <w:spacing w:val="-1"/>
        </w:rPr>
        <w:t>Republic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Slovaks</w:t>
      </w:r>
      <w:r>
        <w:rPr>
          <w:spacing w:val="-13"/>
        </w:rPr>
        <w:t> </w:t>
      </w:r>
      <w:r>
        <w:rPr>
          <w:spacing w:val="-1"/>
        </w:rPr>
        <w:t>studying</w:t>
      </w:r>
      <w:r>
        <w:rPr>
          <w:spacing w:val="-12"/>
        </w:rPr>
        <w:t> </w:t>
      </w:r>
      <w:r>
        <w:rPr>
          <w:spacing w:val="-1"/>
        </w:rPr>
        <w:t>abroad</w:t>
      </w:r>
      <w:r>
        <w:rPr>
          <w:spacing w:val="-11"/>
        </w:rPr>
        <w:t> </w:t>
      </w:r>
      <w:r>
        <w:rPr>
          <w:spacing w:val="-1"/>
        </w:rPr>
        <w:t>shows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pattern</w:t>
      </w:r>
      <w:r>
        <w:rPr>
          <w:spacing w:val="-11"/>
        </w:rPr>
        <w:t> </w:t>
      </w:r>
      <w:r>
        <w:rPr/>
        <w:t>opposite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OECD</w:t>
      </w:r>
      <w:r>
        <w:rPr>
          <w:spacing w:val="-13"/>
        </w:rPr>
        <w:t> </w:t>
      </w:r>
      <w:r>
        <w:rPr/>
        <w:t>average.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2018,</w:t>
      </w:r>
      <w:r>
        <w:rPr>
          <w:spacing w:val="1"/>
        </w:rPr>
        <w:t> </w:t>
      </w:r>
      <w:r>
        <w:rPr/>
        <w:t>there were three foreign or international students for each national student studying abroad, on average</w:t>
      </w:r>
      <w:r>
        <w:rPr>
          <w:spacing w:val="1"/>
        </w:rPr>
        <w:t> </w:t>
      </w:r>
      <w:r>
        <w:rPr/>
        <w:t>among OECD countries, while this ratio was 0.4 in the Slovak Republic (OECD, 2020, pp. 240, Table</w:t>
      </w:r>
      <w:r>
        <w:rPr>
          <w:spacing w:val="1"/>
        </w:rPr>
        <w:t> </w:t>
      </w:r>
      <w:r>
        <w:rPr>
          <w:position w:val="1"/>
        </w:rPr>
        <w:t>B6.3</w:t>
      </w:r>
      <w:r>
        <w:rPr>
          <w:sz w:val="13"/>
        </w:rPr>
        <w:t>[24]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Furthermore,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Slovak Republic</w:t>
      </w:r>
      <w:r>
        <w:rPr>
          <w:spacing w:val="56"/>
        </w:rPr>
        <w:t> </w:t>
      </w:r>
      <w:r>
        <w:rPr/>
        <w:t>concentrate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selected</w:t>
      </w:r>
      <w:r>
        <w:rPr>
          <w:spacing w:val="55"/>
        </w:rPr>
        <w:t> </w:t>
      </w:r>
      <w:r>
        <w:rPr/>
        <w:t>fields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study</w:t>
      </w:r>
      <w:r>
        <w:rPr>
          <w:spacing w:val="1"/>
        </w:rPr>
        <w:t> </w:t>
      </w:r>
      <w:r>
        <w:rPr/>
        <w:t>(e.g. medicine, veterinary medicine, pharmacy) and tend to study separately from</w:t>
      </w:r>
      <w:r>
        <w:rPr>
          <w:spacing w:val="1"/>
        </w:rPr>
        <w:t> </w:t>
      </w:r>
      <w:r>
        <w:rPr/>
        <w:t>Slovak students.</w:t>
      </w:r>
      <w:r>
        <w:rPr>
          <w:spacing w:val="1"/>
        </w:rPr>
        <w:t> </w:t>
      </w:r>
      <w:r>
        <w:rPr/>
        <w:t>According to a recent study, the limited availability of English-language programmes in Slovak higher</w:t>
      </w:r>
      <w:r>
        <w:rPr>
          <w:spacing w:val="1"/>
        </w:rPr>
        <w:t> </w:t>
      </w:r>
      <w:r>
        <w:rPr/>
        <w:t>education, the low internationalisation of the curriculum, and the low integration of international students</w:t>
      </w:r>
      <w:r>
        <w:rPr>
          <w:spacing w:val="1"/>
        </w:rPr>
        <w:t> </w:t>
      </w:r>
      <w:r>
        <w:rPr/>
        <w:t>and staff within the Slovak higher education environment limit the benefits of internationalisation for both</w:t>
      </w:r>
      <w:r>
        <w:rPr>
          <w:spacing w:val="1"/>
        </w:rPr>
        <w:t> </w:t>
      </w:r>
      <w:r>
        <w:rPr>
          <w:position w:val="1"/>
        </w:rPr>
        <w:t>domestic</w:t>
      </w:r>
      <w:r>
        <w:rPr>
          <w:spacing w:val="-1"/>
          <w:position w:val="1"/>
        </w:rPr>
        <w:t> </w:t>
      </w:r>
      <w:r>
        <w:rPr>
          <w:position w:val="1"/>
        </w:rPr>
        <w:t>and</w:t>
      </w:r>
      <w:r>
        <w:rPr>
          <w:spacing w:val="-1"/>
          <w:position w:val="1"/>
        </w:rPr>
        <w:t> </w:t>
      </w:r>
      <w:r>
        <w:rPr>
          <w:position w:val="1"/>
        </w:rPr>
        <w:t>international students</w:t>
      </w:r>
      <w:r>
        <w:rPr>
          <w:spacing w:val="2"/>
          <w:position w:val="1"/>
        </w:rPr>
        <w:t> </w:t>
      </w:r>
      <w:r>
        <w:rPr>
          <w:position w:val="1"/>
        </w:rPr>
        <w:t>(MESA10,</w:t>
      </w:r>
      <w:r>
        <w:rPr>
          <w:spacing w:val="-2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[31]</w:t>
      </w:r>
      <w:r>
        <w:rPr>
          <w:position w:val="1"/>
        </w:rPr>
        <w:t>).</w:t>
      </w:r>
    </w:p>
    <w:p>
      <w:pPr>
        <w:pStyle w:val="BodyText"/>
        <w:spacing w:before="2"/>
      </w:pPr>
    </w:p>
    <w:p>
      <w:pPr>
        <w:pStyle w:val="Heading7"/>
      </w:pPr>
      <w:bookmarkStart w:name="Skills and labour market outcomes" w:id="62"/>
      <w:bookmarkEnd w:id="62"/>
      <w:r>
        <w:rPr>
          <w:i w:val="0"/>
        </w:rPr>
      </w:r>
      <w:r>
        <w:rPr>
          <w:color w:val="616161"/>
        </w:rPr>
        <w:t>Skills</w:t>
      </w:r>
      <w:r>
        <w:rPr>
          <w:color w:val="616161"/>
          <w:spacing w:val="-3"/>
        </w:rPr>
        <w:t> </w:t>
      </w:r>
      <w:r>
        <w:rPr>
          <w:color w:val="616161"/>
        </w:rPr>
        <w:t>and</w:t>
      </w:r>
      <w:r>
        <w:rPr>
          <w:color w:val="616161"/>
          <w:spacing w:val="-3"/>
        </w:rPr>
        <w:t> </w:t>
      </w:r>
      <w:r>
        <w:rPr>
          <w:color w:val="616161"/>
        </w:rPr>
        <w:t>labour</w:t>
      </w:r>
      <w:r>
        <w:rPr>
          <w:color w:val="616161"/>
          <w:spacing w:val="-5"/>
        </w:rPr>
        <w:t> </w:t>
      </w:r>
      <w:r>
        <w:rPr>
          <w:color w:val="616161"/>
        </w:rPr>
        <w:t>market</w:t>
      </w:r>
      <w:r>
        <w:rPr>
          <w:color w:val="616161"/>
          <w:spacing w:val="-4"/>
        </w:rPr>
        <w:t> </w:t>
      </w:r>
      <w:r>
        <w:rPr>
          <w:color w:val="616161"/>
        </w:rPr>
        <w:t>outcomes</w:t>
      </w:r>
    </w:p>
    <w:p>
      <w:pPr>
        <w:pStyle w:val="BodyText"/>
        <w:spacing w:line="271" w:lineRule="auto" w:before="214"/>
        <w:ind w:left="183" w:right="302"/>
        <w:jc w:val="both"/>
      </w:pPr>
      <w:r>
        <w:rPr/>
        <w:t>The following section focuses on two measures</w:t>
      </w:r>
      <w:r>
        <w:rPr>
          <w:spacing w:val="1"/>
        </w:rPr>
        <w:t> </w:t>
      </w:r>
      <w:r>
        <w:rPr/>
        <w:t>often used to assess</w:t>
      </w:r>
      <w:r>
        <w:rPr>
          <w:spacing w:val="1"/>
        </w:rPr>
        <w:t> </w:t>
      </w:r>
      <w:r>
        <w:rPr/>
        <w:t>higher education outcomes:</w:t>
      </w:r>
      <w:r>
        <w:rPr>
          <w:spacing w:val="1"/>
        </w:rPr>
        <w:t> </w:t>
      </w:r>
      <w:r>
        <w:rPr/>
        <w:t>graduates’ information-processing skills, as measured by the OECD Survey of Adult Skills (PIAAC), and</w:t>
      </w:r>
      <w:r>
        <w:rPr>
          <w:spacing w:val="1"/>
        </w:rPr>
        <w:t> </w:t>
      </w:r>
      <w:r>
        <w:rPr/>
        <w:t>graduate labour market outcomes. However, a wide range of factors beyond higher education influence</w:t>
      </w:r>
      <w:r>
        <w:rPr>
          <w:spacing w:val="1"/>
        </w:rPr>
        <w:t> </w:t>
      </w:r>
      <w:r>
        <w:rPr/>
        <w:t>graduate</w:t>
      </w:r>
      <w:r>
        <w:rPr>
          <w:spacing w:val="-9"/>
        </w:rPr>
        <w:t> </w:t>
      </w:r>
      <w:r>
        <w:rPr/>
        <w:t>skills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labour</w:t>
      </w:r>
      <w:r>
        <w:rPr>
          <w:spacing w:val="-4"/>
        </w:rPr>
        <w:t> </w:t>
      </w:r>
      <w:r>
        <w:rPr/>
        <w:t>market</w:t>
      </w:r>
      <w:r>
        <w:rPr>
          <w:spacing w:val="-6"/>
        </w:rPr>
        <w:t> </w:t>
      </w:r>
      <w:r>
        <w:rPr/>
        <w:t>outcomes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instance,</w:t>
      </w:r>
      <w:r>
        <w:rPr>
          <w:spacing w:val="-8"/>
        </w:rPr>
        <w:t> </w:t>
      </w:r>
      <w:r>
        <w:rPr/>
        <w:t>broader</w:t>
      </w:r>
      <w:r>
        <w:rPr>
          <w:spacing w:val="-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employment</w:t>
      </w:r>
      <w:r>
        <w:rPr>
          <w:spacing w:val="-5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influence the opportunities available to higher education graduates. The data provided must thus be read</w:t>
      </w:r>
      <w:r>
        <w:rPr>
          <w:spacing w:val="-53"/>
        </w:rPr>
        <w:t> </w:t>
      </w:r>
      <w:r>
        <w:rPr/>
        <w:t>with this caveat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mind.</w:t>
      </w:r>
    </w:p>
    <w:p>
      <w:pPr>
        <w:pStyle w:val="BodyText"/>
        <w:spacing w:line="271" w:lineRule="auto" w:before="121"/>
        <w:ind w:left="183" w:right="303"/>
        <w:jc w:val="both"/>
      </w:pPr>
      <w:r>
        <w:rPr/>
        <w:t>Slovak</w:t>
      </w:r>
      <w:r>
        <w:rPr>
          <w:spacing w:val="-7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graduates</w:t>
      </w:r>
      <w:r>
        <w:rPr>
          <w:spacing w:val="-9"/>
        </w:rPr>
        <w:t> </w:t>
      </w:r>
      <w:r>
        <w:rPr/>
        <w:t>scored</w:t>
      </w:r>
      <w:r>
        <w:rPr>
          <w:spacing w:val="-7"/>
        </w:rPr>
        <w:t> </w:t>
      </w:r>
      <w:r>
        <w:rPr/>
        <w:t>relatively</w:t>
      </w:r>
      <w:r>
        <w:rPr>
          <w:spacing w:val="-11"/>
        </w:rPr>
        <w:t> </w:t>
      </w:r>
      <w:r>
        <w:rPr/>
        <w:t>well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key</w:t>
      </w:r>
      <w:r>
        <w:rPr>
          <w:spacing w:val="-10"/>
        </w:rPr>
        <w:t> </w:t>
      </w:r>
      <w:r>
        <w:rPr/>
        <w:t>information-processing</w:t>
      </w:r>
      <w:r>
        <w:rPr>
          <w:spacing w:val="-10"/>
        </w:rPr>
        <w:t> </w:t>
      </w:r>
      <w:r>
        <w:rPr/>
        <w:t>skills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Survey</w:t>
      </w:r>
      <w:r>
        <w:rPr>
          <w:spacing w:val="1"/>
        </w:rPr>
        <w:t> </w:t>
      </w:r>
      <w:r>
        <w:rPr/>
        <w:t>of Adult Skills (PIAAC) (the first cycle was collected in 2011-12). Comparing mean scores, Slovak</w:t>
      </w:r>
      <w:r>
        <w:rPr>
          <w:spacing w:val="1"/>
        </w:rPr>
        <w:t> </w:t>
      </w:r>
      <w:r>
        <w:rPr/>
        <w:t>graduates scored above the OECD average in numeracy (274 compared to 266) and literacy (276</w:t>
      </w:r>
      <w:r>
        <w:rPr>
          <w:spacing w:val="1"/>
        </w:rPr>
        <w:t> </w:t>
      </w:r>
      <w:r>
        <w:rPr/>
        <w:t>compared to 262). However, the value added by higher education to the literacy of secondary education</w:t>
      </w:r>
      <w:r>
        <w:rPr>
          <w:spacing w:val="1"/>
        </w:rPr>
        <w:t> </w:t>
      </w:r>
      <w:r>
        <w:rPr/>
        <w:t>graduates is relatively smaller than on average among OECD countries, with the literacy scores of</w:t>
      </w:r>
      <w:r>
        <w:rPr>
          <w:spacing w:val="1"/>
        </w:rPr>
        <w:t> </w:t>
      </w:r>
      <w:r>
        <w:rPr>
          <w:position w:val="1"/>
        </w:rPr>
        <w:t>secondary</w:t>
      </w:r>
      <w:r>
        <w:rPr>
          <w:spacing w:val="-6"/>
          <w:position w:val="1"/>
        </w:rPr>
        <w:t> </w:t>
      </w:r>
      <w:r>
        <w:rPr>
          <w:position w:val="1"/>
        </w:rPr>
        <w:t>school</w:t>
      </w:r>
      <w:r>
        <w:rPr>
          <w:spacing w:val="-4"/>
          <w:position w:val="1"/>
        </w:rPr>
        <w:t> </w:t>
      </w:r>
      <w:r>
        <w:rPr>
          <w:position w:val="1"/>
        </w:rPr>
        <w:t>graduates</w:t>
      </w:r>
      <w:r>
        <w:rPr>
          <w:spacing w:val="-2"/>
          <w:position w:val="1"/>
        </w:rPr>
        <w:t> </w:t>
      </w:r>
      <w:r>
        <w:rPr>
          <w:position w:val="1"/>
        </w:rPr>
        <w:t>approaching</w:t>
      </w:r>
      <w:r>
        <w:rPr>
          <w:spacing w:val="-4"/>
          <w:position w:val="1"/>
        </w:rPr>
        <w:t> </w:t>
      </w:r>
      <w:r>
        <w:rPr>
          <w:position w:val="1"/>
        </w:rPr>
        <w:t>those</w:t>
      </w:r>
      <w:r>
        <w:rPr>
          <w:spacing w:val="1"/>
          <w:position w:val="1"/>
        </w:rPr>
        <w:t> </w:t>
      </w:r>
      <w:r>
        <w:rPr>
          <w:position w:val="1"/>
        </w:rPr>
        <w:t>of</w:t>
      </w:r>
      <w:r>
        <w:rPr>
          <w:spacing w:val="-1"/>
          <w:position w:val="1"/>
        </w:rPr>
        <w:t> </w:t>
      </w:r>
      <w:r>
        <w:rPr>
          <w:position w:val="1"/>
        </w:rPr>
        <w:t>higher</w:t>
      </w:r>
      <w:r>
        <w:rPr>
          <w:spacing w:val="-2"/>
          <w:position w:val="1"/>
        </w:rPr>
        <w:t> </w:t>
      </w:r>
      <w:r>
        <w:rPr>
          <w:position w:val="1"/>
        </w:rPr>
        <w:t>education</w:t>
      </w:r>
      <w:r>
        <w:rPr>
          <w:spacing w:val="1"/>
          <w:position w:val="1"/>
        </w:rPr>
        <w:t> </w:t>
      </w:r>
      <w:r>
        <w:rPr>
          <w:position w:val="1"/>
        </w:rPr>
        <w:t>graduates</w:t>
      </w:r>
      <w:r>
        <w:rPr>
          <w:spacing w:val="-1"/>
          <w:position w:val="1"/>
        </w:rPr>
        <w:t> </w:t>
      </w:r>
      <w:r>
        <w:rPr>
          <w:position w:val="1"/>
        </w:rPr>
        <w:t>(OECD,</w:t>
      </w:r>
      <w:r>
        <w:rPr>
          <w:spacing w:val="-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[32]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Slovak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technologically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>
          <w:spacing w:val="-1"/>
        </w:rPr>
        <w:t>environment,</w:t>
      </w:r>
      <w:r>
        <w:rPr>
          <w:spacing w:val="-11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particularly</w:t>
      </w:r>
      <w:r>
        <w:rPr>
          <w:spacing w:val="-14"/>
        </w:rPr>
        <w:t> </w:t>
      </w:r>
      <w:r>
        <w:rPr>
          <w:spacing w:val="-1"/>
        </w:rPr>
        <w:t>important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succeed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an</w:t>
      </w:r>
      <w:r>
        <w:rPr>
          <w:spacing w:val="-10"/>
        </w:rPr>
        <w:t> </w:t>
      </w:r>
      <w:r>
        <w:rPr>
          <w:spacing w:val="-1"/>
        </w:rPr>
        <w:t>interconnected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world.</w:t>
      </w:r>
      <w:r>
        <w:rPr>
          <w:spacing w:val="-12"/>
        </w:rPr>
        <w:t> </w:t>
      </w:r>
      <w:r>
        <w:rPr/>
        <w:t>Some</w:t>
      </w:r>
      <w:r>
        <w:rPr>
          <w:spacing w:val="-12"/>
        </w:rPr>
        <w:t> </w:t>
      </w:r>
      <w:r>
        <w:rPr/>
        <w:t>25.6%</w:t>
      </w:r>
      <w:r>
        <w:rPr>
          <w:spacing w:val="1"/>
        </w:rPr>
        <w:t> </w:t>
      </w:r>
      <w:r>
        <w:rPr/>
        <w:t>of adults in the Slovak Republic had high levels of skills in the area (scoring at Level 2 or 3), below the</w:t>
      </w:r>
      <w:r>
        <w:rPr>
          <w:spacing w:val="1"/>
        </w:rPr>
        <w:t> </w:t>
      </w:r>
      <w:r>
        <w:rPr>
          <w:position w:val="1"/>
        </w:rPr>
        <w:t>OECD average of 29.7% (OECD, 2019, pp. 58, Figure 2.15</w:t>
      </w:r>
      <w:r>
        <w:rPr>
          <w:sz w:val="13"/>
        </w:rPr>
        <w:t>[32]</w:t>
      </w:r>
      <w:r>
        <w:rPr>
          <w:position w:val="1"/>
        </w:rPr>
        <w:t>). This suggests that the skills of graduates</w:t>
      </w:r>
      <w:r>
        <w:rPr>
          <w:spacing w:val="-53"/>
          <w:position w:val="1"/>
        </w:rPr>
        <w:t> </w:t>
      </w:r>
      <w:r>
        <w:rPr/>
        <w:t>may not be well matched to the needs of businesses making growing use of robotics and information</w:t>
      </w:r>
      <w:r>
        <w:rPr>
          <w:spacing w:val="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(IT) solutions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labour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In addition, Slovak workers’ soft skills, such as management, communication and self-organisation seem</w:t>
      </w:r>
      <w:r>
        <w:rPr>
          <w:spacing w:val="1"/>
        </w:rPr>
        <w:t> </w:t>
      </w:r>
      <w:r>
        <w:rPr>
          <w:position w:val="1"/>
        </w:rPr>
        <w:t>under-developed compared to OECD countries (OECD, 2019</w:t>
      </w:r>
      <w:r>
        <w:rPr>
          <w:sz w:val="13"/>
        </w:rPr>
        <w:t>[1]</w:t>
      </w:r>
      <w:r>
        <w:rPr>
          <w:position w:val="1"/>
        </w:rPr>
        <w:t>). Data collected by Profesia, the largest</w:t>
      </w:r>
      <w:r>
        <w:rPr>
          <w:spacing w:val="1"/>
          <w:position w:val="1"/>
        </w:rPr>
        <w:t> </w:t>
      </w:r>
      <w:r>
        <w:rPr/>
        <w:t>Slovak work portal, suggests that soft skills appear more often in job descriptions than technical skills:</w:t>
      </w:r>
      <w:r>
        <w:rPr>
          <w:spacing w:val="1"/>
        </w:rPr>
        <w:t> </w:t>
      </w:r>
      <w:r>
        <w:rPr/>
        <w:t>while</w:t>
      </w:r>
      <w:r>
        <w:rPr>
          <w:spacing w:val="-7"/>
        </w:rPr>
        <w:t> </w:t>
      </w:r>
      <w:r>
        <w:rPr/>
        <w:t>four</w:t>
      </w:r>
      <w:r>
        <w:rPr>
          <w:spacing w:val="-5"/>
        </w:rPr>
        <w:t> </w:t>
      </w:r>
      <w:r>
        <w:rPr/>
        <w:t>soft</w:t>
      </w:r>
      <w:r>
        <w:rPr>
          <w:spacing w:val="-5"/>
        </w:rPr>
        <w:t> </w:t>
      </w:r>
      <w:r>
        <w:rPr/>
        <w:t>skills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listed</w:t>
      </w:r>
      <w:r>
        <w:rPr>
          <w:spacing w:val="-7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7"/>
        </w:rPr>
        <w:t> </w:t>
      </w:r>
      <w:r>
        <w:rPr/>
        <w:t>ten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sought-after</w:t>
      </w:r>
      <w:r>
        <w:rPr>
          <w:spacing w:val="-6"/>
        </w:rPr>
        <w:t> </w:t>
      </w:r>
      <w:r>
        <w:rPr/>
        <w:t>skills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2010,</w:t>
      </w:r>
      <w:r>
        <w:rPr>
          <w:spacing w:val="-4"/>
        </w:rPr>
        <w:t> </w:t>
      </w:r>
      <w:r>
        <w:rPr/>
        <w:t>six</w:t>
      </w:r>
      <w:r>
        <w:rPr>
          <w:spacing w:val="-4"/>
        </w:rPr>
        <w:t> </w:t>
      </w:r>
      <w:r>
        <w:rPr/>
        <w:t>soft</w:t>
      </w:r>
      <w:r>
        <w:rPr>
          <w:spacing w:val="-6"/>
        </w:rPr>
        <w:t> </w:t>
      </w:r>
      <w:r>
        <w:rPr/>
        <w:t>skills</w:t>
      </w:r>
      <w:r>
        <w:rPr>
          <w:spacing w:val="-4"/>
        </w:rPr>
        <w:t> </w:t>
      </w:r>
      <w:r>
        <w:rPr/>
        <w:t>appeared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6"/>
        </w:rPr>
        <w:t> </w:t>
      </w:r>
      <w:r>
        <w:rPr/>
        <w:t>ten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2020,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larger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technical</w:t>
      </w:r>
      <w:r>
        <w:rPr>
          <w:spacing w:val="-6"/>
        </w:rPr>
        <w:t> </w:t>
      </w:r>
      <w:r>
        <w:rPr/>
        <w:t>skills.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addition,</w:t>
      </w:r>
      <w:r>
        <w:rPr>
          <w:spacing w:val="-5"/>
        </w:rPr>
        <w:t> </w:t>
      </w:r>
      <w:r>
        <w:rPr/>
        <w:t>new</w:t>
      </w:r>
      <w:r>
        <w:rPr>
          <w:spacing w:val="-8"/>
        </w:rPr>
        <w:t> </w:t>
      </w:r>
      <w:r>
        <w:rPr/>
        <w:t>skills</w:t>
      </w:r>
      <w:r>
        <w:rPr>
          <w:spacing w:val="-4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“teamwork”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“responsibility”</w:t>
      </w:r>
      <w:r>
        <w:rPr>
          <w:spacing w:val="51"/>
        </w:rPr>
        <w:t> </w:t>
      </w:r>
      <w:r>
        <w:rPr/>
        <w:t>have</w:t>
      </w:r>
      <w:r>
        <w:rPr>
          <w:spacing w:val="50"/>
        </w:rPr>
        <w:t> </w:t>
      </w:r>
      <w:r>
        <w:rPr/>
        <w:t>entered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top</w:t>
      </w:r>
      <w:r>
        <w:rPr>
          <w:spacing w:val="50"/>
        </w:rPr>
        <w:t> </w:t>
      </w:r>
      <w:r>
        <w:rPr/>
        <w:t>ten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“independence”</w:t>
      </w:r>
      <w:r>
        <w:rPr>
          <w:spacing w:val="53"/>
        </w:rPr>
        <w:t> </w:t>
      </w:r>
      <w:r>
        <w:rPr/>
        <w:t>has</w:t>
      </w:r>
      <w:r>
        <w:rPr>
          <w:spacing w:val="49"/>
        </w:rPr>
        <w:t> </w:t>
      </w:r>
      <w:r>
        <w:rPr/>
        <w:t>become</w:t>
      </w:r>
      <w:r>
        <w:rPr>
          <w:spacing w:val="48"/>
        </w:rPr>
        <w:t> </w:t>
      </w:r>
      <w:r>
        <w:rPr/>
        <w:t>more</w:t>
      </w:r>
      <w:r>
        <w:rPr>
          <w:spacing w:val="49"/>
        </w:rPr>
        <w:t> </w:t>
      </w:r>
      <w:r>
        <w:rPr/>
        <w:t>important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2020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2"/>
        <w:ind w:left="183" w:right="298"/>
        <w:jc w:val="both"/>
      </w:pPr>
      <w:r>
        <w:rPr>
          <w:position w:val="1"/>
        </w:rPr>
        <w:t>compared to 2010 (Molnárová, 2021</w:t>
      </w:r>
      <w:r>
        <w:rPr>
          <w:sz w:val="13"/>
        </w:rPr>
        <w:t>[33]</w:t>
      </w:r>
      <w:r>
        <w:rPr>
          <w:position w:val="1"/>
        </w:rPr>
        <w:t>). Given that the Slovak Republic is the OECD country with the</w:t>
      </w:r>
      <w:r>
        <w:rPr>
          <w:spacing w:val="1"/>
          <w:position w:val="1"/>
        </w:rPr>
        <w:t> </w:t>
      </w:r>
      <w:r>
        <w:rPr/>
        <w:t>highest percentage of jobs at high risk of automation (see </w:t>
      </w:r>
      <w:hyperlink w:history="true" w:anchor="_bookmark23">
        <w:r>
          <w:rPr/>
          <w:t>Figure 2.7</w:t>
        </w:r>
      </w:hyperlink>
      <w:r>
        <w:rPr/>
        <w:t>), soft and transversal skills are likely</w:t>
      </w:r>
      <w:r>
        <w:rPr>
          <w:spacing w:val="-5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/>
        <w:t>increasingly</w:t>
      </w:r>
      <w:r>
        <w:rPr>
          <w:spacing w:val="-4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market</w:t>
      </w:r>
      <w:r>
        <w:rPr>
          <w:spacing w:val="-3"/>
        </w:rPr>
        <w:t> </w:t>
      </w:r>
      <w:r>
        <w:rPr/>
        <w:t>success.</w:t>
      </w:r>
    </w:p>
    <w:p>
      <w:pPr>
        <w:pStyle w:val="BodyText"/>
        <w:spacing w:before="9"/>
        <w:rPr>
          <w:sz w:val="28"/>
        </w:rPr>
      </w:pPr>
    </w:p>
    <w:p>
      <w:pPr>
        <w:spacing w:line="244" w:lineRule="auto" w:before="0"/>
        <w:ind w:left="183" w:right="1128" w:firstLine="0"/>
        <w:jc w:val="left"/>
        <w:rPr>
          <w:rFonts w:ascii="Arial"/>
          <w:b/>
          <w:sz w:val="24"/>
        </w:rPr>
      </w:pPr>
      <w:bookmarkStart w:name="_bookmark23" w:id="63"/>
      <w:bookmarkEnd w:id="63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2.7.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Cross-country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variation</w:t>
      </w:r>
      <w:r>
        <w:rPr>
          <w:rFonts w:ascii="Arial"/>
          <w:b/>
          <w:color w:val="4E81BD"/>
          <w:spacing w:val="1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job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automatability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percentage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jobs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at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risk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-5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significant</w:t>
      </w:r>
      <w:r>
        <w:rPr>
          <w:rFonts w:ascii="Arial"/>
          <w:b/>
          <w:color w:val="4E81BD"/>
          <w:spacing w:val="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change</w:t>
      </w:r>
      <w:r>
        <w:rPr>
          <w:rFonts w:ascii="Arial"/>
          <w:b/>
          <w:color w:val="4E81BD"/>
          <w:spacing w:val="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selected</w:t>
      </w:r>
      <w:r>
        <w:rPr>
          <w:rFonts w:ascii="Arial"/>
          <w:b/>
          <w:color w:val="4E81BD"/>
          <w:spacing w:val="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countries</w:t>
      </w:r>
      <w:r>
        <w:rPr>
          <w:rFonts w:ascii="Arial"/>
          <w:b/>
          <w:color w:val="4E81BD"/>
          <w:spacing w:val="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(2012, 2015)</w:t>
      </w:r>
    </w:p>
    <w:p>
      <w:pPr>
        <w:pStyle w:val="BodyText"/>
        <w:spacing w:before="9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942483</wp:posOffset>
            </wp:positionH>
            <wp:positionV relativeFrom="paragraph">
              <wp:posOffset>227714</wp:posOffset>
            </wp:positionV>
            <wp:extent cx="5714364" cy="2488882"/>
            <wp:effectExtent l="0" t="0" r="0" b="0"/>
            <wp:wrapTopAndBottom/>
            <wp:docPr id="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4" cy="2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249"/>
        <w:ind w:left="183" w:right="1336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Note: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“High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risk”</w:t>
      </w:r>
      <w:r>
        <w:rPr>
          <w:rFonts w:ascii="Microsoft Sans Serif" w:hAnsi="Microsoft Sans Serif"/>
          <w:spacing w:val="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means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more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than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70%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probability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of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automation.</w:t>
      </w:r>
      <w:r>
        <w:rPr>
          <w:rFonts w:ascii="Microsoft Sans Serif" w:hAnsi="Microsoft Sans Serif"/>
          <w:spacing w:val="1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“Risk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of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significant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change”</w:t>
      </w:r>
      <w:r>
        <w:rPr>
          <w:rFonts w:ascii="Microsoft Sans Serif" w:hAnsi="Microsoft Sans Serif"/>
          <w:spacing w:val="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means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50-70%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probability.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Source:</w:t>
      </w:r>
      <w:r>
        <w:rPr>
          <w:rFonts w:ascii="Microsoft Sans Serif" w:hAns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Nedelkoska</w:t>
      </w:r>
      <w:r>
        <w:rPr>
          <w:rFonts w:ascii="Microsoft Sans Serif" w:hAns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and</w:t>
      </w:r>
      <w:r>
        <w:rPr>
          <w:rFonts w:ascii="Microsoft Sans Serif" w:hAns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Quintini</w:t>
      </w:r>
      <w:r>
        <w:rPr>
          <w:rFonts w:ascii="Microsoft Sans Serif" w:hAnsi="Microsoft Sans Serif"/>
          <w:spacing w:val="16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(2018</w:t>
      </w:r>
      <w:r>
        <w:rPr>
          <w:rFonts w:ascii="Microsoft Sans Serif" w:hAnsi="Microsoft Sans Serif"/>
          <w:w w:val="80"/>
          <w:sz w:val="12"/>
        </w:rPr>
        <w:t>[4]</w:t>
      </w:r>
      <w:r>
        <w:rPr>
          <w:rFonts w:ascii="Microsoft Sans Serif" w:hAnsi="Microsoft Sans Serif"/>
          <w:w w:val="80"/>
          <w:position w:val="1"/>
          <w:sz w:val="18"/>
        </w:rPr>
        <w:t>),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Automation,</w:t>
      </w:r>
      <w:r>
        <w:rPr>
          <w:rFonts w:ascii="Arial" w:hAnsi="Arial"/>
          <w:i/>
          <w:spacing w:val="1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skills</w:t>
      </w:r>
      <w:r>
        <w:rPr>
          <w:rFonts w:ascii="Arial" w:hAnsi="Arial"/>
          <w:i/>
          <w:spacing w:val="14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use</w:t>
      </w:r>
      <w:r>
        <w:rPr>
          <w:rFonts w:ascii="Arial" w:hAnsi="Arial"/>
          <w:i/>
          <w:spacing w:val="1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and</w:t>
      </w:r>
      <w:r>
        <w:rPr>
          <w:rFonts w:ascii="Arial" w:hAnsi="Arial"/>
          <w:i/>
          <w:spacing w:val="1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training</w:t>
      </w:r>
      <w:r>
        <w:rPr>
          <w:rFonts w:ascii="Microsoft Sans Serif" w:hAnsi="Microsoft Sans Serif"/>
          <w:w w:val="80"/>
          <w:position w:val="1"/>
          <w:sz w:val="18"/>
        </w:rPr>
        <w:t>,</w:t>
      </w:r>
      <w:r>
        <w:rPr>
          <w:rFonts w:ascii="Microsoft Sans Serif" w:hAnsi="Microsoft Sans Serif"/>
          <w:spacing w:val="14"/>
          <w:w w:val="80"/>
          <w:position w:val="1"/>
          <w:sz w:val="18"/>
        </w:rPr>
        <w:t> </w:t>
      </w:r>
      <w:hyperlink r:id="rId82">
        <w:r>
          <w:rPr>
            <w:rFonts w:ascii="Microsoft Sans Serif" w:hAnsi="Microsoft Sans Serif"/>
            <w:color w:val="0000FF"/>
            <w:w w:val="80"/>
            <w:position w:val="1"/>
            <w:sz w:val="18"/>
            <w:u w:val="single" w:color="0000FF"/>
          </w:rPr>
          <w:t>https://doi.org/10.1787/2e2f4eea-en</w:t>
        </w:r>
        <w:r>
          <w:rPr>
            <w:rFonts w:ascii="Microsoft Sans Serif" w:hAnsi="Microsoft Sans Serif"/>
            <w:w w:val="80"/>
            <w:position w:val="1"/>
            <w:sz w:val="18"/>
          </w:rPr>
          <w:t>,</w:t>
        </w:r>
        <w:r>
          <w:rPr>
            <w:rFonts w:ascii="Microsoft Sans Serif" w:hAnsi="Microsoft Sans Serif"/>
            <w:spacing w:val="15"/>
            <w:w w:val="80"/>
            <w:position w:val="1"/>
            <w:sz w:val="18"/>
          </w:rPr>
          <w:t> </w:t>
        </w:r>
      </w:hyperlink>
      <w:r>
        <w:rPr>
          <w:rFonts w:ascii="Microsoft Sans Serif" w:hAnsi="Microsoft Sans Serif"/>
          <w:w w:val="80"/>
          <w:position w:val="1"/>
          <w:sz w:val="18"/>
        </w:rPr>
        <w:t>Figure</w:t>
      </w:r>
      <w:r>
        <w:rPr>
          <w:rFonts w:ascii="Microsoft Sans Serif" w:hAns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4.2.</w:t>
      </w:r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83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https://doi.org/10.1787/888934279054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71" w:lineRule="auto" w:before="93"/>
        <w:ind w:left="183" w:right="304"/>
        <w:jc w:val="both"/>
      </w:pPr>
      <w:r>
        <w:rPr/>
        <w:t>In some OECD countries, individuals continue to develop labour-market-relevant skills, including through</w:t>
      </w:r>
      <w:r>
        <w:rPr>
          <w:spacing w:val="1"/>
        </w:rPr>
        <w:t> </w:t>
      </w:r>
      <w:r>
        <w:rPr/>
        <w:t>adult education. However, as illustrated in </w:t>
      </w:r>
      <w:hyperlink w:history="true" w:anchor="_bookmark24">
        <w:r>
          <w:rPr/>
          <w:t>Figure 2.8,</w:t>
        </w:r>
      </w:hyperlink>
      <w:r>
        <w:rPr/>
        <w:t> Slovak adults are among the least willing to</w:t>
      </w:r>
      <w:r>
        <w:rPr>
          <w:spacing w:val="1"/>
        </w:rPr>
        <w:t> </w:t>
      </w:r>
      <w:r>
        <w:rPr/>
        <w:t>participate in adult education compared to the OECD average, with a normalised score of 0.49 compared</w:t>
      </w:r>
      <w:r>
        <w:rPr>
          <w:spacing w:val="-53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normalised</w:t>
      </w:r>
      <w:r>
        <w:rPr>
          <w:spacing w:val="-9"/>
        </w:rPr>
        <w:t> </w:t>
      </w:r>
      <w:r>
        <w:rPr/>
        <w:t>score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5.14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average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OECD.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puts</w:t>
      </w:r>
      <w:r>
        <w:rPr>
          <w:spacing w:val="-8"/>
        </w:rPr>
        <w:t> </w:t>
      </w:r>
      <w:r>
        <w:rPr/>
        <w:t>pressure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system</w:t>
      </w:r>
      <w:r>
        <w:rPr>
          <w:spacing w:val="-53"/>
        </w:rPr>
        <w:t> </w:t>
      </w:r>
      <w:r>
        <w:rPr/>
        <w:t>to equip young graduates with transversal skills so they can adapt to changes in job requirements and to</w:t>
      </w:r>
      <w:r>
        <w:rPr>
          <w:spacing w:val="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attractive</w:t>
      </w:r>
      <w:r>
        <w:rPr>
          <w:spacing w:val="-3"/>
        </w:rPr>
        <w:t> </w:t>
      </w:r>
      <w:r>
        <w:rPr/>
        <w:t>to workers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upgrade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skills</w:t>
      </w:r>
      <w:r>
        <w:rPr>
          <w:spacing w:val="-1"/>
        </w:rPr>
        <w:t> </w:t>
      </w:r>
      <w:r>
        <w:rPr/>
        <w:t>later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life.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line="244" w:lineRule="auto" w:before="162"/>
        <w:ind w:left="183" w:right="368" w:firstLine="0"/>
        <w:jc w:val="both"/>
        <w:rPr>
          <w:rFonts w:ascii="Arial"/>
          <w:b/>
          <w:sz w:val="24"/>
        </w:rPr>
      </w:pPr>
      <w:bookmarkStart w:name="_bookmark24" w:id="64"/>
      <w:bookmarkEnd w:id="64"/>
      <w:r>
        <w:rPr/>
      </w:r>
      <w:r>
        <w:rPr>
          <w:rFonts w:ascii="Arial"/>
          <w:b/>
          <w:color w:val="4E81BD"/>
          <w:w w:val="80"/>
          <w:sz w:val="24"/>
        </w:rPr>
        <w:t>Figure 2.8. Key indicators for developing relevant skills, Slovak Republic and OECD average (2012,</w:t>
      </w:r>
      <w:r>
        <w:rPr>
          <w:rFonts w:ascii="Arial"/>
          <w:b/>
          <w:color w:val="4E81BD"/>
          <w:spacing w:val="1"/>
          <w:w w:val="80"/>
          <w:sz w:val="24"/>
        </w:rPr>
        <w:t> </w:t>
      </w:r>
      <w:r>
        <w:rPr>
          <w:rFonts w:ascii="Arial"/>
          <w:b/>
          <w:color w:val="4E81BD"/>
          <w:w w:val="90"/>
          <w:sz w:val="24"/>
        </w:rPr>
        <w:t>2015,</w:t>
      </w:r>
      <w:r>
        <w:rPr>
          <w:rFonts w:ascii="Arial"/>
          <w:b/>
          <w:color w:val="4E81BD"/>
          <w:spacing w:val="-7"/>
          <w:w w:val="90"/>
          <w:sz w:val="24"/>
        </w:rPr>
        <w:t> </w:t>
      </w:r>
      <w:r>
        <w:rPr>
          <w:rFonts w:ascii="Arial"/>
          <w:b/>
          <w:color w:val="4E81BD"/>
          <w:w w:val="90"/>
          <w:sz w:val="24"/>
        </w:rPr>
        <w:t>2018)</w:t>
      </w:r>
    </w:p>
    <w:p>
      <w:pPr>
        <w:pStyle w:val="Heading6"/>
        <w:jc w:val="both"/>
      </w:pPr>
      <w:r>
        <w:rPr>
          <w:w w:val="80"/>
        </w:rPr>
        <w:t>Relative</w:t>
      </w:r>
      <w:r>
        <w:rPr>
          <w:spacing w:val="9"/>
          <w:w w:val="80"/>
        </w:rPr>
        <w:t> </w:t>
      </w:r>
      <w:r>
        <w:rPr>
          <w:w w:val="80"/>
        </w:rPr>
        <w:t>position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country</w:t>
      </w:r>
      <w:r>
        <w:rPr>
          <w:spacing w:val="13"/>
          <w:w w:val="80"/>
        </w:rPr>
        <w:t> </w:t>
      </w:r>
      <w:r>
        <w:rPr>
          <w:w w:val="80"/>
        </w:rPr>
        <w:t>ranking</w:t>
      </w:r>
      <w:r>
        <w:rPr>
          <w:spacing w:val="11"/>
          <w:w w:val="80"/>
        </w:rPr>
        <w:t> </w:t>
      </w:r>
      <w:r>
        <w:rPr>
          <w:w w:val="80"/>
        </w:rPr>
        <w:t>(based</w:t>
      </w:r>
      <w:r>
        <w:rPr>
          <w:spacing w:val="12"/>
          <w:w w:val="80"/>
        </w:rPr>
        <w:t> </w:t>
      </w:r>
      <w:r>
        <w:rPr>
          <w:w w:val="80"/>
        </w:rPr>
        <w:t>on</w:t>
      </w:r>
      <w:r>
        <w:rPr>
          <w:spacing w:val="12"/>
          <w:w w:val="80"/>
        </w:rPr>
        <w:t> </w:t>
      </w:r>
      <w:r>
        <w:rPr>
          <w:w w:val="80"/>
        </w:rPr>
        <w:t>normalised</w:t>
      </w:r>
      <w:r>
        <w:rPr>
          <w:spacing w:val="9"/>
          <w:w w:val="80"/>
        </w:rPr>
        <w:t> </w:t>
      </w:r>
      <w:r>
        <w:rPr>
          <w:w w:val="80"/>
        </w:rPr>
        <w:t>scores),</w:t>
      </w:r>
      <w:r>
        <w:rPr>
          <w:spacing w:val="11"/>
          <w:w w:val="80"/>
        </w:rPr>
        <w:t> </w:t>
      </w:r>
      <w:r>
        <w:rPr>
          <w:w w:val="80"/>
        </w:rPr>
        <w:t>where</w:t>
      </w:r>
      <w:r>
        <w:rPr>
          <w:spacing w:val="10"/>
          <w:w w:val="80"/>
        </w:rPr>
        <w:t> </w:t>
      </w:r>
      <w:r>
        <w:rPr>
          <w:w w:val="80"/>
        </w:rPr>
        <w:t>higher</w:t>
      </w:r>
      <w:r>
        <w:rPr>
          <w:spacing w:val="9"/>
          <w:w w:val="80"/>
        </w:rPr>
        <w:t> </w:t>
      </w:r>
      <w:r>
        <w:rPr>
          <w:w w:val="80"/>
        </w:rPr>
        <w:t>values</w:t>
      </w:r>
      <w:r>
        <w:rPr>
          <w:spacing w:val="13"/>
          <w:w w:val="80"/>
        </w:rPr>
        <w:t> </w:t>
      </w:r>
      <w:r>
        <w:rPr>
          <w:w w:val="80"/>
        </w:rPr>
        <w:t>reflect</w:t>
      </w:r>
      <w:r>
        <w:rPr>
          <w:spacing w:val="11"/>
          <w:w w:val="80"/>
        </w:rPr>
        <w:t> </w:t>
      </w:r>
      <w:r>
        <w:rPr>
          <w:w w:val="80"/>
        </w:rPr>
        <w:t>better</w:t>
      </w:r>
      <w:r>
        <w:rPr>
          <w:spacing w:val="12"/>
          <w:w w:val="80"/>
        </w:rPr>
        <w:t> </w:t>
      </w:r>
      <w:r>
        <w:rPr>
          <w:w w:val="80"/>
        </w:rPr>
        <w:t>performance</w:t>
      </w:r>
    </w:p>
    <w:p>
      <w:pPr>
        <w:pStyle w:val="BodyText"/>
        <w:spacing w:before="5"/>
        <w:rPr>
          <w:rFonts w:ascii="Microsoft Sans Serif"/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883046</wp:posOffset>
            </wp:positionH>
            <wp:positionV relativeFrom="paragraph">
              <wp:posOffset>121814</wp:posOffset>
            </wp:positionV>
            <wp:extent cx="5746201" cy="4818602"/>
            <wp:effectExtent l="0" t="0" r="0" b="0"/>
            <wp:wrapTopAndBottom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01" cy="481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Microsoft Sans Serif"/>
        </w:rPr>
      </w:pPr>
    </w:p>
    <w:p>
      <w:pPr>
        <w:spacing w:line="259" w:lineRule="auto" w:before="1"/>
        <w:ind w:left="183" w:right="305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w w:val="85"/>
          <w:sz w:val="18"/>
        </w:rPr>
        <w:t>Note: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How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to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read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this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chart: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The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normalised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scores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indicate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the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relative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performance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across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OECD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countries.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So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further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away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from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core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of</w:t>
      </w:r>
      <w:r>
        <w:rPr>
          <w:rFonts w:ascii="Microsoft Sans Serif" w:hAnsi="Microsoft Sans Serif"/>
          <w:spacing w:val="1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chart,</w:t>
      </w:r>
      <w:r>
        <w:rPr>
          <w:rFonts w:ascii="Microsoft Sans Serif" w:hAnsi="Microsoft Sans Serif"/>
          <w:spacing w:val="1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1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better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performance.</w:t>
      </w:r>
      <w:r>
        <w:rPr>
          <w:rFonts w:ascii="Microsoft Sans Serif" w:hAnsi="Microsoft Sans Serif"/>
          <w:spacing w:val="1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For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example,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1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indicator</w:t>
      </w:r>
      <w:r>
        <w:rPr>
          <w:rFonts w:ascii="Microsoft Sans Serif" w:hAnsi="Microsoft Sans Serif"/>
          <w:spacing w:val="1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“willing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participate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</w:t>
      </w:r>
      <w:r>
        <w:rPr>
          <w:rFonts w:ascii="Microsoft Sans Serif" w:hAnsi="Microsoft Sans Serif"/>
          <w:spacing w:val="1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adult</w:t>
      </w:r>
      <w:r>
        <w:rPr>
          <w:rFonts w:ascii="Microsoft Sans Serif" w:hAnsi="Microsoft Sans Serif"/>
          <w:spacing w:val="1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education”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has</w:t>
      </w:r>
      <w:r>
        <w:rPr>
          <w:rFonts w:ascii="Microsoft Sans Serif" w:hAnsi="Microsoft Sans Serif"/>
          <w:spacing w:val="1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low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score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compared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average,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indicating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a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share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of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employees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willing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to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participate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near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-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bottom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of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-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ranking.</w:t>
      </w:r>
    </w:p>
    <w:p>
      <w:pPr>
        <w:spacing w:line="256" w:lineRule="auto" w:before="0"/>
        <w:ind w:left="183" w:right="301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The OECD average (when using PIAAC data) is based on the sample of OECD countries/regions assessed in the Survey of Adult Skills (PIAAC).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Source: OECD (2020</w:t>
      </w:r>
      <w:r>
        <w:rPr>
          <w:rFonts w:ascii="Microsoft Sans Serif"/>
          <w:w w:val="80"/>
          <w:sz w:val="12"/>
        </w:rPr>
        <w:t>[24]</w:t>
      </w:r>
      <w:r>
        <w:rPr>
          <w:rFonts w:ascii="Microsoft Sans Serif"/>
          <w:w w:val="80"/>
          <w:position w:val="1"/>
          <w:sz w:val="18"/>
        </w:rPr>
        <w:t>), </w:t>
      </w:r>
      <w:r>
        <w:rPr>
          <w:rFonts w:ascii="Arial"/>
          <w:i/>
          <w:w w:val="80"/>
          <w:position w:val="1"/>
          <w:sz w:val="18"/>
        </w:rPr>
        <w:t>OECD Skills Strategy Slovak Republic: Assessment and Recommendations</w:t>
      </w:r>
      <w:r>
        <w:rPr>
          <w:rFonts w:ascii="Microsoft Sans Serif"/>
          <w:w w:val="80"/>
          <w:position w:val="1"/>
          <w:sz w:val="18"/>
        </w:rPr>
        <w:t>, </w:t>
      </w:r>
      <w:hyperlink r:id="rId85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https://doi.org/10.1787/bb688e68-en</w:t>
        </w:r>
        <w:r>
          <w:rPr>
            <w:rFonts w:ascii="Microsoft Sans Serif"/>
            <w:w w:val="80"/>
            <w:position w:val="1"/>
            <w:sz w:val="18"/>
          </w:rPr>
          <w:t>,</w:t>
        </w:r>
      </w:hyperlink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90"/>
          <w:sz w:val="18"/>
        </w:rPr>
        <w:t>Figure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1.4.</w:t>
      </w:r>
    </w:p>
    <w:p>
      <w:pPr>
        <w:pStyle w:val="BodyText"/>
        <w:rPr>
          <w:rFonts w:ascii="Microsoft Sans Serif"/>
        </w:rPr>
      </w:pPr>
    </w:p>
    <w:p>
      <w:pPr>
        <w:spacing w:before="124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86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https://doi.org/10.1787/888934279073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71" w:lineRule="auto" w:before="93"/>
        <w:ind w:left="183" w:right="302"/>
        <w:jc w:val="both"/>
      </w:pPr>
      <w:r>
        <w:rPr/>
        <w:t>In</w:t>
      </w:r>
      <w:r>
        <w:rPr>
          <w:spacing w:val="-9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employment</w:t>
      </w:r>
      <w:r>
        <w:rPr>
          <w:spacing w:val="-9"/>
        </w:rPr>
        <w:t> </w:t>
      </w:r>
      <w:r>
        <w:rPr/>
        <w:t>outcomes,</w:t>
      </w:r>
      <w:r>
        <w:rPr>
          <w:spacing w:val="-8"/>
        </w:rPr>
        <w:t> </w:t>
      </w:r>
      <w:r>
        <w:rPr/>
        <w:t>2020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OECD</w:t>
      </w:r>
      <w:r>
        <w:rPr>
          <w:spacing w:val="-5"/>
        </w:rPr>
        <w:t> </w:t>
      </w:r>
      <w:r>
        <w:rPr/>
        <w:t>team</w:t>
      </w:r>
      <w:r>
        <w:rPr>
          <w:spacing w:val="-4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MoE</w:t>
      </w:r>
      <w:r>
        <w:rPr>
          <w:spacing w:val="-9"/>
        </w:rPr>
        <w:t> </w:t>
      </w:r>
      <w:r>
        <w:rPr/>
        <w:t>suggests</w:t>
      </w:r>
      <w:r>
        <w:rPr>
          <w:spacing w:val="-8"/>
        </w:rPr>
        <w:t> </w:t>
      </w:r>
      <w:r>
        <w:rPr/>
        <w:t>high</w:t>
      </w:r>
      <w:r>
        <w:rPr>
          <w:spacing w:val="-8"/>
        </w:rPr>
        <w:t> </w:t>
      </w:r>
      <w:r>
        <w:rPr/>
        <w:t>rates</w:t>
      </w:r>
      <w:r>
        <w:rPr>
          <w:spacing w:val="-53"/>
        </w:rPr>
        <w:t> </w:t>
      </w:r>
      <w:r>
        <w:rPr/>
        <w:t>of employment across study fields 6-18 months after completing higher education, with an average</w:t>
      </w:r>
      <w:r>
        <w:rPr>
          <w:spacing w:val="1"/>
        </w:rPr>
        <w:t> </w:t>
      </w:r>
      <w:r>
        <w:rPr/>
        <w:t>employment</w:t>
      </w:r>
      <w:r>
        <w:rPr>
          <w:spacing w:val="37"/>
        </w:rPr>
        <w:t> </w:t>
      </w:r>
      <w:r>
        <w:rPr/>
        <w:t>rate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graduates</w:t>
      </w:r>
      <w:r>
        <w:rPr>
          <w:spacing w:val="37"/>
        </w:rPr>
        <w:t> </w:t>
      </w:r>
      <w:r>
        <w:rPr/>
        <w:t>from</w:t>
      </w:r>
      <w:r>
        <w:rPr>
          <w:spacing w:val="41"/>
        </w:rPr>
        <w:t> </w:t>
      </w:r>
      <w:r>
        <w:rPr/>
        <w:t>over</w:t>
      </w:r>
      <w:r>
        <w:rPr>
          <w:spacing w:val="38"/>
        </w:rPr>
        <w:t> </w:t>
      </w:r>
      <w:r>
        <w:rPr/>
        <w:t>more</w:t>
      </w:r>
      <w:r>
        <w:rPr>
          <w:spacing w:val="37"/>
        </w:rPr>
        <w:t> </w:t>
      </w:r>
      <w:r>
        <w:rPr/>
        <w:t>than</w:t>
      </w:r>
      <w:r>
        <w:rPr>
          <w:spacing w:val="37"/>
        </w:rPr>
        <w:t> </w:t>
      </w:r>
      <w:r>
        <w:rPr/>
        <w:t>2</w:t>
      </w:r>
      <w:r>
        <w:rPr>
          <w:spacing w:val="4"/>
        </w:rPr>
        <w:t> </w:t>
      </w:r>
      <w:r>
        <w:rPr/>
        <w:t>600</w:t>
      </w:r>
      <w:r>
        <w:rPr>
          <w:spacing w:val="-3"/>
        </w:rPr>
        <w:t> </w:t>
      </w:r>
      <w:r>
        <w:rPr/>
        <w:t>study</w:t>
      </w:r>
      <w:r>
        <w:rPr>
          <w:spacing w:val="34"/>
        </w:rPr>
        <w:t> </w:t>
      </w:r>
      <w:r>
        <w:rPr/>
        <w:t>programmes</w:t>
      </w:r>
      <w:r>
        <w:rPr>
          <w:spacing w:val="38"/>
        </w:rPr>
        <w:t> </w:t>
      </w:r>
      <w:r>
        <w:rPr/>
        <w:t>reaching</w:t>
      </w:r>
      <w:r>
        <w:rPr>
          <w:spacing w:val="37"/>
        </w:rPr>
        <w:t> </w:t>
      </w:r>
      <w:r>
        <w:rPr/>
        <w:t>95.2 %</w:t>
      </w:r>
      <w:r>
        <w:rPr>
          <w:spacing w:val="40"/>
        </w:rPr>
        <w:t> </w:t>
      </w:r>
      <w:r>
        <w:rPr/>
        <w:t>after</w:t>
      </w:r>
      <w:r>
        <w:rPr>
          <w:spacing w:val="-53"/>
        </w:rPr>
        <w:t> </w:t>
      </w:r>
      <w:r>
        <w:rPr/>
        <w:t>6</w:t>
      </w:r>
      <w:r>
        <w:rPr>
          <w:spacing w:val="-4"/>
        </w:rPr>
        <w:t> </w:t>
      </w:r>
      <w:r>
        <w:rPr/>
        <w:t>months,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very</w:t>
      </w:r>
      <w:r>
        <w:rPr>
          <w:spacing w:val="-11"/>
        </w:rPr>
        <w:t> </w:t>
      </w:r>
      <w:r>
        <w:rPr/>
        <w:t>high</w:t>
      </w:r>
      <w:r>
        <w:rPr>
          <w:spacing w:val="-8"/>
        </w:rPr>
        <w:t> </w:t>
      </w:r>
      <w:r>
        <w:rPr/>
        <w:t>rates</w:t>
      </w:r>
      <w:r>
        <w:rPr>
          <w:spacing w:val="-8"/>
        </w:rPr>
        <w:t> </w:t>
      </w:r>
      <w:r>
        <w:rPr/>
        <w:t>across</w:t>
      </w:r>
      <w:r>
        <w:rPr>
          <w:spacing w:val="-7"/>
        </w:rPr>
        <w:t> </w:t>
      </w:r>
      <w:r>
        <w:rPr/>
        <w:t>fields.</w:t>
      </w:r>
      <w:r>
        <w:rPr>
          <w:position w:val="6"/>
          <w:sz w:val="13"/>
        </w:rPr>
        <w:t>6</w:t>
      </w:r>
      <w:r>
        <w:rPr>
          <w:spacing w:val="11"/>
          <w:position w:val="6"/>
          <w:sz w:val="13"/>
        </w:rPr>
        <w:t> </w:t>
      </w:r>
      <w:r>
        <w:rPr/>
        <w:t>MoE</w:t>
      </w:r>
      <w:r>
        <w:rPr>
          <w:spacing w:val="-6"/>
        </w:rPr>
        <w:t> </w:t>
      </w:r>
      <w:r>
        <w:rPr/>
        <w:t>uses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data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funding</w:t>
      </w:r>
      <w:r>
        <w:rPr>
          <w:spacing w:val="-9"/>
        </w:rPr>
        <w:t> </w:t>
      </w:r>
      <w:r>
        <w:rPr/>
        <w:t>formula</w:t>
      </w:r>
      <w:r>
        <w:rPr>
          <w:spacing w:val="-8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(specifically,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coefficient).</w:t>
      </w:r>
    </w:p>
    <w:p>
      <w:pPr>
        <w:pStyle w:val="BodyText"/>
        <w:spacing w:line="271" w:lineRule="auto" w:before="121"/>
        <w:ind w:left="183" w:right="307"/>
        <w:jc w:val="both"/>
      </w:pPr>
      <w:r>
        <w:rPr>
          <w:spacing w:val="-1"/>
        </w:rPr>
        <w:t>However,</w:t>
      </w:r>
      <w:r>
        <w:rPr>
          <w:spacing w:val="-12"/>
        </w:rPr>
        <w:t> </w:t>
      </w:r>
      <w:r>
        <w:rPr>
          <w:spacing w:val="-1"/>
        </w:rPr>
        <w:t>OECD</w:t>
      </w:r>
      <w:r>
        <w:rPr>
          <w:spacing w:val="-12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based</w:t>
      </w:r>
      <w:r>
        <w:rPr>
          <w:spacing w:val="-13"/>
        </w:rPr>
        <w:t> </w:t>
      </w:r>
      <w:r>
        <w:rPr>
          <w:spacing w:val="-1"/>
        </w:rPr>
        <w:t>upon</w:t>
      </w:r>
      <w:r>
        <w:rPr>
          <w:spacing w:val="-12"/>
        </w:rPr>
        <w:t> </w:t>
      </w:r>
      <w:r>
        <w:rPr>
          <w:spacing w:val="-1"/>
        </w:rPr>
        <w:t>standard</w:t>
      </w:r>
      <w:r>
        <w:rPr>
          <w:spacing w:val="-12"/>
        </w:rPr>
        <w:t> </w:t>
      </w:r>
      <w:r>
        <w:rPr>
          <w:spacing w:val="-1"/>
        </w:rPr>
        <w:t>international</w:t>
      </w:r>
      <w:r>
        <w:rPr>
          <w:spacing w:val="-11"/>
        </w:rPr>
        <w:t> </w:t>
      </w:r>
      <w:r>
        <w:rPr>
          <w:spacing w:val="-1"/>
        </w:rPr>
        <w:t>methodologies</w:t>
      </w:r>
      <w:r>
        <w:rPr>
          <w:spacing w:val="-11"/>
        </w:rPr>
        <w:t> </w:t>
      </w:r>
      <w:r>
        <w:rPr>
          <w:spacing w:val="-1"/>
        </w:rPr>
        <w:t>highlight</w:t>
      </w:r>
      <w:r>
        <w:rPr>
          <w:spacing w:val="-12"/>
        </w:rPr>
        <w:t> </w:t>
      </w:r>
      <w:r>
        <w:rPr/>
        <w:t>key</w:t>
      </w:r>
      <w:r>
        <w:rPr>
          <w:spacing w:val="-16"/>
        </w:rPr>
        <w:t> </w:t>
      </w:r>
      <w:r>
        <w:rPr/>
        <w:t>challenges</w:t>
      </w:r>
      <w:r>
        <w:rPr>
          <w:spacing w:val="-1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graduate</w:t>
      </w:r>
      <w:r>
        <w:rPr>
          <w:spacing w:val="7"/>
        </w:rPr>
        <w:t> </w:t>
      </w:r>
      <w:r>
        <w:rPr/>
        <w:t>employment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earnings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Slovak</w:t>
      </w:r>
      <w:r>
        <w:rPr>
          <w:spacing w:val="2"/>
        </w:rPr>
        <w:t> </w:t>
      </w:r>
      <w:r>
        <w:rPr/>
        <w:t>Republic,</w:t>
      </w:r>
      <w:r>
        <w:rPr>
          <w:spacing w:val="8"/>
        </w:rPr>
        <w:t> </w:t>
      </w:r>
      <w:r>
        <w:rPr/>
        <w:t>compared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other</w:t>
      </w:r>
      <w:r>
        <w:rPr>
          <w:spacing w:val="9"/>
        </w:rPr>
        <w:t> </w:t>
      </w:r>
      <w:r>
        <w:rPr/>
        <w:t>countries.</w:t>
      </w:r>
      <w:r>
        <w:rPr>
          <w:spacing w:val="8"/>
        </w:rPr>
        <w:t> </w:t>
      </w:r>
      <w:r>
        <w:rPr/>
        <w:t>Across</w:t>
      </w:r>
      <w:r>
        <w:rPr>
          <w:spacing w:val="9"/>
        </w:rPr>
        <w:t> </w:t>
      </w:r>
      <w:r>
        <w:rPr/>
        <w:t>OECD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7"/>
        <w:jc w:val="both"/>
      </w:pPr>
      <w:r>
        <w:rPr>
          <w:spacing w:val="-1"/>
        </w:rPr>
        <w:t>countries,</w:t>
      </w:r>
      <w:r>
        <w:rPr>
          <w:spacing w:val="-11"/>
        </w:rPr>
        <w:t> </w:t>
      </w:r>
      <w:r>
        <w:rPr>
          <w:spacing w:val="-1"/>
        </w:rPr>
        <w:t>higher</w:t>
      </w:r>
      <w:r>
        <w:rPr>
          <w:spacing w:val="-13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>
          <w:spacing w:val="-1"/>
        </w:rPr>
        <w:t>graduates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higher</w:t>
      </w:r>
      <w:r>
        <w:rPr>
          <w:spacing w:val="-13"/>
        </w:rPr>
        <w:t> </w:t>
      </w:r>
      <w:r>
        <w:rPr/>
        <w:t>employment</w:t>
      </w:r>
      <w:r>
        <w:rPr>
          <w:spacing w:val="-13"/>
        </w:rPr>
        <w:t> </w:t>
      </w:r>
      <w:r>
        <w:rPr/>
        <w:t>rates</w:t>
      </w:r>
      <w:r>
        <w:rPr>
          <w:spacing w:val="-13"/>
        </w:rPr>
        <w:t> </w:t>
      </w:r>
      <w:r>
        <w:rPr/>
        <w:t>than</w:t>
      </w:r>
      <w:r>
        <w:rPr>
          <w:spacing w:val="-13"/>
        </w:rPr>
        <w:t> </w:t>
      </w:r>
      <w:r>
        <w:rPr/>
        <w:t>individuals</w:t>
      </w:r>
      <w:r>
        <w:rPr>
          <w:spacing w:val="-12"/>
        </w:rPr>
        <w:t> </w:t>
      </w:r>
      <w:r>
        <w:rPr/>
        <w:t>who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upper secondary education. This is true in the Slovak Republic but to a lesser extent than on average</w:t>
      </w:r>
      <w:r>
        <w:rPr>
          <w:spacing w:val="1"/>
        </w:rPr>
        <w:t> </w:t>
      </w:r>
      <w:r>
        <w:rPr/>
        <w:t>among OECD countries for bachelor’s, master’s and doctoral degree holders, with the exception of</w:t>
      </w:r>
      <w:r>
        <w:rPr>
          <w:spacing w:val="1"/>
        </w:rPr>
        <w:t> </w:t>
      </w:r>
      <w:r>
        <w:rPr/>
        <w:t>graduates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short-cycle</w:t>
      </w:r>
      <w:r>
        <w:rPr>
          <w:spacing w:val="1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programmes (</w:t>
      </w:r>
      <w:hyperlink w:history="true" w:anchor="_bookmark25">
        <w:r>
          <w:rPr/>
          <w:t>Table</w:t>
        </w:r>
        <w:r>
          <w:rPr>
            <w:spacing w:val="-1"/>
          </w:rPr>
          <w:t> </w:t>
        </w:r>
        <w:r>
          <w:rPr/>
          <w:t>2.3</w:t>
        </w:r>
      </w:hyperlink>
      <w:r>
        <w:rPr/>
        <w:t>).</w:t>
      </w:r>
    </w:p>
    <w:p>
      <w:pPr>
        <w:pStyle w:val="BodyText"/>
        <w:spacing w:before="9"/>
        <w:rPr>
          <w:sz w:val="28"/>
        </w:rPr>
      </w:pPr>
    </w:p>
    <w:p>
      <w:pPr>
        <w:spacing w:line="244" w:lineRule="auto" w:before="0"/>
        <w:ind w:left="183" w:right="386" w:firstLine="0"/>
        <w:jc w:val="both"/>
        <w:rPr>
          <w:rFonts w:ascii="Arial"/>
          <w:b/>
          <w:sz w:val="24"/>
        </w:rPr>
      </w:pPr>
      <w:bookmarkStart w:name="_bookmark25" w:id="65"/>
      <w:bookmarkEnd w:id="65"/>
      <w:r>
        <w:rPr/>
      </w:r>
      <w:r>
        <w:rPr>
          <w:rFonts w:ascii="Arial"/>
          <w:b/>
          <w:color w:val="4E81BD"/>
          <w:w w:val="80"/>
          <w:sz w:val="24"/>
        </w:rPr>
        <w:t>Table 2.3. Employment rates of graduates, by education attainment and age in the Slovak Republic</w:t>
      </w:r>
      <w:r>
        <w:rPr>
          <w:rFonts w:ascii="Arial"/>
          <w:b/>
          <w:color w:val="4E81BD"/>
          <w:spacing w:val="1"/>
          <w:w w:val="80"/>
          <w:sz w:val="24"/>
        </w:rPr>
        <w:t> </w:t>
      </w:r>
      <w:r>
        <w:rPr>
          <w:rFonts w:ascii="Arial"/>
          <w:b/>
          <w:color w:val="4E81BD"/>
          <w:w w:val="90"/>
          <w:sz w:val="24"/>
        </w:rPr>
        <w:t>(2019)</w:t>
      </w:r>
    </w:p>
    <w:p>
      <w:pPr>
        <w:pStyle w:val="BodyText"/>
        <w:spacing w:before="4"/>
        <w:rPr>
          <w:rFonts w:ascii="Arial"/>
          <w:b/>
          <w:sz w:val="15"/>
        </w:rPr>
      </w:pPr>
    </w:p>
    <w:tbl>
      <w:tblPr>
        <w:tblW w:w="0" w:type="auto"/>
        <w:jc w:val="left"/>
        <w:tblInd w:w="176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663"/>
        <w:gridCol w:w="664"/>
        <w:gridCol w:w="663"/>
        <w:gridCol w:w="663"/>
        <w:gridCol w:w="661"/>
        <w:gridCol w:w="661"/>
        <w:gridCol w:w="663"/>
        <w:gridCol w:w="661"/>
        <w:gridCol w:w="663"/>
        <w:gridCol w:w="661"/>
        <w:gridCol w:w="660"/>
        <w:gridCol w:w="686"/>
      </w:tblGrid>
      <w:tr>
        <w:trPr>
          <w:trHeight w:val="239" w:hRule="atLeast"/>
        </w:trPr>
        <w:tc>
          <w:tcPr>
            <w:tcW w:w="1337" w:type="dxa"/>
            <w:vMerge w:val="restart"/>
            <w:tcBorders>
              <w:left w:val="nil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  <w:gridSpan w:val="2"/>
            <w:vMerge w:val="restart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160"/>
              <w:ind w:left="328" w:hanging="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Below</w:t>
            </w:r>
            <w:r>
              <w:rPr>
                <w:rFonts w:ascii="Microsoft Sans Serif"/>
                <w:spacing w:val="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upper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secondary</w:t>
            </w:r>
          </w:p>
        </w:tc>
        <w:tc>
          <w:tcPr>
            <w:tcW w:w="1326" w:type="dxa"/>
            <w:gridSpan w:val="2"/>
            <w:vMerge w:val="restart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160"/>
              <w:ind w:left="324" w:right="302" w:firstLine="14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Upper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secondary</w:t>
            </w:r>
          </w:p>
        </w:tc>
        <w:tc>
          <w:tcPr>
            <w:tcW w:w="5316" w:type="dxa"/>
            <w:gridSpan w:val="8"/>
            <w:tcBorders>
              <w:left w:val="single" w:sz="6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line="186" w:lineRule="exact" w:before="32"/>
              <w:ind w:left="2345" w:right="237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Tertiary</w:t>
            </w:r>
          </w:p>
        </w:tc>
      </w:tr>
      <w:tr>
        <w:trPr>
          <w:trHeight w:val="462" w:hRule="atLeast"/>
        </w:trPr>
        <w:tc>
          <w:tcPr>
            <w:tcW w:w="1337" w:type="dxa"/>
            <w:vMerge/>
            <w:tcBorders>
              <w:top w:val="nil"/>
              <w:left w:val="nil"/>
              <w:bottom w:val="single" w:sz="4" w:space="0" w:color="4E81BD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vMerge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gridSpan w:val="2"/>
            <w:tcBorders>
              <w:top w:val="single" w:sz="4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20" w:lineRule="atLeast" w:before="2"/>
              <w:ind w:left="438" w:right="269" w:hanging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Short-cycle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tertiary</w:t>
            </w:r>
          </w:p>
        </w:tc>
        <w:tc>
          <w:tcPr>
            <w:tcW w:w="1324" w:type="dxa"/>
            <w:gridSpan w:val="2"/>
            <w:tcBorders>
              <w:top w:val="single" w:sz="4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20" w:lineRule="atLeast" w:before="2"/>
              <w:ind w:left="328" w:hanging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Bachelor's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spacing w:val="-1"/>
                <w:w w:val="90"/>
                <w:sz w:val="18"/>
              </w:rPr>
              <w:t>equivalent</w:t>
            </w:r>
          </w:p>
        </w:tc>
        <w:tc>
          <w:tcPr>
            <w:tcW w:w="1324" w:type="dxa"/>
            <w:gridSpan w:val="2"/>
            <w:tcBorders>
              <w:top w:val="single" w:sz="4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20" w:lineRule="atLeast" w:before="2"/>
              <w:ind w:left="324" w:right="275" w:hanging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Master's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equivalent</w:t>
            </w:r>
          </w:p>
        </w:tc>
        <w:tc>
          <w:tcPr>
            <w:tcW w:w="1346" w:type="dxa"/>
            <w:gridSpan w:val="2"/>
            <w:tcBorders>
              <w:top w:val="single" w:sz="4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20" w:lineRule="atLeast" w:before="2"/>
              <w:ind w:left="314" w:right="315" w:hanging="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Doctoral or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equivalent</w:t>
            </w:r>
          </w:p>
        </w:tc>
      </w:tr>
      <w:tr>
        <w:trPr>
          <w:trHeight w:val="679" w:hRule="atLeast"/>
        </w:trPr>
        <w:tc>
          <w:tcPr>
            <w:tcW w:w="1337" w:type="dxa"/>
            <w:vMerge/>
            <w:tcBorders>
              <w:top w:val="nil"/>
              <w:left w:val="nil"/>
              <w:bottom w:val="single" w:sz="4" w:space="0" w:color="4E81BD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25-64</w:t>
            </w:r>
          </w:p>
          <w:p>
            <w:pPr>
              <w:pStyle w:val="TableParagraph"/>
              <w:spacing w:line="220" w:lineRule="atLeast" w:before="0"/>
              <w:ind w:left="201" w:right="130" w:hanging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4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25-34</w:t>
            </w:r>
          </w:p>
          <w:p>
            <w:pPr>
              <w:pStyle w:val="TableParagraph"/>
              <w:spacing w:line="220" w:lineRule="atLeast" w:before="0"/>
              <w:ind w:left="202" w:right="132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25-64</w:t>
            </w:r>
          </w:p>
          <w:p>
            <w:pPr>
              <w:pStyle w:val="TableParagraph"/>
              <w:spacing w:line="220" w:lineRule="atLeast" w:before="0"/>
              <w:ind w:left="199" w:right="132" w:hanging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25-34</w:t>
            </w:r>
          </w:p>
          <w:p>
            <w:pPr>
              <w:pStyle w:val="TableParagraph"/>
              <w:spacing w:line="220" w:lineRule="atLeast" w:before="0"/>
              <w:ind w:left="198" w:right="135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25-64</w:t>
            </w:r>
          </w:p>
          <w:p>
            <w:pPr>
              <w:pStyle w:val="TableParagraph"/>
              <w:spacing w:line="220" w:lineRule="atLeast" w:before="0"/>
              <w:ind w:left="198" w:right="133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25-34</w:t>
            </w:r>
          </w:p>
          <w:p>
            <w:pPr>
              <w:pStyle w:val="TableParagraph"/>
              <w:spacing w:line="220" w:lineRule="atLeast" w:before="0"/>
              <w:ind w:left="197" w:right="134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25-64</w:t>
            </w:r>
          </w:p>
          <w:p>
            <w:pPr>
              <w:pStyle w:val="TableParagraph"/>
              <w:spacing w:line="220" w:lineRule="atLeast" w:before="0"/>
              <w:ind w:left="199" w:right="134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25-34</w:t>
            </w:r>
          </w:p>
          <w:p>
            <w:pPr>
              <w:pStyle w:val="TableParagraph"/>
              <w:spacing w:line="220" w:lineRule="atLeast" w:before="0"/>
              <w:ind w:left="196" w:right="135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25-64</w:t>
            </w:r>
          </w:p>
          <w:p>
            <w:pPr>
              <w:pStyle w:val="TableParagraph"/>
              <w:spacing w:line="220" w:lineRule="atLeast" w:before="0"/>
              <w:ind w:left="195" w:right="138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25-34</w:t>
            </w:r>
          </w:p>
          <w:p>
            <w:pPr>
              <w:pStyle w:val="TableParagraph"/>
              <w:spacing w:line="220" w:lineRule="atLeast" w:before="0"/>
              <w:ind w:left="194" w:right="137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60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4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25-64</w:t>
            </w:r>
          </w:p>
          <w:p>
            <w:pPr>
              <w:pStyle w:val="TableParagraph"/>
              <w:spacing w:line="220" w:lineRule="atLeast" w:before="0"/>
              <w:ind w:left="194" w:right="136" w:hanging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  <w:tc>
          <w:tcPr>
            <w:tcW w:w="686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nil"/>
            </w:tcBorders>
          </w:tcPr>
          <w:p>
            <w:pPr>
              <w:pStyle w:val="TableParagraph"/>
              <w:spacing w:before="30"/>
              <w:ind w:left="1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25-34</w:t>
            </w:r>
          </w:p>
          <w:p>
            <w:pPr>
              <w:pStyle w:val="TableParagraph"/>
              <w:spacing w:line="220" w:lineRule="atLeast" w:before="0"/>
              <w:ind w:left="186" w:right="176" w:hanging="3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year-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olds</w:t>
            </w:r>
          </w:p>
        </w:tc>
      </w:tr>
      <w:tr>
        <w:trPr>
          <w:trHeight w:val="239" w:hRule="atLeast"/>
        </w:trPr>
        <w:tc>
          <w:tcPr>
            <w:tcW w:w="1337" w:type="dxa"/>
            <w:tcBorders>
              <w:top w:val="single" w:sz="4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53" w:right="153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663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38%</w:t>
            </w:r>
          </w:p>
        </w:tc>
        <w:tc>
          <w:tcPr>
            <w:tcW w:w="664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34%</w:t>
            </w:r>
          </w:p>
        </w:tc>
        <w:tc>
          <w:tcPr>
            <w:tcW w:w="663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78%</w:t>
            </w:r>
          </w:p>
        </w:tc>
        <w:tc>
          <w:tcPr>
            <w:tcW w:w="663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81%</w:t>
            </w:r>
          </w:p>
        </w:tc>
        <w:tc>
          <w:tcPr>
            <w:tcW w:w="661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91%</w:t>
            </w:r>
          </w:p>
        </w:tc>
        <w:tc>
          <w:tcPr>
            <w:tcW w:w="661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m</w:t>
            </w:r>
          </w:p>
        </w:tc>
        <w:tc>
          <w:tcPr>
            <w:tcW w:w="663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75%</w:t>
            </w:r>
          </w:p>
        </w:tc>
        <w:tc>
          <w:tcPr>
            <w:tcW w:w="661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67%</w:t>
            </w:r>
          </w:p>
        </w:tc>
        <w:tc>
          <w:tcPr>
            <w:tcW w:w="663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85%</w:t>
            </w:r>
          </w:p>
        </w:tc>
        <w:tc>
          <w:tcPr>
            <w:tcW w:w="661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81%</w:t>
            </w:r>
          </w:p>
        </w:tc>
        <w:tc>
          <w:tcPr>
            <w:tcW w:w="660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85%</w:t>
            </w:r>
          </w:p>
        </w:tc>
        <w:tc>
          <w:tcPr>
            <w:tcW w:w="686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right="14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87%</w:t>
            </w:r>
          </w:p>
        </w:tc>
      </w:tr>
      <w:tr>
        <w:trPr>
          <w:trHeight w:val="237" w:hRule="atLeast"/>
        </w:trPr>
        <w:tc>
          <w:tcPr>
            <w:tcW w:w="1337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01" w:right="153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59%</w:t>
            </w:r>
          </w:p>
        </w:tc>
        <w:tc>
          <w:tcPr>
            <w:tcW w:w="66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60%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77%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78%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82%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84%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84%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83%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88%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88%</w:t>
            </w:r>
          </w:p>
        </w:tc>
        <w:tc>
          <w:tcPr>
            <w:tcW w:w="6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93%</w:t>
            </w:r>
          </w:p>
        </w:tc>
        <w:tc>
          <w:tcPr>
            <w:tcW w:w="68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13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m</w:t>
            </w:r>
          </w:p>
        </w:tc>
      </w:tr>
      <w:tr>
        <w:trPr>
          <w:trHeight w:val="239" w:hRule="atLeast"/>
        </w:trPr>
        <w:tc>
          <w:tcPr>
            <w:tcW w:w="1337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46" w:right="153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EU23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57%</w:t>
            </w:r>
          </w:p>
        </w:tc>
        <w:tc>
          <w:tcPr>
            <w:tcW w:w="664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58%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77%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80%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83%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86%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84%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82%</w:t>
            </w:r>
          </w:p>
        </w:tc>
        <w:tc>
          <w:tcPr>
            <w:tcW w:w="663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88%</w:t>
            </w:r>
          </w:p>
        </w:tc>
        <w:tc>
          <w:tcPr>
            <w:tcW w:w="661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87%</w:t>
            </w:r>
          </w:p>
        </w:tc>
        <w:tc>
          <w:tcPr>
            <w:tcW w:w="660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93%</w:t>
            </w:r>
          </w:p>
        </w:tc>
        <w:tc>
          <w:tcPr>
            <w:tcW w:w="686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ind w:right="14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88%</w:t>
            </w:r>
          </w:p>
        </w:tc>
      </w:tr>
    </w:tbl>
    <w:p>
      <w:pPr>
        <w:spacing w:before="131"/>
        <w:ind w:left="183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Note: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m:</w:t>
      </w:r>
      <w:r>
        <w:rPr>
          <w:rFonts w:ascii="Microsoft Sans Serif" w:hAnsi="Microsoft Sans Serif"/>
          <w:spacing w:val="1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Data</w:t>
      </w:r>
      <w:r>
        <w:rPr>
          <w:rFonts w:ascii="Microsoft Sans Serif" w:hAnsi="Microsoft Sans Serif"/>
          <w:spacing w:val="1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are</w:t>
      </w:r>
      <w:r>
        <w:rPr>
          <w:rFonts w:ascii="Microsoft Sans Serif" w:hAnsi="Microsoft Sans Serif"/>
          <w:spacing w:val="1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not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available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–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either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missing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or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indicator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could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not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be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computed</w:t>
      </w:r>
      <w:r>
        <w:rPr>
          <w:rFonts w:ascii="Microsoft Sans Serif" w:hAnsi="Microsoft Sans Serif"/>
          <w:spacing w:val="1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due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low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respondent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numbers.</w:t>
      </w:r>
    </w:p>
    <w:p>
      <w:pPr>
        <w:spacing w:line="259" w:lineRule="auto" w:before="15"/>
        <w:ind w:left="183" w:right="41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1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EU23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refers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to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23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countries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that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were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also</w:t>
      </w:r>
      <w:r>
        <w:rPr>
          <w:rFonts w:ascii="Microsoft Sans Serif"/>
          <w:spacing w:val="6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OECD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members</w:t>
      </w:r>
      <w:r>
        <w:rPr>
          <w:rFonts w:ascii="Microsoft Sans Serif"/>
          <w:spacing w:val="6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as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2019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(see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Endnote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4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for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37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countries).</w:t>
      </w:r>
    </w:p>
    <w:p>
      <w:pPr>
        <w:spacing w:line="205" w:lineRule="exact"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(2021</w:t>
      </w:r>
      <w:r>
        <w:rPr>
          <w:rFonts w:ascii="Microsoft Sans Serif"/>
          <w:w w:val="80"/>
          <w:sz w:val="12"/>
        </w:rPr>
        <w:t>[6]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8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Statistics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hyperlink r:id="rId87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https://doi.org/10.1787/edu-data-en</w:t>
        </w:r>
        <w:r>
          <w:rPr>
            <w:rFonts w:ascii="Microsoft Sans Serif"/>
            <w:w w:val="80"/>
            <w:position w:val="1"/>
            <w:sz w:val="18"/>
          </w:rPr>
          <w:t>.</w:t>
        </w:r>
      </w:hyperlink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pStyle w:val="BodyText"/>
        <w:spacing w:line="271" w:lineRule="auto" w:before="93"/>
        <w:ind w:left="183" w:right="301"/>
        <w:jc w:val="both"/>
      </w:pPr>
      <w:r>
        <w:rPr/>
        <w:t>There are important differences in graduate employment between age groups in the Slovak Republic.</w:t>
      </w:r>
      <w:r>
        <w:rPr>
          <w:spacing w:val="1"/>
        </w:rPr>
        <w:t> </w:t>
      </w:r>
      <w:r>
        <w:rPr/>
        <w:t>Young</w:t>
      </w:r>
      <w:r>
        <w:rPr>
          <w:spacing w:val="-10"/>
        </w:rPr>
        <w:t> </w:t>
      </w:r>
      <w:r>
        <w:rPr/>
        <w:t>higher</w:t>
      </w:r>
      <w:r>
        <w:rPr>
          <w:spacing w:val="-10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graduates</w:t>
      </w:r>
      <w:r>
        <w:rPr>
          <w:spacing w:val="-11"/>
        </w:rPr>
        <w:t> </w:t>
      </w:r>
      <w:r>
        <w:rPr/>
        <w:t>have</w:t>
      </w:r>
      <w:r>
        <w:rPr>
          <w:spacing w:val="-10"/>
        </w:rPr>
        <w:t> </w:t>
      </w:r>
      <w:r>
        <w:rPr/>
        <w:t>difficulties</w:t>
      </w:r>
      <w:r>
        <w:rPr>
          <w:spacing w:val="-11"/>
        </w:rPr>
        <w:t> </w:t>
      </w:r>
      <w:r>
        <w:rPr/>
        <w:t>transitioning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labour</w:t>
      </w:r>
      <w:r>
        <w:rPr>
          <w:spacing w:val="-11"/>
        </w:rPr>
        <w:t> </w:t>
      </w:r>
      <w:r>
        <w:rPr/>
        <w:t>market:</w:t>
      </w:r>
      <w:r>
        <w:rPr>
          <w:spacing w:val="-13"/>
        </w:rPr>
        <w:t> </w:t>
      </w:r>
      <w:r>
        <w:rPr/>
        <w:t>79%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young</w:t>
      </w:r>
      <w:r>
        <w:rPr>
          <w:spacing w:val="-13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 graduates (all levels) aged 25-34 are employed in 2019, one of the lowest rates across OECD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 percentage points below the OECD</w:t>
      </w:r>
      <w:r>
        <w:rPr>
          <w:spacing w:val="1"/>
        </w:rPr>
        <w:t> </w:t>
      </w:r>
      <w:r>
        <w:rPr/>
        <w:t>average.</w:t>
      </w:r>
      <w:r>
        <w:rPr>
          <w:spacing w:val="1"/>
        </w:rPr>
        <w:t> </w:t>
      </w:r>
      <w:r>
        <w:rPr/>
        <w:t>By contrast, the</w:t>
      </w:r>
      <w:r>
        <w:rPr>
          <w:spacing w:val="1"/>
        </w:rPr>
        <w:t> </w:t>
      </w:r>
      <w:r>
        <w:rPr/>
        <w:t>employment</w:t>
      </w:r>
      <w:r>
        <w:rPr>
          <w:spacing w:val="55"/>
        </w:rPr>
        <w:t> </w:t>
      </w:r>
      <w:r>
        <w:rPr/>
        <w:t>rate</w:t>
      </w:r>
      <w:r>
        <w:rPr>
          <w:spacing w:val="56"/>
        </w:rPr>
        <w:t> </w:t>
      </w:r>
      <w:r>
        <w:rPr/>
        <w:t>for</w:t>
      </w:r>
      <w:r>
        <w:rPr>
          <w:spacing w:val="1"/>
        </w:rPr>
        <w:t> </w:t>
      </w:r>
      <w:r>
        <w:rPr/>
        <w:t>45-54 year-olds higher education graduates is one of the highest across OECD countries, at 94%</w:t>
      </w:r>
      <w:r>
        <w:rPr>
          <w:spacing w:val="1"/>
        </w:rPr>
        <w:t> </w:t>
      </w:r>
      <w:r>
        <w:rPr>
          <w:position w:val="1"/>
        </w:rPr>
        <w:t>compared</w:t>
      </w:r>
      <w:r>
        <w:rPr>
          <w:spacing w:val="-3"/>
          <w:position w:val="1"/>
        </w:rPr>
        <w:t> </w:t>
      </w:r>
      <w:r>
        <w:rPr>
          <w:position w:val="1"/>
        </w:rPr>
        <w:t>to the</w:t>
      </w:r>
      <w:r>
        <w:rPr>
          <w:spacing w:val="-1"/>
          <w:position w:val="1"/>
        </w:rPr>
        <w:t> </w:t>
      </w:r>
      <w:r>
        <w:rPr>
          <w:position w:val="1"/>
        </w:rPr>
        <w:t>OECD</w:t>
      </w:r>
      <w:r>
        <w:rPr>
          <w:spacing w:val="1"/>
          <w:position w:val="1"/>
        </w:rPr>
        <w:t> </w:t>
      </w:r>
      <w:r>
        <w:rPr>
          <w:position w:val="1"/>
        </w:rPr>
        <w:t>average of</w:t>
      </w:r>
      <w:r>
        <w:rPr>
          <w:spacing w:val="1"/>
          <w:position w:val="1"/>
        </w:rPr>
        <w:t> </w:t>
      </w:r>
      <w:r>
        <w:rPr>
          <w:position w:val="1"/>
        </w:rPr>
        <w:t>90%</w:t>
      </w:r>
      <w:r>
        <w:rPr>
          <w:spacing w:val="-1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2020,</w:t>
      </w:r>
      <w:r>
        <w:rPr>
          <w:spacing w:val="-1"/>
          <w:position w:val="1"/>
        </w:rPr>
        <w:t> </w:t>
      </w:r>
      <w:r>
        <w:rPr>
          <w:position w:val="1"/>
        </w:rPr>
        <w:t>pp.</w:t>
      </w:r>
      <w:r>
        <w:rPr>
          <w:spacing w:val="2"/>
          <w:position w:val="1"/>
        </w:rPr>
        <w:t> </w:t>
      </w:r>
      <w:r>
        <w:rPr>
          <w:position w:val="1"/>
        </w:rPr>
        <w:t>82,</w:t>
      </w:r>
      <w:r>
        <w:rPr>
          <w:spacing w:val="-2"/>
          <w:position w:val="1"/>
        </w:rPr>
        <w:t> </w:t>
      </w:r>
      <w:r>
        <w:rPr>
          <w:position w:val="1"/>
        </w:rPr>
        <w:t>Table</w:t>
      </w:r>
      <w:r>
        <w:rPr>
          <w:spacing w:val="1"/>
          <w:position w:val="1"/>
        </w:rPr>
        <w:t> </w:t>
      </w:r>
      <w:r>
        <w:rPr>
          <w:position w:val="1"/>
        </w:rPr>
        <w:t>A3.3</w:t>
      </w:r>
      <w:r>
        <w:rPr>
          <w:sz w:val="13"/>
        </w:rPr>
        <w:t>[24]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10"/>
        <w:jc w:val="both"/>
      </w:pPr>
      <w:r>
        <w:rPr/>
        <w:t>Looking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employment</w:t>
      </w:r>
      <w:r>
        <w:rPr>
          <w:spacing w:val="-10"/>
        </w:rPr>
        <w:t> </w:t>
      </w:r>
      <w:r>
        <w:rPr/>
        <w:t>trajectories</w:t>
      </w:r>
      <w:r>
        <w:rPr>
          <w:spacing w:val="-9"/>
        </w:rPr>
        <w:t> </w:t>
      </w:r>
      <w:r>
        <w:rPr/>
        <w:t>upon</w:t>
      </w:r>
      <w:r>
        <w:rPr>
          <w:spacing w:val="-8"/>
        </w:rPr>
        <w:t> </w:t>
      </w:r>
      <w:r>
        <w:rPr/>
        <w:t>graduation,</w:t>
      </w:r>
      <w:r>
        <w:rPr>
          <w:spacing w:val="-10"/>
        </w:rPr>
        <w:t> </w:t>
      </w:r>
      <w:r>
        <w:rPr/>
        <w:t>82%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Slovak</w:t>
      </w:r>
      <w:r>
        <w:rPr>
          <w:spacing w:val="-8"/>
        </w:rPr>
        <w:t> </w:t>
      </w:r>
      <w:r>
        <w:rPr/>
        <w:t>adults</w:t>
      </w:r>
      <w:r>
        <w:rPr>
          <w:spacing w:val="-9"/>
        </w:rPr>
        <w:t> </w:t>
      </w:r>
      <w:r>
        <w:rPr/>
        <w:t>holding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bachelor’s</w:t>
      </w:r>
      <w:r>
        <w:rPr>
          <w:spacing w:val="-9"/>
        </w:rPr>
        <w:t> </w:t>
      </w:r>
      <w:r>
        <w:rPr/>
        <w:t>degree</w:t>
      </w:r>
      <w:r>
        <w:rPr>
          <w:spacing w:val="-10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-12"/>
        </w:rPr>
        <w:t> </w:t>
      </w:r>
      <w:r>
        <w:rPr>
          <w:spacing w:val="-1"/>
        </w:rPr>
        <w:t>highest</w:t>
      </w:r>
      <w:r>
        <w:rPr>
          <w:spacing w:val="-13"/>
        </w:rPr>
        <w:t> </w:t>
      </w:r>
      <w:r>
        <w:rPr>
          <w:spacing w:val="-1"/>
        </w:rPr>
        <w:t>attainment</w:t>
      </w:r>
      <w:r>
        <w:rPr>
          <w:spacing w:val="-15"/>
        </w:rPr>
        <w:t> </w:t>
      </w:r>
      <w:r>
        <w:rPr>
          <w:spacing w:val="-1"/>
        </w:rPr>
        <w:t>aged</w:t>
      </w:r>
      <w:r>
        <w:rPr>
          <w:spacing w:val="-16"/>
        </w:rPr>
        <w:t> </w:t>
      </w:r>
      <w:r>
        <w:rPr>
          <w:spacing w:val="-1"/>
        </w:rPr>
        <w:t>15-34</w:t>
      </w:r>
      <w:r>
        <w:rPr>
          <w:spacing w:val="-13"/>
        </w:rPr>
        <w:t> </w:t>
      </w:r>
      <w:r>
        <w:rPr>
          <w:spacing w:val="-1"/>
        </w:rPr>
        <w:t>at</w:t>
      </w:r>
      <w:r>
        <w:rPr>
          <w:spacing w:val="-13"/>
        </w:rPr>
        <w:t> </w:t>
      </w:r>
      <w:r>
        <w:rPr>
          <w:spacing w:val="-1"/>
        </w:rPr>
        <w:t>graduation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2"/>
        </w:rPr>
        <w:t> </w:t>
      </w:r>
      <w:r>
        <w:rPr>
          <w:spacing w:val="-1"/>
        </w:rPr>
        <w:t>employed</w:t>
      </w:r>
      <w:r>
        <w:rPr>
          <w:spacing w:val="-14"/>
        </w:rPr>
        <w:t> </w:t>
      </w:r>
      <w:r>
        <w:rPr>
          <w:spacing w:val="-1"/>
        </w:rPr>
        <w:t>less</w:t>
      </w:r>
      <w:r>
        <w:rPr>
          <w:spacing w:val="-13"/>
        </w:rPr>
        <w:t> </w:t>
      </w:r>
      <w:r>
        <w:rPr>
          <w:spacing w:val="-1"/>
        </w:rPr>
        <w:t>than</w:t>
      </w:r>
      <w:r>
        <w:rPr>
          <w:spacing w:val="-16"/>
        </w:rPr>
        <w:t> </w:t>
      </w:r>
      <w:r>
        <w:rPr>
          <w:spacing w:val="-1"/>
        </w:rPr>
        <w:t>two</w:t>
      </w:r>
      <w:r>
        <w:rPr>
          <w:spacing w:val="-11"/>
        </w:rPr>
        <w:t> </w:t>
      </w:r>
      <w:r>
        <w:rPr>
          <w:spacing w:val="-1"/>
        </w:rPr>
        <w:t>years</w:t>
      </w:r>
      <w:r>
        <w:rPr>
          <w:spacing w:val="-14"/>
        </w:rPr>
        <w:t> </w:t>
      </w:r>
      <w:r>
        <w:rPr/>
        <w:t>after</w:t>
      </w:r>
      <w:r>
        <w:rPr>
          <w:spacing w:val="-15"/>
        </w:rPr>
        <w:t> </w:t>
      </w:r>
      <w:r>
        <w:rPr/>
        <w:t>their</w:t>
      </w:r>
      <w:r>
        <w:rPr>
          <w:spacing w:val="-11"/>
        </w:rPr>
        <w:t> </w:t>
      </w:r>
      <w:r>
        <w:rPr/>
        <w:t>graduation,</w:t>
      </w:r>
      <w:r>
        <w:rPr>
          <w:spacing w:val="1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 85%</w:t>
      </w:r>
      <w:r>
        <w:rPr>
          <w:spacing w:val="1"/>
        </w:rPr>
        <w:t> </w:t>
      </w:r>
      <w:r>
        <w:rPr/>
        <w:t>after</w:t>
      </w:r>
      <w:r>
        <w:rPr>
          <w:spacing w:val="-3"/>
        </w:rPr>
        <w:t> </w:t>
      </w:r>
      <w:r>
        <w:rPr/>
        <w:t>two to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years,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declining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73%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five</w:t>
      </w:r>
      <w:r>
        <w:rPr>
          <w:spacing w:val="2"/>
        </w:rPr>
        <w:t> </w:t>
      </w:r>
      <w:r>
        <w:rPr/>
        <w:t>years</w:t>
      </w:r>
      <w:r>
        <w:rPr>
          <w:spacing w:val="-1"/>
        </w:rPr>
        <w:t> </w:t>
      </w:r>
      <w:r>
        <w:rPr/>
        <w:t>(</w:t>
      </w:r>
      <w:hyperlink w:history="true" w:anchor="_bookmark26">
        <w:r>
          <w:rPr/>
          <w:t>Table</w:t>
        </w:r>
        <w:r>
          <w:rPr>
            <w:spacing w:val="-3"/>
          </w:rPr>
          <w:t> </w:t>
        </w:r>
        <w:r>
          <w:rPr/>
          <w:t>2.4</w:t>
        </w:r>
      </w:hyperlink>
      <w:r>
        <w:rPr/>
        <w:t>).</w:t>
      </w:r>
    </w:p>
    <w:p>
      <w:pPr>
        <w:pStyle w:val="BodyText"/>
        <w:spacing w:before="8"/>
        <w:rPr>
          <w:sz w:val="28"/>
        </w:rPr>
      </w:pPr>
    </w:p>
    <w:p>
      <w:pPr>
        <w:spacing w:line="244" w:lineRule="auto" w:before="0"/>
        <w:ind w:left="183" w:right="0" w:firstLine="0"/>
        <w:jc w:val="left"/>
        <w:rPr>
          <w:rFonts w:ascii="Arial"/>
          <w:b/>
          <w:sz w:val="24"/>
        </w:rPr>
      </w:pPr>
      <w:bookmarkStart w:name="_bookmark26" w:id="66"/>
      <w:bookmarkEnd w:id="66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2.4.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Employment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rates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young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adults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who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have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recently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completed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education,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by</w:t>
      </w:r>
      <w:r>
        <w:rPr>
          <w:rFonts w:ascii="Arial"/>
          <w:b/>
          <w:color w:val="4E81BD"/>
          <w:spacing w:val="-5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educational</w:t>
      </w:r>
      <w:r>
        <w:rPr>
          <w:rFonts w:ascii="Arial"/>
          <w:b/>
          <w:color w:val="4E81BD"/>
          <w:spacing w:val="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attainment</w:t>
      </w:r>
      <w:r>
        <w:rPr>
          <w:rFonts w:ascii="Arial"/>
          <w:b/>
          <w:color w:val="4E81BD"/>
          <w:spacing w:val="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years</w:t>
      </w:r>
      <w:r>
        <w:rPr>
          <w:rFonts w:ascii="Arial"/>
          <w:b/>
          <w:color w:val="4E81BD"/>
          <w:spacing w:val="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since</w:t>
      </w:r>
      <w:r>
        <w:rPr>
          <w:rFonts w:ascii="Arial"/>
          <w:b/>
          <w:color w:val="4E81BD"/>
          <w:spacing w:val="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graduation,</w:t>
      </w:r>
      <w:r>
        <w:rPr>
          <w:rFonts w:ascii="Arial"/>
          <w:b/>
          <w:color w:val="4E81BD"/>
          <w:spacing w:val="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Republic</w:t>
      </w:r>
      <w:r>
        <w:rPr>
          <w:rFonts w:ascii="Arial"/>
          <w:b/>
          <w:color w:val="4E81BD"/>
          <w:spacing w:val="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(2018)</w:t>
      </w:r>
    </w:p>
    <w:p>
      <w:pPr>
        <w:pStyle w:val="Heading6"/>
      </w:pPr>
      <w:r>
        <w:rPr>
          <w:w w:val="80"/>
        </w:rPr>
        <w:t>Adults</w:t>
      </w:r>
      <w:r>
        <w:rPr>
          <w:spacing w:val="11"/>
          <w:w w:val="80"/>
        </w:rPr>
        <w:t> </w:t>
      </w:r>
      <w:r>
        <w:rPr>
          <w:w w:val="80"/>
        </w:rPr>
        <w:t>aged</w:t>
      </w:r>
      <w:r>
        <w:rPr>
          <w:spacing w:val="11"/>
          <w:w w:val="80"/>
        </w:rPr>
        <w:t> </w:t>
      </w:r>
      <w:r>
        <w:rPr>
          <w:w w:val="80"/>
        </w:rPr>
        <w:t>15-34</w:t>
      </w:r>
      <w:r>
        <w:rPr>
          <w:spacing w:val="12"/>
          <w:w w:val="80"/>
        </w:rPr>
        <w:t> </w:t>
      </w:r>
      <w:r>
        <w:rPr>
          <w:w w:val="80"/>
        </w:rPr>
        <w:t>at</w:t>
      </w:r>
      <w:r>
        <w:rPr>
          <w:spacing w:val="11"/>
          <w:w w:val="80"/>
        </w:rPr>
        <w:t> </w:t>
      </w:r>
      <w:r>
        <w:rPr>
          <w:w w:val="80"/>
        </w:rPr>
        <w:t>graduation,</w:t>
      </w:r>
      <w:r>
        <w:rPr>
          <w:spacing w:val="12"/>
          <w:w w:val="80"/>
        </w:rPr>
        <w:t> </w:t>
      </w:r>
      <w:r>
        <w:rPr>
          <w:w w:val="80"/>
        </w:rPr>
        <w:t>not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education</w:t>
      </w:r>
    </w:p>
    <w:p>
      <w:pPr>
        <w:pStyle w:val="BodyText"/>
        <w:spacing w:before="3"/>
        <w:rPr>
          <w:rFonts w:ascii="Microsoft Sans Serif"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247"/>
        <w:gridCol w:w="1244"/>
        <w:gridCol w:w="1244"/>
        <w:gridCol w:w="1246"/>
        <w:gridCol w:w="1244"/>
        <w:gridCol w:w="1246"/>
      </w:tblGrid>
      <w:tr>
        <w:trPr>
          <w:trHeight w:val="241" w:hRule="atLeast"/>
        </w:trPr>
        <w:tc>
          <w:tcPr>
            <w:tcW w:w="1846" w:type="dxa"/>
            <w:vMerge w:val="restart"/>
            <w:tcBorders>
              <w:left w:val="nil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35" w:type="dxa"/>
            <w:gridSpan w:val="3"/>
            <w:tcBorders>
              <w:left w:val="single" w:sz="6" w:space="0" w:color="D2D2D2"/>
              <w:bottom w:val="single" w:sz="4" w:space="0" w:color="D2D2D2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10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Bachelor’s</w:t>
            </w:r>
            <w:r>
              <w:rPr>
                <w:rFonts w:ascii="Microsoft Sans Serif" w:hAns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or</w:t>
            </w:r>
            <w:r>
              <w:rPr>
                <w:rFonts w:ascii="Microsoft Sans Serif" w:hAns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equivalent</w:t>
            </w:r>
          </w:p>
        </w:tc>
        <w:tc>
          <w:tcPr>
            <w:tcW w:w="3736" w:type="dxa"/>
            <w:gridSpan w:val="3"/>
            <w:tcBorders>
              <w:left w:val="single" w:sz="6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line="189" w:lineRule="exact" w:before="32"/>
              <w:ind w:left="115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Master’s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or</w:t>
            </w:r>
            <w:r>
              <w:rPr>
                <w:rFonts w:ascii="Microsoft Sans Serif" w:hAns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equivalent</w:t>
            </w:r>
          </w:p>
        </w:tc>
      </w:tr>
      <w:tr>
        <w:trPr>
          <w:trHeight w:val="434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4" w:space="0" w:color="4E81BD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single" w:sz="4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13"/>
              <w:ind w:left="460" w:hanging="26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Less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than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two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years</w:t>
            </w:r>
          </w:p>
        </w:tc>
        <w:tc>
          <w:tcPr>
            <w:tcW w:w="1244" w:type="dxa"/>
            <w:tcBorders>
              <w:top w:val="single" w:sz="4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13"/>
              <w:ind w:left="456" w:hanging="21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Two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three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years</w:t>
            </w:r>
          </w:p>
        </w:tc>
        <w:tc>
          <w:tcPr>
            <w:tcW w:w="1244" w:type="dxa"/>
            <w:tcBorders>
              <w:top w:val="single" w:sz="4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13"/>
              <w:ind w:left="456" w:hanging="17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Four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five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years</w:t>
            </w:r>
          </w:p>
        </w:tc>
        <w:tc>
          <w:tcPr>
            <w:tcW w:w="1246" w:type="dxa"/>
            <w:tcBorders>
              <w:top w:val="single" w:sz="4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13"/>
              <w:ind w:left="458" w:hanging="26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Less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than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two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years</w:t>
            </w:r>
          </w:p>
        </w:tc>
        <w:tc>
          <w:tcPr>
            <w:tcW w:w="1244" w:type="dxa"/>
            <w:tcBorders>
              <w:top w:val="single" w:sz="4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13"/>
              <w:ind w:left="455" w:hanging="21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Two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three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years</w:t>
            </w:r>
          </w:p>
        </w:tc>
        <w:tc>
          <w:tcPr>
            <w:tcW w:w="1246" w:type="dxa"/>
            <w:tcBorders>
              <w:top w:val="single" w:sz="4" w:space="0" w:color="D2D2D2"/>
              <w:left w:val="single" w:sz="6" w:space="0" w:color="D2D2D2"/>
              <w:bottom w:val="single" w:sz="4" w:space="0" w:color="4E81BD"/>
              <w:right w:val="nil"/>
            </w:tcBorders>
          </w:tcPr>
          <w:p>
            <w:pPr>
              <w:pStyle w:val="TableParagraph"/>
              <w:spacing w:line="200" w:lineRule="atLeast" w:before="13"/>
              <w:ind w:left="455" w:hanging="17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Four to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five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years</w:t>
            </w:r>
          </w:p>
        </w:tc>
      </w:tr>
      <w:tr>
        <w:trPr>
          <w:trHeight w:val="240" w:hRule="atLeast"/>
        </w:trPr>
        <w:tc>
          <w:tcPr>
            <w:tcW w:w="1846" w:type="dxa"/>
            <w:tcBorders>
              <w:top w:val="single" w:sz="4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247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82%</w:t>
            </w:r>
          </w:p>
        </w:tc>
        <w:tc>
          <w:tcPr>
            <w:tcW w:w="1244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85%</w:t>
            </w:r>
          </w:p>
        </w:tc>
        <w:tc>
          <w:tcPr>
            <w:tcW w:w="1244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73%</w:t>
            </w:r>
          </w:p>
        </w:tc>
        <w:tc>
          <w:tcPr>
            <w:tcW w:w="1246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78%</w:t>
            </w:r>
          </w:p>
        </w:tc>
        <w:tc>
          <w:tcPr>
            <w:tcW w:w="1244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81%</w:t>
            </w:r>
          </w:p>
        </w:tc>
        <w:tc>
          <w:tcPr>
            <w:tcW w:w="1246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77%</w:t>
            </w:r>
          </w:p>
        </w:tc>
      </w:tr>
      <w:tr>
        <w:trPr>
          <w:trHeight w:val="236" w:hRule="atLeast"/>
        </w:trPr>
        <w:tc>
          <w:tcPr>
            <w:tcW w:w="1846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24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80%</w:t>
            </w:r>
          </w:p>
        </w:tc>
        <w:tc>
          <w:tcPr>
            <w:tcW w:w="124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87%</w:t>
            </w:r>
          </w:p>
        </w:tc>
        <w:tc>
          <w:tcPr>
            <w:tcW w:w="124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87%</w:t>
            </w:r>
          </w:p>
        </w:tc>
        <w:tc>
          <w:tcPr>
            <w:tcW w:w="124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83%</w:t>
            </w:r>
          </w:p>
        </w:tc>
        <w:tc>
          <w:tcPr>
            <w:tcW w:w="124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89%</w:t>
            </w:r>
          </w:p>
        </w:tc>
        <w:tc>
          <w:tcPr>
            <w:tcW w:w="124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89%</w:t>
            </w:r>
          </w:p>
        </w:tc>
      </w:tr>
      <w:tr>
        <w:trPr>
          <w:trHeight w:val="239" w:hRule="atLeast"/>
        </w:trPr>
        <w:tc>
          <w:tcPr>
            <w:tcW w:w="1846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EU23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247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80%</w:t>
            </w:r>
          </w:p>
        </w:tc>
        <w:tc>
          <w:tcPr>
            <w:tcW w:w="1244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87%</w:t>
            </w:r>
          </w:p>
        </w:tc>
        <w:tc>
          <w:tcPr>
            <w:tcW w:w="1244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86%</w:t>
            </w:r>
          </w:p>
        </w:tc>
        <w:tc>
          <w:tcPr>
            <w:tcW w:w="1246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82%</w:t>
            </w:r>
          </w:p>
        </w:tc>
        <w:tc>
          <w:tcPr>
            <w:tcW w:w="1244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89%</w:t>
            </w:r>
          </w:p>
        </w:tc>
        <w:tc>
          <w:tcPr>
            <w:tcW w:w="1246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ind w:right="10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89%</w:t>
            </w:r>
          </w:p>
        </w:tc>
      </w:tr>
    </w:tbl>
    <w:p>
      <w:pPr>
        <w:spacing w:line="256" w:lineRule="auto" w:before="131"/>
        <w:ind w:left="183" w:right="41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Note: The time periods of “less than two years”, “two to three years” and “four to five years” refer to 0-23 months, 24-47 months and 48-71 months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since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completion,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respectively.</w:t>
      </w:r>
    </w:p>
    <w:p>
      <w:pPr>
        <w:spacing w:line="259" w:lineRule="auto" w:before="4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1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EU23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refers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to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6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23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countries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that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were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also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OECD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members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1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2019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(see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Endnote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4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for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37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countries).</w:t>
      </w:r>
    </w:p>
    <w:p>
      <w:pPr>
        <w:spacing w:line="205" w:lineRule="exact"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2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[24]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at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Glance</w:t>
      </w:r>
      <w:r>
        <w:rPr>
          <w:rFonts w:ascii="Arial"/>
          <w:i/>
          <w:spacing w:val="12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2020: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Indicators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hyperlink r:id="rId74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https://doi.org/10.1787/69096873-en</w:t>
        </w:r>
        <w:r>
          <w:rPr>
            <w:rFonts w:ascii="Microsoft Sans Serif"/>
            <w:w w:val="80"/>
            <w:position w:val="1"/>
            <w:sz w:val="18"/>
          </w:rPr>
          <w:t>,</w:t>
        </w:r>
        <w:r>
          <w:rPr>
            <w:rFonts w:ascii="Microsoft Sans Serif"/>
            <w:spacing w:val="16"/>
            <w:w w:val="80"/>
            <w:position w:val="1"/>
            <w:sz w:val="18"/>
          </w:rPr>
          <w:t> </w:t>
        </w:r>
      </w:hyperlink>
      <w:r>
        <w:rPr>
          <w:rFonts w:ascii="Microsoft Sans Serif"/>
          <w:w w:val="80"/>
          <w:position w:val="1"/>
          <w:sz w:val="18"/>
        </w:rPr>
        <w:t>Table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A3.5.</w:t>
      </w:r>
    </w:p>
    <w:p>
      <w:pPr>
        <w:spacing w:after="0" w:line="205" w:lineRule="exact"/>
        <w:jc w:val="left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9"/>
        <w:rPr>
          <w:rFonts w:ascii="Microsoft Sans Serif"/>
          <w:sz w:val="8"/>
        </w:rPr>
      </w:pPr>
    </w:p>
    <w:p>
      <w:pPr>
        <w:pStyle w:val="BodyText"/>
        <w:spacing w:line="271" w:lineRule="auto" w:before="93"/>
        <w:ind w:left="183" w:right="303"/>
        <w:jc w:val="both"/>
      </w:pPr>
      <w:r>
        <w:rPr/>
        <w:t>On the contrary, on average in OECD countries, employment rates increase as graduates gain working</w:t>
      </w:r>
      <w:r>
        <w:rPr>
          <w:spacing w:val="1"/>
        </w:rPr>
        <w:t> </w:t>
      </w:r>
      <w:r>
        <w:rPr/>
        <w:t>experience: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bachelor’s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aged</w:t>
      </w:r>
      <w:r>
        <w:rPr>
          <w:spacing w:val="1"/>
        </w:rPr>
        <w:t> </w:t>
      </w:r>
      <w:r>
        <w:rPr/>
        <w:t>15-34</w:t>
      </w:r>
      <w:r>
        <w:rPr>
          <w:spacing w:val="1"/>
        </w:rPr>
        <w:t> </w:t>
      </w:r>
      <w:r>
        <w:rPr/>
        <w:t>at</w:t>
      </w:r>
      <w:r>
        <w:rPr>
          <w:spacing w:val="-53"/>
        </w:rPr>
        <w:t> </w:t>
      </w:r>
      <w:r>
        <w:rPr/>
        <w:t>graduation were employed less than two years after their graduation, compared to 87% after two to three</w:t>
      </w:r>
      <w:r>
        <w:rPr>
          <w:spacing w:val="-53"/>
        </w:rPr>
        <w:t> </w:t>
      </w:r>
      <w:r>
        <w:rPr/>
        <w:t>years and 87% after four to five years. Similarly, for master’s degree holders, their employment rate rises</w:t>
      </w:r>
      <w:r>
        <w:rPr>
          <w:spacing w:val="-53"/>
        </w:rPr>
        <w:t> </w:t>
      </w:r>
      <w:r>
        <w:rPr/>
        <w:t>from</w:t>
      </w:r>
      <w:r>
        <w:rPr>
          <w:spacing w:val="-4"/>
        </w:rPr>
        <w:t> </w:t>
      </w:r>
      <w:r>
        <w:rPr/>
        <w:t>78%</w:t>
      </w:r>
      <w:r>
        <w:rPr>
          <w:spacing w:val="-7"/>
        </w:rPr>
        <w:t> </w:t>
      </w:r>
      <w:r>
        <w:rPr/>
        <w:t>two</w:t>
      </w:r>
      <w:r>
        <w:rPr>
          <w:spacing w:val="-4"/>
        </w:rPr>
        <w:t> </w:t>
      </w:r>
      <w:r>
        <w:rPr/>
        <w:t>years</w:t>
      </w:r>
      <w:r>
        <w:rPr>
          <w:spacing w:val="-6"/>
        </w:rPr>
        <w:t> </w:t>
      </w:r>
      <w:r>
        <w:rPr/>
        <w:t>after</w:t>
      </w:r>
      <w:r>
        <w:rPr>
          <w:spacing w:val="-7"/>
        </w:rPr>
        <w:t> </w:t>
      </w:r>
      <w:r>
        <w:rPr/>
        <w:t>graduation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81%</w:t>
      </w:r>
      <w:r>
        <w:rPr>
          <w:spacing w:val="-5"/>
        </w:rPr>
        <w:t> </w:t>
      </w:r>
      <w:r>
        <w:rPr/>
        <w:t>after</w:t>
      </w:r>
      <w:r>
        <w:rPr>
          <w:spacing w:val="-8"/>
        </w:rPr>
        <w:t> </w:t>
      </w:r>
      <w:r>
        <w:rPr/>
        <w:t>two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three</w:t>
      </w:r>
      <w:r>
        <w:rPr>
          <w:spacing w:val="-4"/>
        </w:rPr>
        <w:t> </w:t>
      </w:r>
      <w:r>
        <w:rPr/>
        <w:t>years,</w:t>
      </w:r>
      <w:r>
        <w:rPr>
          <w:spacing w:val="-5"/>
        </w:rPr>
        <w:t> </w:t>
      </w:r>
      <w:r>
        <w:rPr/>
        <w:t>before</w:t>
      </w:r>
      <w:r>
        <w:rPr>
          <w:spacing w:val="-8"/>
        </w:rPr>
        <w:t> </w:t>
      </w:r>
      <w:r>
        <w:rPr/>
        <w:t>falling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77%</w:t>
      </w:r>
      <w:r>
        <w:rPr>
          <w:spacing w:val="-5"/>
        </w:rPr>
        <w:t> </w:t>
      </w:r>
      <w:r>
        <w:rPr/>
        <w:t>after</w:t>
      </w:r>
      <w:r>
        <w:rPr>
          <w:spacing w:val="-8"/>
        </w:rPr>
        <w:t> </w:t>
      </w:r>
      <w:r>
        <w:rPr/>
        <w:t>four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five</w:t>
      </w:r>
      <w:r>
        <w:rPr>
          <w:spacing w:val="-53"/>
        </w:rPr>
        <w:t> </w:t>
      </w:r>
      <w:r>
        <w:rPr/>
        <w:t>years. Once again, the Slovak trend does not match the OECD average, as 83% of adults holding a</w:t>
      </w:r>
      <w:r>
        <w:rPr>
          <w:spacing w:val="1"/>
        </w:rPr>
        <w:t> </w:t>
      </w:r>
      <w:r>
        <w:rPr/>
        <w:t>master’s</w:t>
      </w:r>
      <w:r>
        <w:rPr>
          <w:spacing w:val="-5"/>
        </w:rPr>
        <w:t> </w:t>
      </w:r>
      <w:r>
        <w:rPr/>
        <w:t>degree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highest</w:t>
      </w:r>
      <w:r>
        <w:rPr>
          <w:spacing w:val="-5"/>
        </w:rPr>
        <w:t> </w:t>
      </w:r>
      <w:r>
        <w:rPr/>
        <w:t>attainment</w:t>
      </w:r>
      <w:r>
        <w:rPr>
          <w:spacing w:val="-5"/>
        </w:rPr>
        <w:t> </w:t>
      </w:r>
      <w:r>
        <w:rPr/>
        <w:t>aged</w:t>
      </w:r>
      <w:r>
        <w:rPr>
          <w:spacing w:val="-3"/>
        </w:rPr>
        <w:t> </w:t>
      </w:r>
      <w:r>
        <w:rPr/>
        <w:t>15-34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graduation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employed</w:t>
      </w:r>
      <w:r>
        <w:rPr>
          <w:spacing w:val="-3"/>
        </w:rPr>
        <w:t> </w:t>
      </w:r>
      <w:r>
        <w:rPr/>
        <w:t>less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two</w:t>
      </w:r>
      <w:r>
        <w:rPr>
          <w:spacing w:val="-2"/>
        </w:rPr>
        <w:t> </w:t>
      </w:r>
      <w:r>
        <w:rPr/>
        <w:t>years</w:t>
      </w:r>
      <w:r>
        <w:rPr>
          <w:spacing w:val="1"/>
        </w:rPr>
        <w:t> </w:t>
      </w:r>
      <w:r>
        <w:rPr/>
        <w:t>after graduation, compared to 89% after two to three years and 89% after four to five years on average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OECD</w:t>
      </w:r>
      <w:r>
        <w:rPr>
          <w:spacing w:val="-1"/>
        </w:rPr>
        <w:t> </w:t>
      </w:r>
      <w:r>
        <w:rPr/>
        <w:t>countries (</w:t>
      </w:r>
      <w:hyperlink w:history="true" w:anchor="_bookmark26">
        <w:r>
          <w:rPr/>
          <w:t>Table 2.4</w:t>
        </w:r>
      </w:hyperlink>
      <w:r>
        <w:rPr/>
        <w:t>).</w:t>
      </w:r>
    </w:p>
    <w:p>
      <w:pPr>
        <w:pStyle w:val="BodyText"/>
        <w:spacing w:line="271" w:lineRule="auto" w:before="121"/>
        <w:ind w:left="183" w:right="300"/>
        <w:jc w:val="both"/>
      </w:pPr>
      <w:r>
        <w:rPr>
          <w:spacing w:val="-1"/>
        </w:rPr>
        <w:t>Higher</w:t>
      </w:r>
      <w:r>
        <w:rPr>
          <w:spacing w:val="-10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>
          <w:spacing w:val="-1"/>
        </w:rPr>
        <w:t>graduates</w:t>
      </w:r>
      <w:r>
        <w:rPr>
          <w:spacing w:val="-7"/>
        </w:rPr>
        <w:t> </w:t>
      </w:r>
      <w:r>
        <w:rPr>
          <w:spacing w:val="-1"/>
        </w:rPr>
        <w:t>across</w:t>
      </w:r>
      <w:r>
        <w:rPr>
          <w:spacing w:val="-9"/>
        </w:rPr>
        <w:t> </w:t>
      </w:r>
      <w:r>
        <w:rPr>
          <w:spacing w:val="-1"/>
        </w:rPr>
        <w:t>OECD</w:t>
      </w:r>
      <w:r>
        <w:rPr>
          <w:spacing w:val="-10"/>
        </w:rPr>
        <w:t> </w:t>
      </w:r>
      <w:r>
        <w:rPr>
          <w:spacing w:val="-1"/>
        </w:rPr>
        <w:t>countries</w:t>
      </w:r>
      <w:r>
        <w:rPr>
          <w:spacing w:val="-9"/>
        </w:rPr>
        <w:t> </w:t>
      </w:r>
      <w:r>
        <w:rPr/>
        <w:t>enjoy</w:t>
      </w:r>
      <w:r>
        <w:rPr>
          <w:spacing w:val="-14"/>
        </w:rPr>
        <w:t> </w:t>
      </w:r>
      <w:r>
        <w:rPr/>
        <w:t>an</w:t>
      </w:r>
      <w:r>
        <w:rPr>
          <w:spacing w:val="-8"/>
        </w:rPr>
        <w:t> </w:t>
      </w:r>
      <w:r>
        <w:rPr/>
        <w:t>earnings</w:t>
      </w:r>
      <w:r>
        <w:rPr>
          <w:spacing w:val="-9"/>
        </w:rPr>
        <w:t> </w:t>
      </w:r>
      <w:r>
        <w:rPr/>
        <w:t>premium</w:t>
      </w:r>
      <w:r>
        <w:rPr>
          <w:spacing w:val="-2"/>
        </w:rPr>
        <w:t> </w:t>
      </w:r>
      <w:r>
        <w:rPr/>
        <w:t>compared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workers</w:t>
      </w:r>
      <w:r>
        <w:rPr>
          <w:spacing w:val="-7"/>
        </w:rPr>
        <w:t> </w:t>
      </w:r>
      <w:r>
        <w:rPr/>
        <w:t>with</w:t>
      </w:r>
      <w:r>
        <w:rPr>
          <w:spacing w:val="1"/>
        </w:rPr>
        <w:t> </w:t>
      </w:r>
      <w:r>
        <w:rPr/>
        <w:t>upper</w:t>
      </w:r>
      <w:r>
        <w:rPr>
          <w:spacing w:val="-7"/>
        </w:rPr>
        <w:t> </w:t>
      </w:r>
      <w:r>
        <w:rPr/>
        <w:t>secondary</w:t>
      </w:r>
      <w:r>
        <w:rPr>
          <w:spacing w:val="-10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highest</w:t>
      </w:r>
      <w:r>
        <w:rPr>
          <w:spacing w:val="-7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credential.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2019,</w:t>
      </w:r>
      <w:r>
        <w:rPr>
          <w:spacing w:val="-6"/>
        </w:rPr>
        <w:t> </w:t>
      </w:r>
      <w:r>
        <w:rPr/>
        <w:t>Slovak</w:t>
      </w:r>
      <w:r>
        <w:rPr>
          <w:spacing w:val="-4"/>
        </w:rPr>
        <w:t> </w:t>
      </w:r>
      <w:r>
        <w:rPr/>
        <w:t>graduates</w:t>
      </w:r>
      <w:r>
        <w:rPr>
          <w:spacing w:val="-6"/>
        </w:rPr>
        <w:t> </w:t>
      </w:r>
      <w:r>
        <w:rPr/>
        <w:t>aged</w:t>
      </w:r>
      <w:r>
        <w:rPr>
          <w:spacing w:val="-5"/>
        </w:rPr>
        <w:t> </w:t>
      </w:r>
      <w:r>
        <w:rPr/>
        <w:t>25-64</w:t>
      </w:r>
      <w:r>
        <w:rPr>
          <w:spacing w:val="1"/>
        </w:rPr>
        <w:t> </w:t>
      </w:r>
      <w:r>
        <w:rPr/>
        <w:t>earned 55% more than upper secondary graduates, consistent with the OECD average (54%). However,</w:t>
      </w:r>
      <w:r>
        <w:rPr>
          <w:spacing w:val="1"/>
        </w:rPr>
        <w:t> </w:t>
      </w:r>
      <w:r>
        <w:rPr/>
        <w:t>this average figure is partly a result of the distribution of graduates across levels of study – with a much</w:t>
      </w:r>
      <w:r>
        <w:rPr>
          <w:spacing w:val="1"/>
        </w:rPr>
        <w:t> </w:t>
      </w:r>
      <w:r>
        <w:rPr/>
        <w:t>greater share completing master’s degrees in the Slovak Republic than in the rest of the OECD – and of</w:t>
      </w:r>
      <w:r>
        <w:rPr>
          <w:spacing w:val="1"/>
        </w:rPr>
        <w:t> </w:t>
      </w:r>
      <w:r>
        <w:rPr/>
        <w:t>wide differences by level of study, as illustrated in </w:t>
      </w:r>
      <w:hyperlink w:history="true" w:anchor="_bookmark27">
        <w:r>
          <w:rPr/>
          <w:t>Table 2.5. </w:t>
        </w:r>
      </w:hyperlink>
      <w:r>
        <w:rPr/>
        <w:t>Graduates with a master’s degree or above</w:t>
      </w:r>
      <w:r>
        <w:rPr>
          <w:spacing w:val="1"/>
        </w:rPr>
        <w:t> </w:t>
      </w:r>
      <w:r>
        <w:rPr/>
        <w:t>enjoy an earnings premium that is about two-thirds of the average figure in the OECD (60% compared to</w:t>
      </w:r>
      <w:r>
        <w:rPr>
          <w:spacing w:val="1"/>
        </w:rPr>
        <w:t> </w:t>
      </w:r>
      <w:r>
        <w:rPr/>
        <w:t>89%). In contrast, this premium is only half in the Slovak Republic, compared to the OECD average for</w:t>
      </w:r>
      <w:r>
        <w:rPr>
          <w:spacing w:val="1"/>
        </w:rPr>
        <w:t> </w:t>
      </w:r>
      <w:r>
        <w:rPr/>
        <w:t>bachelor’s degree graduates (23% compared to 43%). However, the earnings premium for short-cycle</w:t>
      </w:r>
      <w:r>
        <w:rPr>
          <w:spacing w:val="1"/>
        </w:rPr>
        <w:t> </w:t>
      </w:r>
      <w:r>
        <w:rPr/>
        <w:t>tertiary</w:t>
      </w:r>
      <w:r>
        <w:rPr>
          <w:spacing w:val="-9"/>
        </w:rPr>
        <w:t> </w:t>
      </w:r>
      <w:r>
        <w:rPr/>
        <w:t>graduates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almost</w:t>
      </w:r>
      <w:r>
        <w:rPr>
          <w:spacing w:val="-5"/>
        </w:rPr>
        <w:t> </w:t>
      </w:r>
      <w:r>
        <w:rPr/>
        <w:t>1.5</w:t>
      </w:r>
      <w:r>
        <w:rPr>
          <w:spacing w:val="-6"/>
        </w:rPr>
        <w:t> </w:t>
      </w:r>
      <w:r>
        <w:rPr/>
        <w:t>times</w:t>
      </w:r>
      <w:r>
        <w:rPr>
          <w:spacing w:val="-5"/>
        </w:rPr>
        <w:t> </w:t>
      </w:r>
      <w:r>
        <w:rPr/>
        <w:t>higher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5"/>
        </w:rPr>
        <w:t> </w:t>
      </w:r>
      <w:r>
        <w:rPr/>
        <w:t>Republic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average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OECD,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19%</w:t>
      </w:r>
      <w:r>
        <w:rPr>
          <w:spacing w:val="1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14%.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183" w:right="0" w:firstLine="0"/>
        <w:jc w:val="both"/>
        <w:rPr>
          <w:rFonts w:ascii="Arial"/>
          <w:b/>
          <w:sz w:val="24"/>
        </w:rPr>
      </w:pPr>
      <w:bookmarkStart w:name="_bookmark27" w:id="67"/>
      <w:bookmarkEnd w:id="67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2.5.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Relative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earnings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workers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2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Republic,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by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educational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attainment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(2018)</w:t>
      </w:r>
    </w:p>
    <w:p>
      <w:pPr>
        <w:pStyle w:val="Heading6"/>
        <w:spacing w:before="190"/>
        <w:jc w:val="both"/>
      </w:pPr>
      <w:r>
        <w:rPr>
          <w:w w:val="80"/>
        </w:rPr>
        <w:t>25-64</w:t>
      </w:r>
      <w:r>
        <w:rPr>
          <w:spacing w:val="12"/>
          <w:w w:val="80"/>
        </w:rPr>
        <w:t> </w:t>
      </w:r>
      <w:r>
        <w:rPr>
          <w:w w:val="80"/>
        </w:rPr>
        <w:t>year-olds</w:t>
      </w:r>
      <w:r>
        <w:rPr>
          <w:spacing w:val="13"/>
          <w:w w:val="80"/>
        </w:rPr>
        <w:t> </w:t>
      </w:r>
      <w:r>
        <w:rPr>
          <w:w w:val="80"/>
        </w:rPr>
        <w:t>with</w:t>
      </w:r>
      <w:r>
        <w:rPr>
          <w:spacing w:val="12"/>
          <w:w w:val="80"/>
        </w:rPr>
        <w:t> </w:t>
      </w:r>
      <w:r>
        <w:rPr>
          <w:w w:val="80"/>
        </w:rPr>
        <w:t>income</w:t>
      </w:r>
      <w:r>
        <w:rPr>
          <w:spacing w:val="12"/>
          <w:w w:val="80"/>
        </w:rPr>
        <w:t> </w:t>
      </w:r>
      <w:r>
        <w:rPr>
          <w:w w:val="80"/>
        </w:rPr>
        <w:t>from</w:t>
      </w:r>
      <w:r>
        <w:rPr>
          <w:spacing w:val="12"/>
          <w:w w:val="80"/>
        </w:rPr>
        <w:t> </w:t>
      </w:r>
      <w:r>
        <w:rPr>
          <w:w w:val="80"/>
        </w:rPr>
        <w:t>employment</w:t>
      </w:r>
      <w:r>
        <w:rPr>
          <w:spacing w:val="13"/>
          <w:w w:val="80"/>
        </w:rPr>
        <w:t> </w:t>
      </w:r>
      <w:r>
        <w:rPr>
          <w:w w:val="80"/>
        </w:rPr>
        <w:t>(full-time</w:t>
      </w:r>
      <w:r>
        <w:rPr>
          <w:spacing w:val="12"/>
          <w:w w:val="80"/>
        </w:rPr>
        <w:t> </w:t>
      </w:r>
      <w:r>
        <w:rPr>
          <w:w w:val="80"/>
        </w:rPr>
        <w:t>full-year</w:t>
      </w:r>
      <w:r>
        <w:rPr>
          <w:spacing w:val="12"/>
          <w:w w:val="80"/>
        </w:rPr>
        <w:t> </w:t>
      </w:r>
      <w:r>
        <w:rPr>
          <w:w w:val="80"/>
        </w:rPr>
        <w:t>workers)</w:t>
      </w:r>
    </w:p>
    <w:p>
      <w:pPr>
        <w:pStyle w:val="BodyText"/>
        <w:spacing w:before="3"/>
        <w:rPr>
          <w:rFonts w:ascii="Microsoft Sans Serif"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858"/>
        <w:gridCol w:w="1860"/>
        <w:gridCol w:w="1860"/>
        <w:gridCol w:w="1860"/>
      </w:tblGrid>
      <w:tr>
        <w:trPr>
          <w:trHeight w:val="241" w:hRule="atLeast"/>
        </w:trPr>
        <w:tc>
          <w:tcPr>
            <w:tcW w:w="1874" w:type="dxa"/>
            <w:vMerge w:val="restart"/>
            <w:tcBorders>
              <w:left w:val="nil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38" w:type="dxa"/>
            <w:gridSpan w:val="4"/>
            <w:tcBorders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189" w:lineRule="exact" w:before="32"/>
              <w:ind w:left="2284" w:right="226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Baseline: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Upper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secondary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=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100</w:t>
            </w:r>
          </w:p>
        </w:tc>
      </w:tr>
      <w:tr>
        <w:trPr>
          <w:trHeight w:val="429" w:hRule="atLeast"/>
        </w:trPr>
        <w:tc>
          <w:tcPr>
            <w:tcW w:w="1874" w:type="dxa"/>
            <w:vMerge/>
            <w:tcBorders>
              <w:top w:val="nil"/>
              <w:left w:val="nil"/>
              <w:bottom w:val="single" w:sz="4" w:space="0" w:color="4E81BD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117"/>
              <w:ind w:left="20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Below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upper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secondary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8"/>
              <w:ind w:left="636" w:right="336" w:hanging="25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Short-cycle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higher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education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single" w:sz="6" w:space="0" w:color="D2D2D2"/>
            </w:tcBorders>
          </w:tcPr>
          <w:p>
            <w:pPr>
              <w:pStyle w:val="TableParagraph"/>
              <w:spacing w:before="117"/>
              <w:ind w:left="195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Bachelor’s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or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equivalent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4" w:space="0" w:color="4E81BD"/>
              <w:right w:val="nil"/>
            </w:tcBorders>
          </w:tcPr>
          <w:p>
            <w:pPr>
              <w:pStyle w:val="TableParagraph"/>
              <w:spacing w:line="200" w:lineRule="atLeast" w:before="8"/>
              <w:ind w:left="622" w:right="272" w:hanging="312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Master’s,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doctoral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or</w:t>
            </w:r>
            <w:r>
              <w:rPr>
                <w:rFonts w:ascii="Microsoft Sans Serif" w:hAns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equivalent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4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858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78</w:t>
            </w:r>
          </w:p>
        </w:tc>
        <w:tc>
          <w:tcPr>
            <w:tcW w:w="1860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114</w:t>
            </w:r>
          </w:p>
        </w:tc>
        <w:tc>
          <w:tcPr>
            <w:tcW w:w="1860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123</w:t>
            </w:r>
          </w:p>
        </w:tc>
        <w:tc>
          <w:tcPr>
            <w:tcW w:w="1860" w:type="dxa"/>
            <w:tcBorders>
              <w:top w:val="single" w:sz="4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160</w:t>
            </w:r>
          </w:p>
        </w:tc>
      </w:tr>
      <w:tr>
        <w:trPr>
          <w:trHeight w:val="237" w:hRule="atLeast"/>
        </w:trPr>
        <w:tc>
          <w:tcPr>
            <w:tcW w:w="187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83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119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143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189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EU23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85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120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136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169</w:t>
            </w:r>
          </w:p>
        </w:tc>
      </w:tr>
    </w:tbl>
    <w:p>
      <w:pPr>
        <w:spacing w:before="131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Slovak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Republic: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Index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100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combined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ISCED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Levels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3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and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4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in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ISCED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2011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classification.</w:t>
      </w:r>
    </w:p>
    <w:p>
      <w:pPr>
        <w:spacing w:line="259" w:lineRule="auto" w:before="15"/>
        <w:ind w:left="183" w:right="41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EU23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refers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to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average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23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EU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countries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that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were</w:t>
      </w:r>
      <w:r>
        <w:rPr>
          <w:rFonts w:ascii="Microsoft Sans Serif"/>
          <w:spacing w:val="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also</w:t>
      </w:r>
      <w:r>
        <w:rPr>
          <w:rFonts w:ascii="Microsoft Sans Serif"/>
          <w:spacing w:val="7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OECD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members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as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2019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(see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Endnote</w:t>
      </w:r>
      <w:r>
        <w:rPr>
          <w:rFonts w:ascii="Microsoft Sans Serif"/>
          <w:spacing w:val="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4</w:t>
      </w:r>
      <w:r>
        <w:rPr>
          <w:rFonts w:ascii="Microsoft Sans Serif"/>
          <w:spacing w:val="5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for</w:t>
      </w:r>
      <w:r>
        <w:rPr>
          <w:rFonts w:ascii="Microsoft Sans Serif"/>
          <w:spacing w:val="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37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countries).</w:t>
      </w:r>
    </w:p>
    <w:p>
      <w:pPr>
        <w:spacing w:line="205" w:lineRule="exact"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2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[24]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at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Glance</w:t>
      </w:r>
      <w:r>
        <w:rPr>
          <w:rFonts w:ascii="Arial"/>
          <w:i/>
          <w:spacing w:val="12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2020: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Indicators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hyperlink r:id="rId74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https://doi.org/10.1787/69096873-en</w:t>
        </w:r>
        <w:r>
          <w:rPr>
            <w:rFonts w:ascii="Microsoft Sans Serif"/>
            <w:w w:val="80"/>
            <w:position w:val="1"/>
            <w:sz w:val="18"/>
          </w:rPr>
          <w:t>,</w:t>
        </w:r>
        <w:r>
          <w:rPr>
            <w:rFonts w:ascii="Microsoft Sans Serif"/>
            <w:spacing w:val="17"/>
            <w:w w:val="80"/>
            <w:position w:val="1"/>
            <w:sz w:val="18"/>
          </w:rPr>
          <w:t> </w:t>
        </w:r>
      </w:hyperlink>
      <w:r>
        <w:rPr>
          <w:rFonts w:ascii="Microsoft Sans Serif"/>
          <w:w w:val="80"/>
          <w:position w:val="1"/>
          <w:sz w:val="18"/>
        </w:rPr>
        <w:t>Table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A4.1.</w:t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pStyle w:val="BodyText"/>
        <w:spacing w:line="271" w:lineRule="auto" w:before="93"/>
        <w:ind w:left="183" w:right="301"/>
        <w:jc w:val="both"/>
      </w:pPr>
      <w:r>
        <w:rPr/>
        <w:t>As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OECD,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earnings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higher</w:t>
      </w:r>
      <w:r>
        <w:rPr>
          <w:spacing w:val="-4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graduates</w:t>
      </w:r>
      <w:r>
        <w:rPr>
          <w:spacing w:val="-3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age.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2018,</w:t>
      </w:r>
      <w:r>
        <w:rPr>
          <w:spacing w:val="-4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graduates</w:t>
      </w:r>
      <w:r>
        <w:rPr>
          <w:spacing w:val="-11"/>
        </w:rPr>
        <w:t> </w:t>
      </w:r>
      <w:r>
        <w:rPr/>
        <w:t>aged</w:t>
      </w:r>
      <w:r>
        <w:rPr>
          <w:spacing w:val="-7"/>
        </w:rPr>
        <w:t> </w:t>
      </w:r>
      <w:r>
        <w:rPr/>
        <w:t>45-54</w:t>
      </w:r>
      <w:r>
        <w:rPr>
          <w:spacing w:val="-10"/>
        </w:rPr>
        <w:t> </w:t>
      </w:r>
      <w:r>
        <w:rPr/>
        <w:t>earned</w:t>
      </w:r>
      <w:r>
        <w:rPr>
          <w:spacing w:val="-10"/>
        </w:rPr>
        <w:t> </w:t>
      </w:r>
      <w:r>
        <w:rPr/>
        <w:t>28%</w:t>
      </w:r>
      <w:r>
        <w:rPr>
          <w:spacing w:val="-9"/>
        </w:rPr>
        <w:t> </w:t>
      </w:r>
      <w:r>
        <w:rPr/>
        <w:t>more</w:t>
      </w:r>
      <w:r>
        <w:rPr>
          <w:spacing w:val="-11"/>
        </w:rPr>
        <w:t> </w:t>
      </w:r>
      <w:r>
        <w:rPr/>
        <w:t>than</w:t>
      </w:r>
      <w:r>
        <w:rPr>
          <w:spacing w:val="-12"/>
        </w:rPr>
        <w:t> </w:t>
      </w:r>
      <w:r>
        <w:rPr/>
        <w:t>their</w:t>
      </w:r>
      <w:r>
        <w:rPr>
          <w:spacing w:val="-10"/>
        </w:rPr>
        <w:t> </w:t>
      </w:r>
      <w:r>
        <w:rPr/>
        <w:t>peers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upper</w:t>
      </w:r>
      <w:r>
        <w:rPr>
          <w:spacing w:val="-11"/>
        </w:rPr>
        <w:t> </w:t>
      </w:r>
      <w:r>
        <w:rPr/>
        <w:t>secondary</w:t>
      </w:r>
      <w:r>
        <w:rPr>
          <w:spacing w:val="-12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5"/>
        </w:rPr>
        <w:t>Slovak Republic, which is well below the age-related earning premium observed on average among OECD</w:t>
      </w:r>
      <w:r>
        <w:rPr>
          <w:spacing w:val="1"/>
          <w:w w:val="95"/>
        </w:rPr>
        <w:t> </w:t>
      </w:r>
      <w:r>
        <w:rPr>
          <w:w w:val="95"/>
        </w:rPr>
        <w:t>countries (48%). It is below that of neighbouring countries, such as the Czech Republic (34%) and Hungary</w:t>
      </w:r>
      <w:r>
        <w:rPr>
          <w:spacing w:val="1"/>
          <w:w w:val="95"/>
        </w:rPr>
        <w:t> </w:t>
      </w:r>
      <w:r>
        <w:rPr/>
        <w:t>(30%), but is above countries with a low premium for older graduates, such as Estonia, Latvia and</w:t>
      </w:r>
      <w:r>
        <w:rPr>
          <w:spacing w:val="1"/>
        </w:rPr>
        <w:t> </w:t>
      </w:r>
      <w:r>
        <w:rPr/>
        <w:t>Lithuania,</w:t>
      </w:r>
      <w:r>
        <w:rPr>
          <w:spacing w:val="-7"/>
        </w:rPr>
        <w:t> </w:t>
      </w:r>
      <w:r>
        <w:rPr/>
        <w:t>where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below</w:t>
      </w:r>
      <w:r>
        <w:rPr>
          <w:spacing w:val="-7"/>
        </w:rPr>
        <w:t> </w:t>
      </w:r>
      <w:r>
        <w:rPr/>
        <w:t>10%.</w:t>
      </w:r>
      <w:r>
        <w:rPr>
          <w:spacing w:val="-7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those</w:t>
      </w:r>
      <w:r>
        <w:rPr>
          <w:spacing w:val="-5"/>
        </w:rPr>
        <w:t> </w:t>
      </w:r>
      <w:r>
        <w:rPr/>
        <w:t>without</w:t>
      </w:r>
      <w:r>
        <w:rPr>
          <w:spacing w:val="-6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education,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4"/>
        </w:rPr>
        <w:t> </w:t>
      </w:r>
      <w:r>
        <w:rPr/>
        <w:t>Republic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 few OECD countries, alongside Estonia, Latvia and Lithuania, where older workers with an upper</w:t>
      </w:r>
      <w:r>
        <w:rPr>
          <w:spacing w:val="1"/>
        </w:rPr>
        <w:t> </w:t>
      </w:r>
      <w:r>
        <w:rPr>
          <w:spacing w:val="-1"/>
        </w:rPr>
        <w:t>secondary</w:t>
      </w:r>
      <w:r>
        <w:rPr>
          <w:spacing w:val="-13"/>
        </w:rPr>
        <w:t> </w:t>
      </w:r>
      <w:r>
        <w:rPr>
          <w:spacing w:val="-1"/>
        </w:rPr>
        <w:t>or</w:t>
      </w:r>
      <w:r>
        <w:rPr>
          <w:spacing w:val="-9"/>
        </w:rPr>
        <w:t> </w:t>
      </w:r>
      <w:r>
        <w:rPr>
          <w:spacing w:val="-1"/>
        </w:rPr>
        <w:t>post-secondary</w:t>
      </w:r>
      <w:r>
        <w:rPr>
          <w:spacing w:val="-13"/>
        </w:rPr>
        <w:t> </w:t>
      </w:r>
      <w:r>
        <w:rPr>
          <w:spacing w:val="-1"/>
        </w:rPr>
        <w:t>non-tertiary</w:t>
      </w:r>
      <w:r>
        <w:rPr>
          <w:spacing w:val="-12"/>
        </w:rPr>
        <w:t> </w:t>
      </w:r>
      <w:r>
        <w:rPr>
          <w:spacing w:val="-1"/>
        </w:rPr>
        <w:t>education</w:t>
      </w:r>
      <w:r>
        <w:rPr>
          <w:spacing w:val="-10"/>
        </w:rPr>
        <w:t> </w:t>
      </w:r>
      <w:r>
        <w:rPr/>
        <w:t>earn</w:t>
      </w:r>
      <w:r>
        <w:rPr>
          <w:spacing w:val="-10"/>
        </w:rPr>
        <w:t> </w:t>
      </w:r>
      <w:r>
        <w:rPr/>
        <w:t>less</w:t>
      </w:r>
      <w:r>
        <w:rPr>
          <w:spacing w:val="-8"/>
        </w:rPr>
        <w:t> </w:t>
      </w:r>
      <w:r>
        <w:rPr/>
        <w:t>than</w:t>
      </w:r>
      <w:r>
        <w:rPr>
          <w:spacing w:val="-5"/>
        </w:rPr>
        <w:t> </w:t>
      </w:r>
      <w:r>
        <w:rPr/>
        <w:t>younger</w:t>
      </w:r>
      <w:r>
        <w:rPr>
          <w:spacing w:val="-6"/>
        </w:rPr>
        <w:t> </w:t>
      </w:r>
      <w:r>
        <w:rPr/>
        <w:t>workers</w:t>
      </w:r>
      <w:r>
        <w:rPr>
          <w:spacing w:val="-4"/>
        </w:rPr>
        <w:t> </w:t>
      </w:r>
      <w:r>
        <w:rPr/>
        <w:t>(OECD,</w:t>
      </w:r>
      <w:r>
        <w:rPr>
          <w:spacing w:val="-8"/>
        </w:rPr>
        <w:t> </w:t>
      </w:r>
      <w:r>
        <w:rPr/>
        <w:t>2020,</w:t>
      </w:r>
      <w:r>
        <w:rPr>
          <w:spacing w:val="-9"/>
        </w:rPr>
        <w:t> </w:t>
      </w:r>
      <w:r>
        <w:rPr/>
        <w:t>pp.</w:t>
      </w:r>
      <w:r>
        <w:rPr>
          <w:spacing w:val="2"/>
        </w:rPr>
        <w:t> </w:t>
      </w:r>
      <w:r>
        <w:rPr/>
        <w:t>90,</w:t>
      </w:r>
      <w:r>
        <w:rPr>
          <w:spacing w:val="1"/>
        </w:rPr>
        <w:t> </w:t>
      </w:r>
      <w:r>
        <w:rPr>
          <w:position w:val="1"/>
        </w:rPr>
        <w:t>Figure A4.3</w:t>
      </w:r>
      <w:r>
        <w:rPr>
          <w:sz w:val="13"/>
        </w:rPr>
        <w:t>[24]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The moderate earnings premium of higher education graduates compared to those with upper secondary</w:t>
      </w:r>
      <w:r>
        <w:rPr>
          <w:spacing w:val="-53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Slovak</w:t>
      </w:r>
      <w:r>
        <w:rPr>
          <w:spacing w:val="4"/>
        </w:rPr>
        <w:t> </w:t>
      </w:r>
      <w:r>
        <w:rPr>
          <w:spacing w:val="-1"/>
        </w:rPr>
        <w:t>Republic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relatively</w:t>
      </w:r>
      <w:r>
        <w:rPr>
          <w:spacing w:val="-14"/>
        </w:rPr>
        <w:t> </w:t>
      </w:r>
      <w:r>
        <w:rPr>
          <w:spacing w:val="-1"/>
        </w:rPr>
        <w:t>low</w:t>
      </w:r>
      <w:r>
        <w:rPr>
          <w:spacing w:val="-15"/>
        </w:rPr>
        <w:t> </w:t>
      </w:r>
      <w:r>
        <w:rPr>
          <w:spacing w:val="-1"/>
        </w:rPr>
        <w:t>progression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earnings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age</w:t>
      </w:r>
      <w:r>
        <w:rPr>
          <w:spacing w:val="-13"/>
        </w:rPr>
        <w:t> </w:t>
      </w:r>
      <w:r>
        <w:rPr/>
        <w:t>may</w:t>
      </w:r>
      <w:r>
        <w:rPr>
          <w:spacing w:val="-16"/>
        </w:rPr>
        <w:t> </w:t>
      </w:r>
      <w:r>
        <w:rPr/>
        <w:t>in</w:t>
      </w:r>
      <w:r>
        <w:rPr>
          <w:spacing w:val="-13"/>
        </w:rPr>
        <w:t> </w:t>
      </w:r>
      <w:r>
        <w:rPr/>
        <w:t>part</w:t>
      </w:r>
      <w:r>
        <w:rPr>
          <w:spacing w:val="-13"/>
        </w:rPr>
        <w:t> </w:t>
      </w:r>
      <w:r>
        <w:rPr/>
        <w:t>explain</w:t>
      </w:r>
      <w:r>
        <w:rPr>
          <w:spacing w:val="1"/>
        </w:rPr>
        <w:t> </w:t>
      </w:r>
      <w:r>
        <w:rPr/>
        <w:t>falling</w:t>
      </w:r>
      <w:r>
        <w:rPr>
          <w:spacing w:val="-14"/>
        </w:rPr>
        <w:t> </w:t>
      </w:r>
      <w:r>
        <w:rPr/>
        <w:t>rates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applications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enrolment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higher</w:t>
      </w:r>
      <w:r>
        <w:rPr>
          <w:spacing w:val="-13"/>
        </w:rPr>
        <w:t> </w:t>
      </w:r>
      <w:r>
        <w:rPr/>
        <w:t>education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Slovak</w:t>
      </w:r>
      <w:r>
        <w:rPr>
          <w:spacing w:val="2"/>
        </w:rPr>
        <w:t> </w:t>
      </w:r>
      <w:r>
        <w:rPr/>
        <w:t>Republic,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discussed</w:t>
      </w:r>
      <w:r>
        <w:rPr>
          <w:spacing w:val="-14"/>
        </w:rPr>
        <w:t> </w:t>
      </w:r>
      <w:r>
        <w:rPr/>
        <w:t>earlier.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1"/>
        <w:jc w:val="both"/>
      </w:pPr>
      <w:r>
        <w:rPr/>
        <w:t>Furthermore, many graduates work in jobs that are not well matched to their programme of study. As</w:t>
      </w:r>
      <w:r>
        <w:rPr>
          <w:spacing w:val="1"/>
        </w:rPr>
        <w:t> </w:t>
      </w:r>
      <w:r>
        <w:rPr/>
        <w:t>shown in </w:t>
      </w:r>
      <w:hyperlink w:history="true" w:anchor="_bookmark28">
        <w:r>
          <w:rPr/>
          <w:t>Figure 2.9, </w:t>
        </w:r>
      </w:hyperlink>
      <w:r>
        <w:rPr/>
        <w:t>while qualification mismatch – having a qualification that is higher or lower than that</w:t>
      </w:r>
      <w:r>
        <w:rPr>
          <w:spacing w:val="1"/>
        </w:rPr>
        <w:t> </w:t>
      </w:r>
      <w:r>
        <w:rPr/>
        <w:t>required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one’s</w:t>
      </w:r>
      <w:r>
        <w:rPr>
          <w:spacing w:val="-8"/>
        </w:rPr>
        <w:t> </w:t>
      </w:r>
      <w:r>
        <w:rPr/>
        <w:t>job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lower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Slovak</w:t>
      </w:r>
      <w:r>
        <w:rPr>
          <w:spacing w:val="-6"/>
        </w:rPr>
        <w:t> </w:t>
      </w:r>
      <w:r>
        <w:rPr/>
        <w:t>Republic</w:t>
      </w:r>
      <w:r>
        <w:rPr>
          <w:spacing w:val="-8"/>
        </w:rPr>
        <w:t> </w:t>
      </w:r>
      <w:r>
        <w:rPr/>
        <w:t>(20%)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average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OECD</w:t>
      </w:r>
      <w:r>
        <w:rPr>
          <w:spacing w:val="1"/>
        </w:rPr>
        <w:t> </w:t>
      </w:r>
      <w:r>
        <w:rPr/>
        <w:t>(36%), the Slovak Republic had the fourth highest rate of field-of-study mismatch among countries with</w:t>
      </w:r>
      <w:r>
        <w:rPr>
          <w:spacing w:val="1"/>
        </w:rPr>
        <w:t> </w:t>
      </w:r>
      <w:r>
        <w:rPr/>
        <w:t>available data, at 37%, above the OECD average of 32%. Moreover, while the methodology tends to</w:t>
      </w:r>
      <w:r>
        <w:rPr>
          <w:spacing w:val="1"/>
        </w:rPr>
        <w:t> </w:t>
      </w:r>
      <w:r>
        <w:rPr/>
        <w:t>overestimate over-qualification in countries experiencing rapid higher education attainment, the Slovak</w:t>
      </w:r>
      <w:r>
        <w:rPr>
          <w:spacing w:val="1"/>
        </w:rPr>
        <w:t> </w:t>
      </w:r>
      <w:r>
        <w:rPr/>
        <w:t>Republic was the EU/European Economic Area (EEA) country with the highest share of over-qualified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 graduates.</w:t>
      </w:r>
    </w:p>
    <w:p>
      <w:pPr>
        <w:pStyle w:val="BodyText"/>
        <w:spacing w:line="271" w:lineRule="auto" w:before="119"/>
        <w:ind w:left="183" w:right="303"/>
        <w:jc w:val="both"/>
      </w:pPr>
      <w:r>
        <w:rPr/>
        <w:t>OECD analysis further shows that the imbalance between graduate skills and the demand for skills in the</w:t>
      </w:r>
      <w:r>
        <w:rPr>
          <w:spacing w:val="-53"/>
        </w:rPr>
        <w:t> </w:t>
      </w:r>
      <w:r>
        <w:rPr>
          <w:spacing w:val="-1"/>
        </w:rPr>
        <w:t>labour</w:t>
      </w:r>
      <w:r>
        <w:rPr>
          <w:spacing w:val="-12"/>
        </w:rPr>
        <w:t> </w:t>
      </w:r>
      <w:r>
        <w:rPr>
          <w:spacing w:val="-1"/>
        </w:rPr>
        <w:t>market</w:t>
      </w:r>
      <w:r>
        <w:rPr>
          <w:spacing w:val="-13"/>
        </w:rPr>
        <w:t> </w:t>
      </w:r>
      <w:r>
        <w:rPr>
          <w:spacing w:val="-1"/>
        </w:rPr>
        <w:t>comes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cost: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1"/>
        </w:rPr>
        <w:t> </w:t>
      </w:r>
      <w:r>
        <w:rPr>
          <w:spacing w:val="-1"/>
        </w:rPr>
        <w:t>reduces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productivity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salaries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Slovak</w:t>
      </w:r>
      <w:r>
        <w:rPr>
          <w:spacing w:val="-10"/>
        </w:rPr>
        <w:t> </w:t>
      </w:r>
      <w:r>
        <w:rPr/>
        <w:t>workers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an</w:t>
      </w:r>
      <w:r>
        <w:rPr>
          <w:spacing w:val="-1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6%,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high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by</w:t>
      </w:r>
      <w:r>
        <w:rPr>
          <w:spacing w:val="-8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standards</w:t>
      </w:r>
      <w:r>
        <w:rPr>
          <w:spacing w:val="-6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gains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labour</w:t>
      </w:r>
      <w:r>
        <w:rPr>
          <w:spacing w:val="-7"/>
        </w:rPr>
        <w:t> </w:t>
      </w:r>
      <w:r>
        <w:rPr/>
        <w:t>productivity</w:t>
      </w:r>
      <w:r>
        <w:rPr>
          <w:spacing w:val="-10"/>
        </w:rPr>
        <w:t> </w:t>
      </w:r>
      <w:r>
        <w:rPr/>
        <w:t>from</w:t>
      </w:r>
      <w:r>
        <w:rPr>
          <w:spacing w:val="-3"/>
        </w:rPr>
        <w:t> </w:t>
      </w:r>
      <w:r>
        <w:rPr/>
        <w:t>reducing</w:t>
      </w:r>
      <w:r>
        <w:rPr>
          <w:spacing w:val="-7"/>
        </w:rPr>
        <w:t> </w:t>
      </w:r>
      <w:r>
        <w:rPr/>
        <w:t>skill</w:t>
      </w:r>
      <w:r>
        <w:rPr>
          <w:spacing w:val="1"/>
        </w:rPr>
        <w:t> </w:t>
      </w:r>
      <w:r>
        <w:rPr>
          <w:position w:val="1"/>
        </w:rPr>
        <w:t>mismatch</w:t>
      </w:r>
      <w:r>
        <w:rPr>
          <w:spacing w:val="-2"/>
          <w:position w:val="1"/>
        </w:rPr>
        <w:t> </w:t>
      </w:r>
      <w:r>
        <w:rPr>
          <w:position w:val="1"/>
        </w:rPr>
        <w:t>ranges</w:t>
      </w:r>
      <w:r>
        <w:rPr>
          <w:spacing w:val="-1"/>
          <w:position w:val="1"/>
        </w:rPr>
        <w:t> </w:t>
      </w:r>
      <w:r>
        <w:rPr>
          <w:position w:val="1"/>
        </w:rPr>
        <w:t>from</w:t>
      </w:r>
      <w:r>
        <w:rPr>
          <w:spacing w:val="3"/>
          <w:position w:val="1"/>
        </w:rPr>
        <w:t> </w:t>
      </w:r>
      <w:r>
        <w:rPr>
          <w:position w:val="1"/>
        </w:rPr>
        <w:t>2.3%</w:t>
      </w:r>
      <w:r>
        <w:rPr>
          <w:spacing w:val="-1"/>
          <w:position w:val="1"/>
        </w:rPr>
        <w:t> </w:t>
      </w:r>
      <w:r>
        <w:rPr>
          <w:position w:val="1"/>
        </w:rPr>
        <w:t>in Poland</w:t>
      </w:r>
      <w:r>
        <w:rPr>
          <w:spacing w:val="-2"/>
          <w:position w:val="1"/>
        </w:rPr>
        <w:t> </w:t>
      </w:r>
      <w:r>
        <w:rPr>
          <w:position w:val="1"/>
        </w:rPr>
        <w:t>to</w:t>
      </w:r>
      <w:r>
        <w:rPr>
          <w:spacing w:val="1"/>
          <w:position w:val="1"/>
        </w:rPr>
        <w:t> </w:t>
      </w:r>
      <w:r>
        <w:rPr>
          <w:position w:val="1"/>
        </w:rPr>
        <w:t>10.1% in</w:t>
      </w:r>
      <w:r>
        <w:rPr>
          <w:spacing w:val="-2"/>
          <w:position w:val="1"/>
        </w:rPr>
        <w:t> </w:t>
      </w:r>
      <w:r>
        <w:rPr>
          <w:position w:val="1"/>
        </w:rPr>
        <w:t>Italy</w:t>
      </w:r>
      <w:r>
        <w:rPr>
          <w:spacing w:val="2"/>
          <w:position w:val="1"/>
        </w:rPr>
        <w:t> </w:t>
      </w:r>
      <w:r>
        <w:rPr>
          <w:position w:val="1"/>
        </w:rPr>
        <w:t>(Giorno,</w:t>
      </w:r>
      <w:r>
        <w:rPr>
          <w:spacing w:val="-3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[34]</w:t>
      </w:r>
      <w:r>
        <w:rPr>
          <w:position w:val="1"/>
        </w:rPr>
        <w:t>).</w:t>
      </w:r>
    </w:p>
    <w:p>
      <w:pPr>
        <w:pStyle w:val="BodyText"/>
        <w:spacing w:line="271" w:lineRule="auto" w:before="123"/>
        <w:ind w:left="183" w:right="301"/>
        <w:jc w:val="both"/>
      </w:pPr>
      <w:r>
        <w:rPr/>
        <w:t>Many factors contribute to skills mistmatches in the labour market. Recent OECD analysis suggests that,</w:t>
      </w:r>
      <w:r>
        <w:rPr>
          <w:spacing w:val="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Slovak</w:t>
      </w:r>
      <w:r>
        <w:rPr>
          <w:spacing w:val="-7"/>
        </w:rPr>
        <w:t> </w:t>
      </w:r>
      <w:r>
        <w:rPr/>
        <w:t>Republic,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“curricula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courses</w:t>
      </w:r>
      <w:r>
        <w:rPr>
          <w:spacing w:val="-9"/>
        </w:rPr>
        <w:t> </w:t>
      </w:r>
      <w:r>
        <w:rPr/>
        <w:t>generally</w:t>
      </w:r>
      <w:r>
        <w:rPr>
          <w:spacing w:val="-11"/>
        </w:rPr>
        <w:t> </w:t>
      </w:r>
      <w:r>
        <w:rPr/>
        <w:t>prepare</w:t>
      </w:r>
      <w:r>
        <w:rPr>
          <w:spacing w:val="-9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equip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transversal</w:t>
      </w:r>
      <w:r>
        <w:rPr>
          <w:spacing w:val="1"/>
        </w:rPr>
        <w:t> </w:t>
      </w:r>
      <w:r>
        <w:rPr>
          <w:position w:val="1"/>
        </w:rPr>
        <w:t>competencies demanded in the labour market” (OECD, 2020, p. 93</w:t>
      </w:r>
      <w:r>
        <w:rPr>
          <w:sz w:val="13"/>
        </w:rPr>
        <w:t>[5]</w:t>
      </w:r>
      <w:r>
        <w:rPr>
          <w:position w:val="1"/>
        </w:rPr>
        <w:t>). At the same time, workplaces in</w:t>
      </w:r>
      <w:r>
        <w:rPr>
          <w:spacing w:val="1"/>
          <w:position w:val="1"/>
        </w:rPr>
        <w:t> </w:t>
      </w:r>
      <w:r>
        <w:rPr/>
        <w:t>the Slovak Republic may not be making full use of graduate skills. Practices that are known to positively</w:t>
      </w:r>
      <w:r>
        <w:rPr>
          <w:spacing w:val="1"/>
        </w:rPr>
        <w:t> </w:t>
      </w:r>
      <w:r>
        <w:rPr/>
        <w:t>affect the performance of employees and firms are often referred to as high-performance workplace</w:t>
      </w:r>
      <w:r>
        <w:rPr>
          <w:spacing w:val="1"/>
        </w:rPr>
        <w:t> </w:t>
      </w:r>
      <w:r>
        <w:rPr>
          <w:spacing w:val="-1"/>
        </w:rPr>
        <w:t>practices</w:t>
      </w:r>
      <w:r>
        <w:rPr>
          <w:spacing w:val="-10"/>
        </w:rPr>
        <w:t> </w:t>
      </w:r>
      <w:r>
        <w:rPr>
          <w:spacing w:val="-1"/>
        </w:rPr>
        <w:t>(HPWP)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include,</w:t>
      </w:r>
      <w:r>
        <w:rPr>
          <w:spacing w:val="-11"/>
        </w:rPr>
        <w:t> </w:t>
      </w:r>
      <w:r>
        <w:rPr>
          <w:spacing w:val="-1"/>
        </w:rPr>
        <w:t>among</w:t>
      </w:r>
      <w:r>
        <w:rPr>
          <w:spacing w:val="-11"/>
        </w:rPr>
        <w:t> </w:t>
      </w:r>
      <w:r>
        <w:rPr>
          <w:spacing w:val="-1"/>
        </w:rPr>
        <w:t>others,</w:t>
      </w:r>
      <w:r>
        <w:rPr>
          <w:spacing w:val="-11"/>
        </w:rPr>
        <w:t> </w:t>
      </w:r>
      <w:r>
        <w:rPr>
          <w:spacing w:val="-1"/>
        </w:rPr>
        <w:t>quality</w:t>
      </w:r>
      <w:r>
        <w:rPr>
          <w:spacing w:val="-13"/>
        </w:rPr>
        <w:t> </w:t>
      </w:r>
      <w:r>
        <w:rPr>
          <w:spacing w:val="-1"/>
        </w:rPr>
        <w:t>mentoring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/>
        <w:t>leadership,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provision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training, and employee incentives such as awards, bonus pay, and flexible working hours (OECD/ILO,</w:t>
      </w:r>
      <w:r>
        <w:rPr>
          <w:spacing w:val="1"/>
        </w:rPr>
        <w:t> </w:t>
      </w:r>
      <w:r>
        <w:rPr>
          <w:position w:val="1"/>
        </w:rPr>
        <w:t>2017</w:t>
      </w:r>
      <w:r>
        <w:rPr>
          <w:sz w:val="13"/>
        </w:rPr>
        <w:t>[35]</w:t>
      </w:r>
      <w:r>
        <w:rPr>
          <w:position w:val="1"/>
        </w:rPr>
        <w:t>). The adoption of HPWP is associated with more effective skills use; however, only 17% of all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Slovak</w:t>
      </w:r>
      <w:r>
        <w:rPr>
          <w:spacing w:val="-9"/>
          <w:position w:val="1"/>
        </w:rPr>
        <w:t> </w:t>
      </w:r>
      <w:r>
        <w:rPr>
          <w:position w:val="1"/>
        </w:rPr>
        <w:t>jobs</w:t>
      </w:r>
      <w:r>
        <w:rPr>
          <w:spacing w:val="-10"/>
          <w:position w:val="1"/>
        </w:rPr>
        <w:t> </w:t>
      </w:r>
      <w:r>
        <w:rPr>
          <w:position w:val="1"/>
        </w:rPr>
        <w:t>adopted</w:t>
      </w:r>
      <w:r>
        <w:rPr>
          <w:spacing w:val="-9"/>
          <w:position w:val="1"/>
        </w:rPr>
        <w:t> </w:t>
      </w:r>
      <w:r>
        <w:rPr>
          <w:position w:val="1"/>
        </w:rPr>
        <w:t>HPWP</w:t>
      </w:r>
      <w:r>
        <w:rPr>
          <w:spacing w:val="-14"/>
          <w:position w:val="1"/>
        </w:rPr>
        <w:t> </w:t>
      </w:r>
      <w:r>
        <w:rPr>
          <w:position w:val="1"/>
        </w:rPr>
        <w:t>in</w:t>
      </w:r>
      <w:r>
        <w:rPr>
          <w:spacing w:val="-11"/>
          <w:position w:val="1"/>
        </w:rPr>
        <w:t> </w:t>
      </w:r>
      <w:r>
        <w:rPr>
          <w:position w:val="1"/>
        </w:rPr>
        <w:t>2012,</w:t>
      </w:r>
      <w:r>
        <w:rPr>
          <w:spacing w:val="-11"/>
          <w:position w:val="1"/>
        </w:rPr>
        <w:t> </w:t>
      </w:r>
      <w:r>
        <w:rPr>
          <w:position w:val="1"/>
        </w:rPr>
        <w:t>compared</w:t>
      </w:r>
      <w:r>
        <w:rPr>
          <w:spacing w:val="-7"/>
          <w:position w:val="1"/>
        </w:rPr>
        <w:t> </w:t>
      </w:r>
      <w:r>
        <w:rPr>
          <w:position w:val="1"/>
        </w:rPr>
        <w:t>with</w:t>
      </w:r>
      <w:r>
        <w:rPr>
          <w:spacing w:val="-12"/>
          <w:position w:val="1"/>
        </w:rPr>
        <w:t> </w:t>
      </w:r>
      <w:r>
        <w:rPr>
          <w:position w:val="1"/>
        </w:rPr>
        <w:t>26%</w:t>
      </w:r>
      <w:r>
        <w:rPr>
          <w:spacing w:val="-11"/>
          <w:position w:val="1"/>
        </w:rPr>
        <w:t> </w:t>
      </w:r>
      <w:r>
        <w:rPr>
          <w:position w:val="1"/>
        </w:rPr>
        <w:t>among</w:t>
      </w:r>
      <w:r>
        <w:rPr>
          <w:spacing w:val="-11"/>
          <w:position w:val="1"/>
        </w:rPr>
        <w:t> </w:t>
      </w:r>
      <w:r>
        <w:rPr>
          <w:position w:val="1"/>
        </w:rPr>
        <w:t>OECD-PIAAC</w:t>
      </w:r>
      <w:r>
        <w:rPr>
          <w:spacing w:val="-11"/>
          <w:position w:val="1"/>
        </w:rPr>
        <w:t> </w:t>
      </w:r>
      <w:r>
        <w:rPr>
          <w:position w:val="1"/>
        </w:rPr>
        <w:t>countries</w:t>
      </w:r>
      <w:r>
        <w:rPr>
          <w:spacing w:val="-9"/>
          <w:position w:val="1"/>
        </w:rPr>
        <w:t> </w:t>
      </w:r>
      <w:r>
        <w:rPr>
          <w:position w:val="1"/>
        </w:rPr>
        <w:t>(OECD,</w:t>
      </w:r>
      <w:r>
        <w:rPr>
          <w:spacing w:val="-11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[5]</w:t>
      </w:r>
      <w:r>
        <w:rPr>
          <w:position w:val="1"/>
        </w:rPr>
        <w:t>).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before="165"/>
        <w:ind w:left="183" w:right="0" w:firstLine="0"/>
        <w:jc w:val="left"/>
        <w:rPr>
          <w:rFonts w:ascii="Arial"/>
          <w:b/>
          <w:sz w:val="24"/>
        </w:rPr>
      </w:pPr>
      <w:bookmarkStart w:name="_bookmark28" w:id="68"/>
      <w:bookmarkEnd w:id="68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2.9.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Skills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mismatches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2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Republic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(2018)</w:t>
      </w:r>
    </w:p>
    <w:p>
      <w:pPr>
        <w:pStyle w:val="Heading6"/>
        <w:spacing w:before="188"/>
      </w:pPr>
      <w:r>
        <w:rPr>
          <w:w w:val="80"/>
        </w:rPr>
        <w:t>OECD</w:t>
      </w:r>
      <w:r>
        <w:rPr>
          <w:spacing w:val="8"/>
          <w:w w:val="80"/>
        </w:rPr>
        <w:t> </w:t>
      </w:r>
      <w:r>
        <w:rPr>
          <w:w w:val="80"/>
        </w:rPr>
        <w:t>Skills</w:t>
      </w:r>
      <w:r>
        <w:rPr>
          <w:spacing w:val="11"/>
          <w:w w:val="80"/>
        </w:rPr>
        <w:t> </w:t>
      </w:r>
      <w:r>
        <w:rPr>
          <w:w w:val="80"/>
        </w:rPr>
        <w:t>for</w:t>
      </w:r>
      <w:r>
        <w:rPr>
          <w:spacing w:val="9"/>
          <w:w w:val="80"/>
        </w:rPr>
        <w:t> </w:t>
      </w:r>
      <w:r>
        <w:rPr>
          <w:w w:val="80"/>
        </w:rPr>
        <w:t>Jobs</w:t>
      </w:r>
      <w:r>
        <w:rPr>
          <w:spacing w:val="11"/>
          <w:w w:val="80"/>
        </w:rPr>
        <w:t> </w:t>
      </w:r>
      <w:r>
        <w:rPr>
          <w:w w:val="80"/>
        </w:rPr>
        <w:t>database</w:t>
      </w:r>
    </w:p>
    <w:p>
      <w:pPr>
        <w:pStyle w:val="BodyText"/>
        <w:spacing w:before="8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line="247" w:lineRule="auto" w:before="131"/>
        <w:ind w:left="968" w:right="0" w:hanging="28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Greece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Ireland</w:t>
      </w:r>
    </w:p>
    <w:p>
      <w:pPr>
        <w:spacing w:before="1"/>
        <w:ind w:left="0" w:right="0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United</w:t>
      </w:r>
      <w:r>
        <w:rPr>
          <w:rFonts w:ascii="Microsoft Sans Serif"/>
          <w:spacing w:val="12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Kingdom</w:t>
      </w:r>
    </w:p>
    <w:p>
      <w:pPr>
        <w:spacing w:before="6"/>
        <w:ind w:left="0" w:right="1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Slovak</w:t>
      </w:r>
      <w:r>
        <w:rPr>
          <w:rFonts w:ascii="Microsoft Sans Serif"/>
          <w:spacing w:val="7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Republic</w:t>
      </w:r>
    </w:p>
    <w:p>
      <w:pPr>
        <w:spacing w:line="247" w:lineRule="auto" w:before="6"/>
        <w:ind w:left="683" w:right="0" w:firstLine="434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Italy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Iceland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Turkey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Portugal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Estonia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Sweden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Lithuania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Latvia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Spain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France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80"/>
          <w:sz w:val="15"/>
        </w:rPr>
        <w:t>Netherlands</w:t>
      </w:r>
    </w:p>
    <w:p>
      <w:pPr>
        <w:spacing w:before="5"/>
        <w:ind w:left="0" w:right="1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European</w:t>
      </w:r>
      <w:r>
        <w:rPr>
          <w:rFonts w:ascii="Microsoft Sans Serif"/>
          <w:spacing w:val="9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Union</w:t>
      </w:r>
    </w:p>
    <w:p>
      <w:pPr>
        <w:spacing w:line="247" w:lineRule="auto" w:before="5"/>
        <w:ind w:left="486" w:right="0" w:firstLine="380"/>
        <w:jc w:val="both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Australia</w:t>
      </w:r>
      <w:r>
        <w:rPr>
          <w:rFonts w:ascii="Microsoft Sans Serif"/>
          <w:spacing w:val="-30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OECD average</w:t>
      </w:r>
      <w:r>
        <w:rPr>
          <w:rFonts w:ascii="Microsoft Sans Serif"/>
          <w:spacing w:val="1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Czech</w:t>
      </w:r>
      <w:r>
        <w:rPr>
          <w:rFonts w:ascii="Microsoft Sans Serif"/>
          <w:spacing w:val="6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Republic</w:t>
      </w:r>
    </w:p>
    <w:p>
      <w:pPr>
        <w:spacing w:line="247" w:lineRule="auto" w:before="2"/>
        <w:ind w:left="710" w:right="0" w:firstLine="135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Denmark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Hungary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Belgium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Norway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Austria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80"/>
          <w:sz w:val="15"/>
        </w:rPr>
        <w:t>Switzerland</w:t>
      </w:r>
    </w:p>
    <w:p>
      <w:pPr>
        <w:spacing w:line="247" w:lineRule="auto" w:before="3"/>
        <w:ind w:left="663" w:right="0" w:firstLine="278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Finland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Luxembourg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Germany</w:t>
      </w:r>
    </w:p>
    <w:p>
      <w:pPr>
        <w:pStyle w:val="ListParagraph"/>
        <w:numPr>
          <w:ilvl w:val="0"/>
          <w:numId w:val="9"/>
        </w:numPr>
        <w:tabs>
          <w:tab w:pos="485" w:val="left" w:leader="none"/>
        </w:tabs>
        <w:spacing w:line="240" w:lineRule="auto" w:before="100" w:after="0"/>
        <w:ind w:left="484" w:right="0" w:hanging="168"/>
        <w:jc w:val="left"/>
        <w:rPr>
          <w:rFonts w:ascii="Arial"/>
          <w:b/>
          <w:sz w:val="16"/>
        </w:rPr>
      </w:pPr>
      <w:r>
        <w:rPr>
          <w:rFonts w:ascii="Arial"/>
          <w:b/>
          <w:w w:val="81"/>
          <w:sz w:val="16"/>
        </w:rPr>
        <w:br w:type="column"/>
      </w:r>
      <w:r>
        <w:rPr>
          <w:rFonts w:ascii="Arial"/>
          <w:b/>
          <w:w w:val="80"/>
          <w:sz w:val="16"/>
        </w:rPr>
        <w:t>Field-of-study</w:t>
      </w:r>
      <w:r>
        <w:rPr>
          <w:rFonts w:ascii="Arial"/>
          <w:b/>
          <w:spacing w:val="8"/>
          <w:w w:val="80"/>
          <w:sz w:val="16"/>
        </w:rPr>
        <w:t> </w:t>
      </w:r>
      <w:r>
        <w:rPr>
          <w:rFonts w:ascii="Arial"/>
          <w:b/>
          <w:w w:val="80"/>
          <w:sz w:val="16"/>
        </w:rPr>
        <w:t>mismatch</w:t>
      </w:r>
    </w:p>
    <w:p>
      <w:pPr>
        <w:pStyle w:val="BodyText"/>
        <w:spacing w:before="3"/>
        <w:rPr>
          <w:rFonts w:ascii="Arial"/>
          <w:b/>
          <w:sz w:val="14"/>
        </w:rPr>
      </w:pPr>
      <w:r>
        <w:rPr/>
        <w:pict>
          <v:group style="position:absolute;margin-left:126.312241pt;margin-top:10.227849pt;width:161.9pt;height:246.2pt;mso-position-horizontal-relative:page;mso-position-vertical-relative:paragraph;z-index:-15713280;mso-wrap-distance-left:0;mso-wrap-distance-right:0" coordorigin="2526,205" coordsize="3238,4924">
            <v:rect style="position:absolute;left:2533;top:211;width:3219;height:4909" filled="true" fillcolor="#f1f1f1" stroked="false">
              <v:fill type="solid"/>
            </v:rect>
            <v:shape style="position:absolute;left:3069;top:211;width:1073;height:4909" coordorigin="3070,212" coordsize="1073,4909" path="m3070,5082l3070,5121m3070,4906l3070,4985m3070,4730l3070,4808m3070,4556l3070,4634m3070,4379l3070,4458m3070,4205l3070,4284m3070,4029l3070,4107m3070,3855l3070,3931m3070,3678l3070,3757m3070,3504l3070,3580m3070,3328l3070,3406m3070,3154l3070,3230m3070,2977l3070,3056m3070,2803l3070,2879m3070,2627l3070,2705m3070,2450l3070,2529m3070,2276l3070,2355m3070,2100l3070,2179m3070,1926l3070,2005m3070,1749l3070,1828m3070,1575l3070,1652m3070,1399l3070,1478m3070,1225l3070,1301m3070,1049l3070,1127m3070,874l3070,951m3070,698l3070,777m3070,524l3070,600m3070,348l3070,426m3070,212l3070,250m3606,4906l3606,5121m3606,4730l3606,4808m3606,4556l3606,4634m3606,4379l3606,4458m3606,4205l3606,4284m3606,4029l3606,4107m3606,3855l3606,3931m3606,3678l3606,3757m3606,3504l3606,3580m3606,3328l3606,3406m3606,3154l3606,3230m3606,2977l3606,3056m3606,2803l3606,2879m3606,2627l3606,2705m3606,2450l3606,2529m3606,2276l3606,2355m3606,2100l3606,2179m3606,1926l3606,2005m3606,1749l3606,1828m3606,1575l3606,1652m3606,1399l3606,1478m3606,1225l3606,1301m3606,1049l3606,1127m3606,874l3606,951m3606,698l3606,777m3606,524l3606,600m3606,348l3606,426m3606,212l3606,250m4143,3855l4143,5121m4143,3678l4143,3757m4143,3504l4143,3580m4143,3328l4143,3406m4143,3154l4143,3230m4143,2977l4143,3056m4143,2803l4143,2879m4143,2627l4143,2705m4143,2450l4143,2529m4143,2276l4143,2355m4143,2100l4143,2179m4143,1926l4143,2005m4143,1749l4143,1828m4143,1575l4143,1652m4143,1399l4143,1478m4143,1225l4143,1301m4143,1049l4143,1127m4143,874l4143,951m4143,698l4143,777m4143,524l4143,600m4143,348l4143,426m4143,212l4143,250e" filled="false" stroked="true" strokeweight=".715252pt" strokecolor="#ffffff">
              <v:path arrowok="t"/>
              <v:stroke dashstyle="solid"/>
            </v:shape>
            <v:shape style="position:absolute;left:2533;top:211;width:3219;height:4909" coordorigin="2533,212" coordsize="3219,4909" path="m4679,212l4679,5121m5216,212l5216,5121m5752,212l5752,5121m2533,4944l5752,4944m2533,4770l5752,4770m2533,4594l5752,4594m2533,4420l5752,4420m2533,4243l5752,4243m2533,4069l5752,4069m2533,3893l5752,3893m2533,3719l5752,3719m2533,3542l5752,3542m2533,3366l5752,3366m2533,3192l5752,3192m2533,3015l5752,3015m2533,2841l5752,2841m2533,2665l5752,2665m2533,2491l5752,2491m2533,2314l5752,2314m2533,2140l5752,2140m2533,1964l5752,1964m2533,1790l5752,1790m2533,1614l5752,1614m2533,1440l5752,1440m2533,1263l5752,1263m2533,1087l5752,1087m2533,913l5752,913m2533,736l5752,736m2533,562l5752,562m2533,386l5752,386m2533,212l5752,212e" filled="false" stroked="true" strokeweight=".715238pt" strokecolor="#ffffff">
              <v:path arrowok="t"/>
              <v:stroke dashstyle="solid"/>
            </v:shape>
            <v:shape style="position:absolute;left:2533;top:249;width:2115;height:4833" coordorigin="2533,250" coordsize="2115,4833" path="m3611,4985l2533,4985,2533,5082,3611,5082,3611,4985xm3783,4808l2533,4808,2533,4906,3783,4906,3783,4808xm3804,4634l2533,4634,2533,4730,3804,4730,3804,4634xm3809,4458l2533,4458,2533,4556,3809,4556,3809,4458xm3959,4284l2533,4284,2533,4379,3959,4379,3959,4284xm4019,4107l2533,4107,2533,4205,4019,4205,4019,4107xm4035,3931l2533,3931,2533,4029,4035,4029,4035,3931xm4181,3757l2533,3757,2533,3855,4181,3855,4181,3757xm4186,3580l2533,3580,2533,3678,4186,3678,4186,3580xm4202,3406l2533,3406,2533,3504,4202,3504,4202,3406xm4262,3230l2533,3230,2533,3328,4262,3328,4262,3230xm4288,3056l2533,3056,2533,3154,4288,3154,4288,3056xm4293,2880l2533,2880,2533,2977,4293,2977,4293,2880xm4314,2705l2533,2705,2533,2803,4314,2803,4314,2705xm4326,2529l2533,2529,2533,2627,4326,2627,4326,2529xm4341,2355l2533,2355,2533,2450,4341,2450,4341,2355xm4395,2179l2533,2179,2533,2276,4395,2276,4395,2179xm4405,2005l2533,2005,2533,2100,4405,2100,4405,2005xm4434,1828l2533,1828,2533,1926,4434,1926,4434,1828xm4438,1652l2533,1652,2533,1749,4438,1749,4438,1652xm4460,1478l2533,1478,2533,1575,4460,1575,4460,1478xm4465,1301l2533,1301,2533,1399,4465,1399,4465,1301xm4486,1127l2533,1127,2533,1225,4486,1225,4486,1127xm4491,951l2533,951,2533,1049,4491,1049,4491,951xm4519,777l2533,777,2533,874,4519,874,4519,777xm4572,600l2533,600,2533,698,4572,698,4572,600xm4610,426l2533,426,2533,524,4610,524,4610,426xm4648,250l2533,250,2533,348,4648,348,4648,250xe" filled="true" fillcolor="#002f6c" stroked="false">
              <v:path arrowok="t"/>
              <v:fill type="solid"/>
            </v:shape>
            <v:shape style="position:absolute;left:2533;top:211;width:3219;height:4909" coordorigin="2533,212" coordsize="3219,4909" path="m2533,5121l5752,5121m2533,5075l2533,5121m3070,5075l3070,5121m3606,5075l3606,5121m4143,5075l4143,5121m4679,5075l4679,5121m5216,5075l5216,5121m5752,5075l5752,5121m2533,5121l2533,212m2533,5121l2579,5121m2533,4944l2579,4944m2533,4770l2579,4770m2533,4594l2579,4594m2533,4420l2579,4420m2533,4243l2579,4243m2533,4069l2579,4069m2533,3893l2579,3893m2533,3719l2579,3719m2533,3542l2579,3542m2533,3366l2579,3366m2533,3192l2579,3192m2533,3015l2579,3015m2533,2841l2579,2841m2533,2665l2579,2665m2533,2491l2579,2491m2533,2314l2579,2314m2533,2140l2579,2140m2533,1964l2579,1964m2533,1790l2579,1790m2533,1614l2579,1614m2533,1440l2579,1440m2533,1263l2579,1263m2533,1087l2579,1087m2533,913l2579,913m2533,736l2579,736m2533,562l2579,562m2533,386l2579,386m2533,212l2579,212e" filled="false" stroked="true" strokeweight=".715238pt" strokecolor="#000000">
              <v:path arrowok="t"/>
              <v:stroke dashstyle="solid"/>
            </v:shape>
            <v:rect style="position:absolute;left:2526;top:721;width:3238;height:203" filled="true" fillcolor="#8497b0" stroked="false">
              <v:fill opacity="19789f" type="solid"/>
            </v:rect>
            <w10:wrap type="topAndBottom"/>
          </v:group>
        </w:pict>
      </w:r>
    </w:p>
    <w:p>
      <w:pPr>
        <w:tabs>
          <w:tab w:pos="498" w:val="left" w:leader="none"/>
          <w:tab w:pos="1035" w:val="left" w:leader="none"/>
          <w:tab w:pos="1572" w:val="left" w:leader="none"/>
          <w:tab w:pos="2109" w:val="left" w:leader="none"/>
          <w:tab w:pos="2646" w:val="left" w:leader="none"/>
          <w:tab w:pos="3182" w:val="left" w:leader="none"/>
        </w:tabs>
        <w:spacing w:before="55"/>
        <w:ind w:left="-5" w:right="0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90"/>
          <w:sz w:val="15"/>
        </w:rPr>
        <w:t>0</w:t>
        <w:tab/>
        <w:t>10</w:t>
        <w:tab/>
        <w:t>20</w:t>
        <w:tab/>
        <w:t>30</w:t>
        <w:tab/>
        <w:t>40</w:t>
        <w:tab/>
        <w:t>50</w:t>
        <w:tab/>
      </w:r>
      <w:r>
        <w:rPr>
          <w:rFonts w:ascii="Microsoft Sans Serif"/>
          <w:spacing w:val="-9"/>
          <w:w w:val="90"/>
          <w:sz w:val="15"/>
        </w:rPr>
        <w:t>60</w:t>
      </w:r>
    </w:p>
    <w:p>
      <w:pPr>
        <w:spacing w:before="44"/>
        <w:ind w:left="0" w:right="39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81"/>
          <w:sz w:val="15"/>
        </w:rPr>
        <w:t>%</w:t>
      </w:r>
    </w:p>
    <w:p>
      <w:pPr>
        <w:pStyle w:val="BodyText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spacing w:line="196" w:lineRule="auto" w:before="140"/>
        <w:ind w:left="670" w:right="0" w:firstLine="68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Mexico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Chile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Ireland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spacing w:val="-1"/>
          <w:w w:val="90"/>
          <w:sz w:val="15"/>
        </w:rPr>
        <w:t>Greece</w:t>
      </w:r>
      <w:r>
        <w:rPr>
          <w:rFonts w:ascii="Microsoft Sans Serif"/>
          <w:spacing w:val="-33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Turkey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80"/>
          <w:sz w:val="15"/>
        </w:rPr>
        <w:t>Portugal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Spain</w:t>
      </w:r>
    </w:p>
    <w:p>
      <w:pPr>
        <w:spacing w:line="196" w:lineRule="auto" w:before="4"/>
        <w:ind w:left="405" w:right="1" w:hanging="150"/>
        <w:jc w:val="right"/>
        <w:rPr>
          <w:rFonts w:ascii="Microsoft Sans Serif"/>
          <w:sz w:val="15"/>
        </w:rPr>
      </w:pPr>
      <w:r>
        <w:rPr>
          <w:rFonts w:ascii="Microsoft Sans Serif"/>
          <w:spacing w:val="-1"/>
          <w:w w:val="80"/>
          <w:sz w:val="15"/>
        </w:rPr>
        <w:t>United</w:t>
      </w:r>
      <w:r>
        <w:rPr>
          <w:rFonts w:ascii="Microsoft Sans Serif"/>
          <w:spacing w:val="1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Kingdom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spacing w:val="-1"/>
          <w:w w:val="80"/>
          <w:sz w:val="15"/>
        </w:rPr>
        <w:t>New</w:t>
      </w:r>
      <w:r>
        <w:rPr>
          <w:rFonts w:ascii="Microsoft Sans Serif"/>
          <w:spacing w:val="4"/>
          <w:w w:val="80"/>
          <w:sz w:val="15"/>
        </w:rPr>
        <w:t> </w:t>
      </w:r>
      <w:r>
        <w:rPr>
          <w:rFonts w:ascii="Microsoft Sans Serif"/>
          <w:spacing w:val="-1"/>
          <w:w w:val="80"/>
          <w:sz w:val="15"/>
        </w:rPr>
        <w:t>Zealand</w:t>
      </w:r>
    </w:p>
    <w:p>
      <w:pPr>
        <w:spacing w:line="131" w:lineRule="exact" w:before="0"/>
        <w:ind w:left="0" w:right="0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90"/>
          <w:sz w:val="15"/>
        </w:rPr>
        <w:t>Australia</w:t>
      </w:r>
    </w:p>
    <w:p>
      <w:pPr>
        <w:spacing w:line="196" w:lineRule="auto" w:before="9"/>
        <w:ind w:left="467" w:right="0" w:firstLine="434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Italy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Iceland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Estonia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Canada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80"/>
          <w:sz w:val="15"/>
        </w:rPr>
        <w:t>Netherlands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Germany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Sweden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80"/>
          <w:sz w:val="15"/>
        </w:rPr>
        <w:t>Switzerland</w:t>
      </w:r>
    </w:p>
    <w:p>
      <w:pPr>
        <w:spacing w:line="196" w:lineRule="auto" w:before="4"/>
        <w:ind w:left="297" w:right="0" w:firstLine="448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Austria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spacing w:val="-1"/>
          <w:w w:val="80"/>
          <w:sz w:val="15"/>
        </w:rPr>
        <w:t>OECD</w:t>
      </w:r>
      <w:r>
        <w:rPr>
          <w:rFonts w:ascii="Microsoft Sans Serif"/>
          <w:spacing w:val="1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average</w:t>
      </w:r>
    </w:p>
    <w:p>
      <w:pPr>
        <w:spacing w:line="196" w:lineRule="auto" w:before="1"/>
        <w:ind w:left="629" w:right="0" w:firstLine="81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Norway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Lithuania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spacing w:val="-2"/>
          <w:w w:val="90"/>
          <w:sz w:val="15"/>
        </w:rPr>
        <w:t>Belgium</w:t>
      </w:r>
      <w:r>
        <w:rPr>
          <w:rFonts w:ascii="Microsoft Sans Serif"/>
          <w:spacing w:val="-33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France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80"/>
          <w:sz w:val="15"/>
        </w:rPr>
        <w:t>Denmark</w:t>
      </w:r>
    </w:p>
    <w:p>
      <w:pPr>
        <w:spacing w:line="196" w:lineRule="auto" w:before="2"/>
        <w:ind w:left="392" w:right="1" w:hanging="150"/>
        <w:jc w:val="both"/>
        <w:rPr>
          <w:rFonts w:ascii="Microsoft Sans Serif"/>
          <w:sz w:val="15"/>
        </w:rPr>
      </w:pPr>
      <w:r>
        <w:rPr>
          <w:rFonts w:ascii="Microsoft Sans Serif"/>
          <w:spacing w:val="-1"/>
          <w:w w:val="80"/>
          <w:sz w:val="15"/>
        </w:rPr>
        <w:t>European </w:t>
      </w:r>
      <w:r>
        <w:rPr>
          <w:rFonts w:ascii="Microsoft Sans Serif"/>
          <w:w w:val="80"/>
          <w:sz w:val="15"/>
        </w:rPr>
        <w:t>Union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spacing w:val="-1"/>
          <w:w w:val="80"/>
          <w:sz w:val="15"/>
        </w:rPr>
        <w:t>United </w:t>
      </w:r>
      <w:r>
        <w:rPr>
          <w:rFonts w:ascii="Microsoft Sans Serif"/>
          <w:w w:val="80"/>
          <w:sz w:val="15"/>
        </w:rPr>
        <w:t>States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85"/>
          <w:sz w:val="15"/>
        </w:rPr>
        <w:t>Luxembourg</w:t>
      </w:r>
    </w:p>
    <w:p>
      <w:pPr>
        <w:spacing w:line="196" w:lineRule="auto" w:before="2"/>
        <w:ind w:left="657" w:right="0" w:firstLine="6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Hungary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Latvia</w:t>
      </w:r>
      <w:r>
        <w:rPr>
          <w:rFonts w:ascii="Microsoft Sans Serif"/>
          <w:spacing w:val="1"/>
          <w:w w:val="90"/>
          <w:sz w:val="15"/>
        </w:rPr>
        <w:t> </w:t>
      </w:r>
      <w:r>
        <w:rPr>
          <w:rFonts w:ascii="Microsoft Sans Serif"/>
          <w:w w:val="90"/>
          <w:sz w:val="15"/>
        </w:rPr>
        <w:t>Finland</w:t>
      </w:r>
      <w:r>
        <w:rPr>
          <w:rFonts w:ascii="Microsoft Sans Serif"/>
          <w:spacing w:val="-33"/>
          <w:w w:val="90"/>
          <w:sz w:val="15"/>
        </w:rPr>
        <w:t> </w:t>
      </w:r>
      <w:r>
        <w:rPr>
          <w:rFonts w:ascii="Microsoft Sans Serif"/>
          <w:w w:val="80"/>
          <w:sz w:val="15"/>
        </w:rPr>
        <w:t>Slovenia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w w:val="90"/>
          <w:sz w:val="15"/>
        </w:rPr>
        <w:t>Poland</w:t>
      </w:r>
    </w:p>
    <w:p>
      <w:pPr>
        <w:spacing w:line="196" w:lineRule="auto" w:before="2"/>
        <w:ind w:left="269" w:right="1" w:hanging="21"/>
        <w:jc w:val="right"/>
        <w:rPr>
          <w:rFonts w:ascii="Microsoft Sans Serif"/>
          <w:sz w:val="15"/>
        </w:rPr>
      </w:pPr>
      <w:r>
        <w:rPr>
          <w:rFonts w:ascii="Microsoft Sans Serif"/>
          <w:w w:val="80"/>
          <w:sz w:val="15"/>
        </w:rPr>
        <w:t>Slovak Republic</w:t>
      </w:r>
      <w:r>
        <w:rPr>
          <w:rFonts w:ascii="Microsoft Sans Serif"/>
          <w:spacing w:val="-29"/>
          <w:w w:val="80"/>
          <w:sz w:val="15"/>
        </w:rPr>
        <w:t> </w:t>
      </w:r>
      <w:r>
        <w:rPr>
          <w:rFonts w:ascii="Microsoft Sans Serif"/>
          <w:spacing w:val="-1"/>
          <w:w w:val="80"/>
          <w:sz w:val="15"/>
        </w:rPr>
        <w:t>Czech</w:t>
      </w:r>
      <w:r>
        <w:rPr>
          <w:rFonts w:ascii="Microsoft Sans Serif"/>
          <w:spacing w:val="1"/>
          <w:w w:val="80"/>
          <w:sz w:val="15"/>
        </w:rPr>
        <w:t> </w:t>
      </w:r>
      <w:r>
        <w:rPr>
          <w:rFonts w:ascii="Microsoft Sans Serif"/>
          <w:w w:val="80"/>
          <w:sz w:val="15"/>
        </w:rPr>
        <w:t>Republic</w:t>
      </w:r>
    </w:p>
    <w:p>
      <w:pPr>
        <w:pStyle w:val="ListParagraph"/>
        <w:numPr>
          <w:ilvl w:val="0"/>
          <w:numId w:val="9"/>
        </w:numPr>
        <w:tabs>
          <w:tab w:pos="442" w:val="left" w:leader="none"/>
        </w:tabs>
        <w:spacing w:line="240" w:lineRule="auto" w:before="126" w:after="0"/>
        <w:ind w:left="441" w:right="0" w:hanging="168"/>
        <w:jc w:val="left"/>
        <w:rPr>
          <w:rFonts w:ascii="Arial"/>
          <w:b/>
          <w:sz w:val="16"/>
        </w:rPr>
      </w:pPr>
      <w:r>
        <w:rPr>
          <w:rFonts w:ascii="Arial"/>
          <w:b/>
          <w:w w:val="81"/>
          <w:sz w:val="16"/>
        </w:rPr>
        <w:br w:type="column"/>
      </w:r>
      <w:r>
        <w:rPr>
          <w:rFonts w:ascii="Arial"/>
          <w:b/>
          <w:w w:val="80"/>
          <w:sz w:val="16"/>
        </w:rPr>
        <w:t>Qualification</w:t>
      </w:r>
      <w:r>
        <w:rPr>
          <w:rFonts w:ascii="Arial"/>
          <w:b/>
          <w:spacing w:val="2"/>
          <w:w w:val="80"/>
          <w:sz w:val="16"/>
        </w:rPr>
        <w:t> </w:t>
      </w:r>
      <w:r>
        <w:rPr>
          <w:rFonts w:ascii="Arial"/>
          <w:b/>
          <w:w w:val="80"/>
          <w:sz w:val="16"/>
        </w:rPr>
        <w:t>mismatch</w:t>
      </w: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pict>
          <v:group style="position:absolute;margin-left:351.973389pt;margin-top:9.047048pt;width:158pt;height:245.1pt;mso-position-horizontal-relative:page;mso-position-vertical-relative:paragraph;z-index:-15712768;mso-wrap-distance-left:0;mso-wrap-distance-right:0" coordorigin="7039,181" coordsize="3160,4902">
            <v:rect style="position:absolute;left:7058;top:188;width:3133;height:4888" filled="true" fillcolor="#f1f1f1" stroked="false">
              <v:fill type="solid"/>
            </v:rect>
            <v:shape style="position:absolute;left:7058;top:188;width:3133;height:4888" coordorigin="7059,188" coordsize="3133,4888" path="m7581,188l7581,5075m8103,188l8103,5075m8625,188l8625,5075m9147,188l9147,5075m9669,188l9669,5075m10191,188l10191,5075m7059,4935l10191,4935m7059,4794l10191,4794m7059,4656l10191,4656m7059,4515l10191,4515m7059,4377l10191,4377m7059,4236l10191,4236m7059,4098l10191,4098m7059,3957l10191,3957m7059,3817l10191,3817m7059,3678l10191,3678m7059,3538l10191,3538m7059,3399l10191,3399m7059,3259l10191,3259m7059,3121l10191,3121m7059,2980l10191,2980m7059,2839l10191,2839m7059,2701l10191,2701m7059,2560l10191,2560m7059,2422l10191,2422m7059,2281l10191,2281m7059,2143l10191,2143m7059,2002l10191,2002m7059,1862l10191,1862m7059,1723l10191,1723m7059,1583l10191,1583m7059,1445l10191,1445m7059,1304l10191,1304m7059,1166l10191,1166m7059,1025l10191,1025m7059,884l10191,884m7059,746l10191,746m7059,605l10191,605m7059,467l10191,467m7059,326l10191,326m7059,188l10191,188e" filled="false" stroked="true" strokeweight=".715238pt" strokecolor="#ffffff">
              <v:path arrowok="t"/>
              <v:stroke dashstyle="solid"/>
            </v:shape>
            <v:shape style="position:absolute;left:7058;top:219;width:2621;height:4826" coordorigin="7059,219" coordsize="2621,4826" path="m7953,4966l7059,4966,7059,5044,7953,5044,7953,4966xm8103,4828l7059,4828,7059,4904,8103,4904,8103,4828xm8248,4687l7059,4687,7059,4763,8248,4763,8248,4687xm8348,4546l7059,4546,7059,4625,8348,4625,8348,4546xm8532,4408l7059,4408,7059,4484,8532,4484,8532,4408xm8608,4267l7059,4267,7059,4346,8608,4346,8608,4267xm8630,4129l7059,4129,7059,4205,8630,4205,8630,4129xm8634,3988l7059,3988,7059,4067,8634,4067,8634,3988xm8809,3848l7059,3848,7059,3926,8809,3926,8809,3848xm8809,3709l7059,3709,7059,3786,8809,3786,8809,3709xm8835,3569l7059,3569,7059,3647,8835,3647,8835,3569xm8844,3430l7059,3430,7059,3507,8844,3507,8844,3430xm8861,3290l7059,3290,7059,3368,8861,3368,8861,3290xm8880,3152l7059,3152,7059,3228,8880,3228,8880,3152xm8885,3011l7059,3011,7059,3090,8885,3090,8885,3011xm8923,2870l7059,2870,7059,2949,8923,2949,8923,2870xm8937,2732l7059,2732,7059,2808,8937,2808,8937,2732xm8937,2591l7059,2591,7059,2670,8937,2670,8937,2591xm8990,2453l7059,2453,7059,2529,8990,2529,8990,2453xm9002,2312l7059,2312,7059,2391,9002,2391,9002,2312xm9028,2174l7059,2174,7059,2250,9028,2250,9028,2174xm9037,2033l7059,2033,7059,2112,9037,2112,9037,2033xm9042,1893l7059,1893,7059,1971,9042,1971,9042,1893xm9052,1754l7059,1754,7059,1831,9052,1831,9052,1754xm9052,1614l7059,1614,7059,1692,9052,1692,9052,1614xm9078,1476l7059,1476,7059,1552,9078,1552,9078,1476xm9183,1335l7059,1335,7059,1414,9183,1414,9183,1335xm9200,1197l7059,1197,7059,1273,9200,1273,9200,1197xm9209,1056l7059,1056,7059,1135,9209,1135,9209,1056xm9271,915l7059,915,7059,994,9271,994,9271,915xm9304,777l7059,777,7059,853,9304,853,9304,777xm9340,636l7059,636,7059,715,9340,715,9340,636xm9355,498l7059,498,7059,574,9355,574,9355,498xm9512,357l7059,357,7059,436,9512,436,9512,357xm9679,219l7059,219,7059,295,9679,295,9679,219xe" filled="true" fillcolor="#002f6c" stroked="false">
              <v:path arrowok="t"/>
              <v:fill type="solid"/>
            </v:shape>
            <v:shape style="position:absolute;left:7058;top:188;width:3133;height:4888" coordorigin="7059,188" coordsize="3133,4888" path="m7059,5075l10191,5075m7059,5028l7059,5075m7581,5028l7581,5075m8103,5028l8103,5075m8625,5028l8625,5075m9147,5028l9147,5075m9669,5028l9669,5075m10191,5028l10191,5075m7059,5075l7059,188m7059,5075l7106,5075m7059,4935l7106,4935m7059,4794l7106,4794m7059,4656l7106,4656m7059,4515l7106,4515m7059,4377l7106,4377m7059,4236l7106,4236m7059,4098l7106,4098m7059,3957l7106,3957m7059,3817l7106,3817m7059,3678l7106,3678m7059,3538l7106,3538m7059,3399l7106,3399m7059,3259l7106,3259m7059,3121l7106,3121m7059,2980l7106,2980m7059,2839l7106,2839m7059,2701l7106,2701m7059,2560l7106,2560m7059,2422l7106,2422m7059,2281l7106,2281m7059,2143l7106,2143m7059,2002l7106,2002m7059,1862l7106,1862m7059,1723l7106,1723m7059,1583l7106,1583m7059,1445l7106,1445m7059,1304l7106,1304m7059,1166l7106,1166m7059,1025l7106,1025m7059,884l7106,884m7059,746l7106,746m7059,605l7106,605m7059,467l7106,467m7059,326l7106,326m7059,188l7106,188e" filled="false" stroked="true" strokeweight=".715238pt" strokecolor="#000000">
              <v:path arrowok="t"/>
              <v:stroke dashstyle="solid"/>
            </v:shape>
            <v:rect style="position:absolute;left:7039;top:4794;width:3152;height:148" filled="true" fillcolor="#8497b0" stroked="false">
              <v:fill opacity="19789f" type="solid"/>
            </v:rect>
            <w10:wrap type="topAndBottom"/>
          </v:group>
        </w:pict>
      </w:r>
    </w:p>
    <w:p>
      <w:pPr>
        <w:tabs>
          <w:tab w:pos="483" w:val="left" w:leader="none"/>
          <w:tab w:pos="1005" w:val="left" w:leader="none"/>
          <w:tab w:pos="1527" w:val="left" w:leader="none"/>
          <w:tab w:pos="2049" w:val="left" w:leader="none"/>
          <w:tab w:pos="2571" w:val="left" w:leader="none"/>
          <w:tab w:pos="3093" w:val="left" w:leader="none"/>
        </w:tabs>
        <w:spacing w:before="55"/>
        <w:ind w:left="-5" w:right="641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90"/>
          <w:sz w:val="15"/>
        </w:rPr>
        <w:t>0</w:t>
        <w:tab/>
        <w:t>10</w:t>
        <w:tab/>
        <w:t>20</w:t>
        <w:tab/>
        <w:t>30</w:t>
        <w:tab/>
        <w:t>40</w:t>
        <w:tab/>
        <w:t>50</w:t>
        <w:tab/>
      </w:r>
      <w:r>
        <w:rPr>
          <w:rFonts w:ascii="Microsoft Sans Serif"/>
          <w:spacing w:val="-7"/>
          <w:w w:val="90"/>
          <w:sz w:val="15"/>
        </w:rPr>
        <w:t>60</w:t>
      </w:r>
    </w:p>
    <w:p>
      <w:pPr>
        <w:spacing w:before="69"/>
        <w:ind w:left="0" w:right="666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81"/>
          <w:sz w:val="15"/>
        </w:rPr>
        <w:t>%</w:t>
      </w:r>
    </w:p>
    <w:p>
      <w:pPr>
        <w:spacing w:after="0"/>
        <w:jc w:val="right"/>
        <w:rPr>
          <w:rFonts w:ascii="Microsoft Sans Serif"/>
          <w:sz w:val="15"/>
        </w:rPr>
        <w:sectPr>
          <w:type w:val="continuous"/>
          <w:pgSz w:w="11910" w:h="15880"/>
          <w:pgMar w:top="1500" w:bottom="280" w:left="1120" w:right="1000"/>
          <w:cols w:num="4" w:equalWidth="0">
            <w:col w:w="1344" w:space="40"/>
            <w:col w:w="3322" w:space="39"/>
            <w:col w:w="1127" w:space="39"/>
            <w:col w:w="3879"/>
          </w:cols>
        </w:sectPr>
      </w:pP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3776" w:val="left" w:leader="none"/>
        </w:tabs>
        <w:spacing w:line="240" w:lineRule="auto" w:before="99" w:after="0"/>
        <w:ind w:left="3775" w:right="0" w:hanging="167"/>
        <w:jc w:val="left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Overqualification</w:t>
      </w:r>
      <w:r>
        <w:rPr>
          <w:rFonts w:ascii="Arial"/>
          <w:b/>
          <w:spacing w:val="-1"/>
          <w:w w:val="80"/>
          <w:sz w:val="16"/>
        </w:rPr>
        <w:t> </w:t>
      </w:r>
      <w:r>
        <w:rPr>
          <w:rFonts w:ascii="Arial"/>
          <w:b/>
          <w:w w:val="80"/>
          <w:sz w:val="16"/>
        </w:rPr>
        <w:t>of</w:t>
      </w:r>
      <w:r>
        <w:rPr>
          <w:rFonts w:ascii="Arial"/>
          <w:b/>
          <w:spacing w:val="7"/>
          <w:w w:val="80"/>
          <w:sz w:val="16"/>
        </w:rPr>
        <w:t> </w:t>
      </w:r>
      <w:r>
        <w:rPr>
          <w:rFonts w:ascii="Arial"/>
          <w:b/>
          <w:w w:val="80"/>
          <w:sz w:val="16"/>
        </w:rPr>
        <w:t>tertiary</w:t>
      </w:r>
      <w:r>
        <w:rPr>
          <w:rFonts w:ascii="Arial"/>
          <w:b/>
          <w:spacing w:val="6"/>
          <w:w w:val="80"/>
          <w:sz w:val="16"/>
        </w:rPr>
        <w:t> </w:t>
      </w:r>
      <w:r>
        <w:rPr>
          <w:rFonts w:ascii="Arial"/>
          <w:b/>
          <w:w w:val="80"/>
          <w:sz w:val="16"/>
        </w:rPr>
        <w:t>graduates</w:t>
      </w:r>
    </w:p>
    <w:p>
      <w:pPr>
        <w:pStyle w:val="BodyText"/>
        <w:spacing w:before="10"/>
        <w:rPr>
          <w:rFonts w:ascii="Arial"/>
          <w:b/>
          <w:sz w:val="12"/>
        </w:rPr>
      </w:pPr>
    </w:p>
    <w:p>
      <w:pPr>
        <w:spacing w:before="102"/>
        <w:ind w:left="604" w:right="0" w:firstLine="0"/>
        <w:jc w:val="left"/>
        <w:rPr>
          <w:rFonts w:ascii="Microsoft Sans Serif"/>
          <w:sz w:val="15"/>
        </w:rPr>
      </w:pPr>
      <w:r>
        <w:rPr/>
        <w:pict>
          <v:group style="position:absolute;margin-left:76.551239pt;margin-top:20.345713pt;width:435.55pt;height:162.25pt;mso-position-horizontal-relative:page;mso-position-vertical-relative:paragraph;z-index:-15712256;mso-wrap-distance-left:0;mso-wrap-distance-right:0" coordorigin="1531,407" coordsize="8711,3245">
            <v:rect style="position:absolute;left:2025;top:496;width:8209;height:2423" filled="true" fillcolor="#f1f1f1" stroked="false">
              <v:fill type="solid"/>
            </v:rect>
            <v:shape style="position:absolute;left:2025;top:2009;width:8209;height:606" coordorigin="2026,2010" coordsize="8209,606" path="m2026,2616l2088,2616m2254,2616l2381,2616m2548,2616l2674,2616m2841,2616l2967,2616m3134,2616l3261,2616m3427,2616l3554,2616m3721,2616l3847,2616m4014,2616l4140,2616m4307,2616l4434,2616m4600,2616l4727,2616m4894,2616l5020,2616m5187,2616l5313,2616m5480,2616l5607,2616m5773,2616l5900,2616m6067,2616l6193,2616m6360,2616l6486,2616m6653,2616l6780,2616m6946,2616l7070,2616m7240,2616l7364,2616m7533,2616l7657,2616m7826,2616l7950,2616m8119,2616l8243,2616m8413,2616l8537,2616m8706,2616l8830,2616m8999,2616l9123,2616m9290,2616l9416,2616m9583,2616l9710,2616m9877,2616l10003,2616m10170,2616l10234,2616m2026,2313l2088,2313m2254,2313l2381,2313m2548,2313l2674,2313m2841,2313l2967,2313m3134,2313l3261,2313m3427,2313l3554,2313m3721,2313l3847,2313m4014,2313l4140,2313m4307,2313l4434,2313m4600,2313l4727,2313m4894,2313l5020,2313m5187,2313l5313,2313m5480,2313l5607,2313m5690,2313l5900,2313m6067,2313l6193,2313m6360,2313l6486,2313m6653,2313l6780,2313m6946,2313l7070,2313m7240,2313l7364,2313m7533,2313l7657,2313m7743,2313l7950,2313m8119,2313l8243,2313m8413,2313l8537,2313m8706,2313l8830,2313m8999,2313l10086,2313m10170,2313l10234,2313m2026,2010l2088,2010m2254,2010l2381,2010m2548,2010l2674,2010m2841,2010l2967,2010m3134,2010l3261,2010m3427,2010l3554,2010m3721,2010l3847,2010m4014,2010l4140,2010m4224,2010l4434,2010m4600,2010l4727,2010m4894,2010l5020,2010m5187,2010l5313,2010e" filled="false" stroked="true" strokeweight=".715224pt" strokecolor="#ffffff">
              <v:path arrowok="t"/>
              <v:stroke dashstyle="solid"/>
            </v:shape>
            <v:shape style="position:absolute;left:5396;top:2007;width:210;height:8" coordorigin="5397,2008" coordsize="210,8" path="m5397,2015l5607,2015m5397,2008l5607,2008e" filled="false" stroked="true" strokeweight=".238405pt" strokecolor="#ffffff">
              <v:path arrowok="t"/>
              <v:stroke dashstyle="solid"/>
            </v:shape>
            <v:shape style="position:absolute;left:5690;top:2009;width:797;height:2" coordorigin="5690,2010" coordsize="797,0" path="m5690,2010l5900,2010m5983,2010l6193,2010m6277,2010l6486,2010e" filled="false" stroked="true" strokeweight=".715224pt" strokecolor="#ffffff">
              <v:path arrowok="t"/>
              <v:stroke dashstyle="solid"/>
            </v:shape>
            <v:shape style="position:absolute;left:6569;top:2006;width:3665;height:8" coordorigin="6570,2006" coordsize="3665,8" path="m6570,2014l7070,2014m7156,2014l10234,2014m6570,2006l10234,2006e" filled="false" stroked="true" strokeweight=".357612pt" strokecolor="#ffffff">
              <v:path arrowok="t"/>
              <v:stroke dashstyle="solid"/>
            </v:shape>
            <v:shape style="position:absolute;left:2025;top:798;width:8209;height:909" coordorigin="2026,799" coordsize="8209,909" path="m2026,1707l2088,1707m2254,1707l2381,1707m2548,1707l2674,1707m2841,1707l2967,1707m3134,1707l3261,1707m3427,1707l3554,1707m3637,1707l3847,1707m3931,1707l4140,1707m4224,1707l4434,1707m4517,1707l10234,1707m2026,1405l2088,1405m2254,1405l2381,1405m2548,1405l2674,1405m2758,1405l2967,1405m3051,1405l10234,1405m2026,1102l2088,1102m2254,1102l2381,1102m2464,1102l10234,1102m2026,799l2088,799m2171,799l10234,799e" filled="false" stroked="true" strokeweight=".715224pt" strokecolor="#ffffff">
              <v:path arrowok="t"/>
              <v:stroke dashstyle="solid"/>
            </v:shape>
            <v:shape style="position:absolute;left:2025;top:496;width:8209;height:2423" coordorigin="2026,496" coordsize="8209,2423" path="m2026,496l10234,496m2319,496l2319,2918m2612,496l2612,2918m2905,496l2905,2918m3199,496l3199,2918m3492,496l3492,2918m3785,496l3785,2918m4078,496l4078,2918m4369,496l4369,2918m4662,496l4662,2918m4956,496l4956,2918m5249,496l5249,2918m5542,496l5542,2918m5835,496l5835,2918m6129,496l6129,2918m6422,496l6422,2918m6715,496l6715,2918m7008,496l7008,2918m7302,496l7302,2918m7595,496l7595,2918m7888,496l7888,2918m8181,496l8181,2918m8475,496l8475,2918m8768,496l8768,2918m9061,496l9061,2918m9355,496l9355,2918m9648,496l9648,2918m9941,496l9941,2918m10234,496l10234,2918e" filled="false" stroked="true" strokeweight=".715238pt" strokecolor="#ffffff">
              <v:path arrowok="t"/>
              <v:stroke dashstyle="solid"/>
            </v:shape>
            <v:shape style="position:absolute;left:2087;top:779;width:7999;height:2139" coordorigin="2088,780" coordsize="7999,2139" path="m2171,780l2088,780,2088,2918,2171,2918,2171,780xm2464,1064l2381,1064,2381,2918,2464,2918,2464,1064xm2758,1126l2674,1126,2674,2918,2758,2918,2758,1126xm3051,1228l2967,1228,2967,2918,3051,2918,3051,1228xm3344,1505l3261,1505,3261,2918,3344,2918,3344,1505xm3637,1514l3554,1514,3554,2918,3637,2918,3637,1514xm3931,1555l3847,1555,3847,2918,3931,2918,3931,1555xm4224,1567l4140,1567,4140,2918,4224,2918,4224,1567xm4517,1636l4434,1636,4434,2918,4517,2918,4517,1636xm4810,1772l4727,1772,4727,2918,4810,2918,4810,1772xm5104,1776l5020,1776,5020,2918,5104,2918,5104,1776xm5397,1781l5313,1781,5313,2918,5397,2918,5397,1781xm5690,1791l5607,1791,5607,2918,5690,2918,5690,1791xm5983,1822l5900,1822,5900,2918,5983,2918,5983,1822xm6277,1853l6193,1853,6193,2918,6277,2918,6277,1853xm6570,1903l6486,1903,6486,2918,6570,2918,6570,1903xm6863,2010l6780,2010,6780,2918,6863,2918,6863,2010xm7156,2010l7070,2010,7070,2918,7156,2918,7156,2010xm7450,2124l7364,2124,7364,2918,7450,2918,7450,2124xm7743,2167l7657,2167,7657,2918,7743,2918,7743,2167xm8034,2172l7950,2172,7950,2918,8034,2918,8034,2172xm8327,2196l8243,2196,8243,2918,8327,2918,8327,2196xm8620,2201l8537,2201,8537,2918,8620,2918,8620,2201xm8913,2306l8830,2306,8830,2918,8913,2918,8913,2306xm9207,2329l9123,2329,9123,2918,9207,2918,9207,2329xm9500,2341l9416,2341,9416,2918,9500,2918,9500,2341xm9793,2356l9710,2356,9710,2918,9793,2918,9793,2356xm10086,2430l10003,2430,10003,2918,10086,2918,10086,2430xe" filled="true" fillcolor="#002f6c" stroked="false">
              <v:path arrowok="t"/>
              <v:fill type="solid"/>
            </v:shape>
            <v:shape style="position:absolute;left:2171;top:1027;width:7999;height:1891" coordorigin="2171,1028" coordsize="7999,1891" path="m2254,1028l2171,1028,2171,2918,2254,2918,2254,1028xm2548,1354l2464,1354,2464,2918,2548,2918,2548,1354xm2841,1519l2758,1519,2758,2918,2841,2918,2841,1519xm3134,1543l3051,1543,3051,2918,3134,2918,3134,1543xm3427,1445l3344,1445,3344,2918,3427,2918,3427,1445xm3721,1967l3637,1967,3637,2918,3721,2918,3721,1967xm4014,1850l3931,1850,3931,2918,4014,2918,4014,1850xm4307,2055l4224,2055,4224,2918,4307,2918,4307,2055xm4600,1824l4517,1824,4517,2918,4600,2918,4600,1824xm4894,1753l4810,1753,4810,2918,4894,2918,4894,1753xm5187,1765l5104,1765,5104,2918,5187,2918,5187,1765xm5480,2012l5397,2012,5397,2918,5480,2918,5480,2012xm5773,2425l5690,2425,5690,2918,5773,2918,5773,2425xm6067,2303l5983,2303,5983,2918,6067,2918,6067,2303xm6360,2115l6277,2115,6277,2918,6360,2918,6360,2115xm6653,2053l6570,2053,6570,2918,6653,2918,6653,2053xm6946,2215l6863,2215,6863,2918,6946,2918,6946,2215xm7240,2291l7156,2291,7156,2918,7240,2918,7240,2291xm7533,2165l7450,2165,7450,2918,7533,2918,7533,2165xm7826,2327l7743,2327,7743,2918,7826,2918,7826,2327xm8119,2227l8034,2227,8034,2918,8119,2918,8119,2227xm8413,2248l8327,2248,8327,2918,8413,2918,8413,2248xm8706,2284l8620,2284,8620,2918,8706,2918,8706,2284xm8999,2253l8913,2253,8913,2918,8999,2918,8999,2253xm9290,2494l9207,2494,9207,2918,9290,2918,9290,2494xm9583,2561l9500,2561,9500,2918,9583,2918,9583,2561xm9877,2482l9793,2482,9793,2918,9877,2918,9877,2482xm10170,2258l10086,2258,10086,2918,10170,2918,10170,2258xe" filled="true" fillcolor="#7fa8d9" stroked="false">
              <v:path arrowok="t"/>
              <v:fill type="solid"/>
            </v:shape>
            <v:shape style="position:absolute;left:2025;top:496;width:8209;height:2423" coordorigin="2026,496" coordsize="8209,2423" path="m2026,2918l2026,496m2026,2918l2071,2918m2026,2616l2071,2616m2026,2313l2071,2313m2026,2010l2071,2010m2026,1707l2071,1707m2026,1405l2071,1405m2026,1102l2071,1102m2026,799l2071,799m2026,496l2071,496m2026,2918l10234,2918m2026,2873l2026,2918m5249,2873l5249,2918m6422,2873l6422,2918m6715,2873l6715,2918m8768,2873l8768,2918e" filled="false" stroked="true" strokeweight=".715238pt" strokecolor="#000000">
              <v:path arrowok="t"/>
              <v:stroke dashstyle="solid"/>
            </v:shape>
            <v:shape style="position:absolute;left:1531;top:2873;width:8591;height:779" type="#_x0000_t75" stroked="false">
              <v:imagedata r:id="rId88" o:title=""/>
            </v:shape>
            <v:line style="position:absolute" from="10234,2873" to="10234,2918" stroked="true" strokeweight=".715252pt" strokecolor="#000000">
              <v:stroke dashstyle="solid"/>
            </v:line>
            <v:rect style="position:absolute;left:2030;top:488;width:275;height:2435" filled="true" fillcolor="#8497b0" stroked="false">
              <v:fill opacity="19789f" type="solid"/>
            </v:rect>
            <v:shape style="position:absolute;left:1759;top:406;width:159;height:259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80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70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60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50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40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30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20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10</w:t>
                    </w:r>
                  </w:p>
                  <w:p>
                    <w:pPr>
                      <w:spacing w:before="133"/>
                      <w:ind w:left="68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8.311722pt;margin-top:2.87511pt;width:393.3pt;height:14.8pt;mso-position-horizontal-relative:page;mso-position-vertical-relative:paragraph;z-index:15745536" coordorigin="2166,58" coordsize="7866,296">
            <v:rect style="position:absolute;left:2166;top:57;width:7866;height:296" filled="true" fillcolor="#f1f1f1" stroked="false">
              <v:fill type="solid"/>
            </v:rect>
            <v:rect style="position:absolute;left:3522;top:167;width:77;height:77" filled="true" fillcolor="#002f6c" stroked="false">
              <v:fill type="solid"/>
            </v:rect>
            <v:rect style="position:absolute;left:6901;top:167;width:74;height:77" filled="true" fillcolor="#7fa8d9" stroked="false">
              <v:fill type="solid"/>
            </v:rect>
            <v:shape style="position:absolute;left:2166;top:57;width:7866;height:296" type="#_x0000_t202" filled="false" stroked="false">
              <v:textbox inset="0,0,0,0">
                <w:txbxContent>
                  <w:p>
                    <w:pPr>
                      <w:tabs>
                        <w:tab w:pos="3545" w:val="left" w:leader="none"/>
                      </w:tabs>
                      <w:spacing w:before="59"/>
                      <w:ind w:left="167" w:right="0" w:firstLine="0"/>
                      <w:jc w:val="center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0"/>
                        <w:sz w:val="15"/>
                      </w:rPr>
                      <w:t>Recent</w:t>
                    </w:r>
                    <w:r>
                      <w:rPr>
                        <w:rFonts w:ascii="Microsoft Sans Serif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graduates</w:t>
                    </w:r>
                    <w:r>
                      <w:rPr>
                        <w:rFonts w:ascii="Microsoft Sans Serif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(25-34</w:t>
                    </w:r>
                    <w:r>
                      <w:rPr>
                        <w:rFonts w:ascii="Microsoft Sans Serif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years</w:t>
                    </w:r>
                    <w:r>
                      <w:rPr>
                        <w:rFonts w:ascii="Microsoft Sans Serif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old)</w:t>
                      <w:tab/>
                      <w:t>Older</w:t>
                    </w:r>
                    <w:r>
                      <w:rPr>
                        <w:rFonts w:ascii="Microsoft Sans Serif"/>
                        <w:spacing w:val="6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graduates</w:t>
                    </w:r>
                    <w:r>
                      <w:rPr>
                        <w:rFonts w:ascii="Microsoft Sans Serif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(35+</w:t>
                    </w:r>
                    <w:r>
                      <w:rPr>
                        <w:rFonts w:ascii="Microsoft Sans Serif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years</w:t>
                    </w:r>
                    <w:r>
                      <w:rPr>
                        <w:rFonts w:ascii="Microsoft Sans Serif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old)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81"/>
          <w:sz w:val="15"/>
        </w:rPr>
        <w:t>%</w:t>
      </w:r>
    </w:p>
    <w:p>
      <w:pPr>
        <w:pStyle w:val="BodyText"/>
        <w:spacing w:before="1"/>
        <w:rPr>
          <w:rFonts w:ascii="Microsoft Sans Serif"/>
          <w:sz w:val="19"/>
        </w:rPr>
      </w:pPr>
    </w:p>
    <w:p>
      <w:pPr>
        <w:spacing w:line="259" w:lineRule="auto" w:before="102"/>
        <w:ind w:left="183" w:right="301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w w:val="85"/>
          <w:sz w:val="18"/>
        </w:rPr>
        <w:t>Note: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The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countries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considered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across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the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different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indicators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change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due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to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availability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of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data.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The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field-of-study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indicator</w:t>
      </w:r>
      <w:r>
        <w:rPr>
          <w:rFonts w:ascii="Microsoft Sans Serif" w:hAnsi="Microsoft Sans Serif"/>
          <w:spacing w:val="-4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can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only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be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calculated for workers aged 15-34. The qualification mismatch index calculates the share of under- or over-qualified workers by computing the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modal (i.e. most common) educational attainment level for each</w:t>
      </w:r>
      <w:r>
        <w:rPr>
          <w:rFonts w:ascii="Microsoft Sans Serif" w:hAnsi="Microsoft Sans Serif"/>
          <w:spacing w:val="28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occupation and using this as a benchmark to measure whether individual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spacing w:val="-1"/>
          <w:w w:val="85"/>
          <w:sz w:val="18"/>
        </w:rPr>
        <w:t>workers’ qualifications match the “normal” education requirement of the occupation. </w:t>
      </w:r>
      <w:r>
        <w:rPr>
          <w:rFonts w:ascii="Microsoft Sans Serif" w:hAnsi="Microsoft Sans Serif"/>
          <w:w w:val="85"/>
          <w:sz w:val="18"/>
        </w:rPr>
        <w:t>This approach has the advantage of being comparable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across countries. However, occupational averages will tend to be driven by the majority of older workers with longer tenure. This means that the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index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might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tend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to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reflect</w:t>
      </w:r>
      <w:r>
        <w:rPr>
          <w:rFonts w:ascii="Microsoft Sans Serif" w:hAnsi="Microsoft Sans Serif"/>
          <w:spacing w:val="-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historical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rather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than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current</w:t>
      </w:r>
      <w:r>
        <w:rPr>
          <w:rFonts w:ascii="Microsoft Sans Serif" w:hAnsi="Microsoft Sans Serif"/>
          <w:spacing w:val="-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entry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requirements.</w:t>
      </w:r>
      <w:r>
        <w:rPr>
          <w:rFonts w:ascii="Microsoft Sans Serif" w:hAnsi="Microsoft Sans Serif"/>
          <w:spacing w:val="-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This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could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lead</w:t>
      </w:r>
      <w:r>
        <w:rPr>
          <w:rFonts w:ascii="Microsoft Sans Serif" w:hAnsi="Microsoft Sans Serif"/>
          <w:spacing w:val="-1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to</w:t>
      </w:r>
      <w:r>
        <w:rPr>
          <w:rFonts w:ascii="Microsoft Sans Serif" w:hAnsi="Microsoft Sans Serif"/>
          <w:spacing w:val="-3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over-estimated rates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of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over-qualification</w:t>
      </w:r>
      <w:r>
        <w:rPr>
          <w:rFonts w:ascii="Microsoft Sans Serif" w:hAnsi="Microsoft Sans Serif"/>
          <w:spacing w:val="-2"/>
          <w:w w:val="85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for</w:t>
      </w:r>
      <w:r>
        <w:rPr>
          <w:rFonts w:ascii="Microsoft Sans Serif" w:hAnsi="Microsoft Sans Serif"/>
          <w:spacing w:val="-39"/>
          <w:w w:val="85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countries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that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have</w:t>
      </w:r>
      <w:r>
        <w:rPr>
          <w:rFonts w:ascii="Microsoft Sans Serif" w:hAnsi="Microsoft Sans Serif"/>
          <w:spacing w:val="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seen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</w:t>
      </w:r>
      <w:r>
        <w:rPr>
          <w:rFonts w:ascii="Microsoft Sans Serif" w:hAnsi="Microsoft Sans Serif"/>
          <w:spacing w:val="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increase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</w:t>
      </w:r>
      <w:r>
        <w:rPr>
          <w:rFonts w:ascii="Microsoft Sans Serif" w:hAnsi="Microsoft Sans Serif"/>
          <w:spacing w:val="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tertiary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attainment,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such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as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Czech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Republic,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Slovak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Republic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and</w:t>
      </w:r>
      <w:r>
        <w:rPr>
          <w:rFonts w:ascii="Microsoft Sans Serif" w:hAnsi="Microsoft Sans Serif"/>
          <w:spacing w:val="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Poland.</w:t>
      </w:r>
    </w:p>
    <w:p>
      <w:pPr>
        <w:spacing w:after="0" w:line="259" w:lineRule="auto"/>
        <w:jc w:val="both"/>
        <w:rPr>
          <w:rFonts w:ascii="Microsoft Sans Serif" w:hAnsi="Microsoft Sans Serif"/>
          <w:sz w:val="18"/>
        </w:rPr>
        <w:sectPr>
          <w:type w:val="continuous"/>
          <w:pgSz w:w="11910" w:h="15880"/>
          <w:pgMar w:top="1500" w:bottom="280" w:left="1120" w:right="1000"/>
        </w:sectPr>
      </w:pPr>
    </w:p>
    <w:p>
      <w:pPr>
        <w:spacing w:line="259" w:lineRule="auto" w:before="170"/>
        <w:ind w:left="183" w:right="322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[5]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Skills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Strategy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Slovak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Republic: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Assessment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and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Recommendations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hyperlink r:id="rId85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https://doi.org/10.1787/bb688e68-en</w:t>
        </w:r>
        <w:r>
          <w:rPr>
            <w:rFonts w:ascii="Microsoft Sans Serif"/>
            <w:w w:val="80"/>
            <w:position w:val="1"/>
            <w:sz w:val="18"/>
          </w:rPr>
          <w:t>,</w:t>
        </w:r>
      </w:hyperlink>
      <w:r>
        <w:rPr>
          <w:rFonts w:ascii="Microsoft Sans Serif"/>
          <w:spacing w:val="-36"/>
          <w:w w:val="80"/>
          <w:position w:val="1"/>
          <w:sz w:val="18"/>
        </w:rPr>
        <w:t> </w:t>
      </w:r>
      <w:r>
        <w:rPr>
          <w:rFonts w:ascii="Microsoft Sans Serif"/>
          <w:w w:val="90"/>
          <w:sz w:val="18"/>
        </w:rPr>
        <w:t>Figure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3.3.</w:t>
      </w:r>
    </w:p>
    <w:p>
      <w:pPr>
        <w:pStyle w:val="BodyText"/>
        <w:rPr>
          <w:rFonts w:ascii="Microsoft Sans Serif"/>
        </w:rPr>
      </w:pPr>
    </w:p>
    <w:p>
      <w:pPr>
        <w:spacing w:before="123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89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https://doi.org/10.1787/888934279092</w:t>
        </w:r>
      </w:hyperlink>
    </w:p>
    <w:p>
      <w:pPr>
        <w:pStyle w:val="BodyText"/>
        <w:rPr>
          <w:rFonts w:ascii="Microsoft Sans Serif"/>
          <w:sz w:val="18"/>
        </w:rPr>
      </w:pPr>
    </w:p>
    <w:p>
      <w:pPr>
        <w:pStyle w:val="Heading5"/>
        <w:spacing w:before="94"/>
      </w:pPr>
      <w:bookmarkStart w:name="Research and development performance" w:id="69"/>
      <w:bookmarkEnd w:id="69"/>
      <w:r>
        <w:rPr>
          <w:b w:val="0"/>
          <w:i w:val="0"/>
        </w:rPr>
      </w:r>
      <w:r>
        <w:rPr/>
        <w:t>Research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performance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6"/>
        <w:jc w:val="both"/>
      </w:pPr>
      <w:r>
        <w:rPr/>
        <w:t>Research and development (R&amp;D) is a key component of higher education performance. Research</w:t>
      </w:r>
      <w:r>
        <w:rPr>
          <w:spacing w:val="1"/>
        </w:rPr>
        <w:t> </w:t>
      </w:r>
      <w:r>
        <w:rPr>
          <w:spacing w:val="-1"/>
        </w:rPr>
        <w:t>outcomes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10"/>
        </w:rPr>
        <w:t> </w:t>
      </w:r>
      <w:r>
        <w:rPr>
          <w:spacing w:val="-1"/>
        </w:rPr>
        <w:t>often</w:t>
      </w:r>
      <w:r>
        <w:rPr>
          <w:spacing w:val="-13"/>
        </w:rPr>
        <w:t> </w:t>
      </w:r>
      <w:r>
        <w:rPr>
          <w:spacing w:val="-1"/>
        </w:rPr>
        <w:t>measured</w:t>
      </w:r>
      <w:r>
        <w:rPr>
          <w:spacing w:val="-11"/>
        </w:rPr>
        <w:t> </w:t>
      </w:r>
      <w:r>
        <w:rPr>
          <w:spacing w:val="-1"/>
        </w:rPr>
        <w:t>using</w:t>
      </w:r>
      <w:r>
        <w:rPr>
          <w:spacing w:val="-10"/>
        </w:rPr>
        <w:t> </w:t>
      </w:r>
      <w:r>
        <w:rPr>
          <w:spacing w:val="-1"/>
        </w:rPr>
        <w:t>output</w:t>
      </w:r>
      <w:r>
        <w:rPr>
          <w:spacing w:val="-10"/>
        </w:rPr>
        <w:t> </w:t>
      </w:r>
      <w:r>
        <w:rPr/>
        <w:t>indicators,</w:t>
      </w:r>
      <w:r>
        <w:rPr>
          <w:spacing w:val="-10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publications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citations,</w:t>
      </w:r>
      <w:r>
        <w:rPr>
          <w:spacing w:val="-10"/>
        </w:rPr>
        <w:t> </w:t>
      </w:r>
      <w:r>
        <w:rPr/>
        <w:t>doctoral</w:t>
      </w:r>
      <w:r>
        <w:rPr>
          <w:spacing w:val="-11"/>
        </w:rPr>
        <w:t> </w:t>
      </w:r>
      <w:r>
        <w:rPr/>
        <w:t>degrees</w:t>
      </w:r>
      <w:r>
        <w:rPr>
          <w:spacing w:val="1"/>
        </w:rPr>
        <w:t> </w:t>
      </w:r>
      <w:r>
        <w:rPr/>
        <w:t>awarded, successful patent applications, external research funding obtained, income from science and</w:t>
      </w:r>
      <w:r>
        <w:rPr>
          <w:spacing w:val="1"/>
        </w:rPr>
        <w:t> </w:t>
      </w:r>
      <w:r>
        <w:rPr/>
        <w:t>technology transfers, publishing and researchers, etc. Input indicators, such as the number of doctoral</w:t>
      </w:r>
      <w:r>
        <w:rPr>
          <w:spacing w:val="1"/>
        </w:rPr>
        <w:t> </w:t>
      </w:r>
      <w:r>
        <w:rPr/>
        <w:t>students/candidates and patent applications, as well as spending on R&amp;D, are also useful indicators to</w:t>
      </w:r>
      <w:r>
        <w:rPr>
          <w:spacing w:val="1"/>
        </w:rPr>
        <w:t> </w:t>
      </w:r>
      <w:r>
        <w:rPr/>
        <w:t>analyse</w:t>
      </w:r>
      <w:r>
        <w:rPr>
          <w:spacing w:val="-2"/>
        </w:rPr>
        <w:t> </w:t>
      </w:r>
      <w:r>
        <w:rPr/>
        <w:t>countries’ potential</w:t>
      </w:r>
      <w:r>
        <w:rPr>
          <w:spacing w:val="-1"/>
        </w:rPr>
        <w:t> </w:t>
      </w:r>
      <w:r>
        <w:rPr/>
        <w:t>progress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271" w:lineRule="auto" w:before="121"/>
        <w:ind w:left="183" w:right="306"/>
        <w:jc w:val="both"/>
      </w:pPr>
      <w:r>
        <w:rPr/>
        <w:t>Gross domestic expenditure on R&amp;D (GERD) in the Slovak Republic has more than doubled in recent</w:t>
      </w:r>
      <w:r>
        <w:rPr>
          <w:spacing w:val="1"/>
        </w:rPr>
        <w:t> </w:t>
      </w:r>
      <w:r>
        <w:rPr/>
        <w:t>years as the country received substantial funding through the EU structural funds. GERD increased from</w:t>
      </w:r>
      <w:r>
        <w:rPr>
          <w:spacing w:val="1"/>
        </w:rPr>
        <w:t> </w:t>
      </w:r>
      <w:r>
        <w:rPr/>
        <w:t>USD</w:t>
      </w:r>
      <w:r>
        <w:rPr>
          <w:spacing w:val="-6"/>
        </w:rPr>
        <w:t> </w:t>
      </w:r>
      <w:r>
        <w:rPr/>
        <w:t>600</w:t>
      </w:r>
      <w:r>
        <w:rPr>
          <w:spacing w:val="-7"/>
        </w:rPr>
        <w:t> </w:t>
      </w:r>
      <w:r>
        <w:rPr/>
        <w:t>million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2009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USD</w:t>
      </w:r>
      <w:r>
        <w:rPr>
          <w:spacing w:val="-6"/>
        </w:rPr>
        <w:t> </w:t>
      </w:r>
      <w:r>
        <w:rPr/>
        <w:t>1</w:t>
      </w:r>
      <w:r>
        <w:rPr>
          <w:spacing w:val="-7"/>
        </w:rPr>
        <w:t> </w:t>
      </w:r>
      <w:r>
        <w:rPr/>
        <w:t>900</w:t>
      </w:r>
      <w:r>
        <w:rPr>
          <w:spacing w:val="-6"/>
        </w:rPr>
        <w:t> </w:t>
      </w:r>
      <w:r>
        <w:rPr/>
        <w:t>million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2015,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declined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USD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400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2018.</w:t>
      </w:r>
      <w:r>
        <w:rPr>
          <w:spacing w:val="-5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this general upward trend, GERD was 0.8% of gross domestic product (GDP) in 2018, below the OECD</w:t>
      </w:r>
      <w:r>
        <w:rPr>
          <w:spacing w:val="1"/>
        </w:rPr>
        <w:t> </w:t>
      </w:r>
      <w:r>
        <w:rPr>
          <w:position w:val="1"/>
        </w:rPr>
        <w:t>average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2.4% (OECD,</w:t>
      </w:r>
      <w:r>
        <w:rPr>
          <w:spacing w:val="-1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[36]</w:t>
      </w:r>
      <w:r>
        <w:rPr>
          <w:position w:val="1"/>
        </w:rPr>
        <w:t>).</w:t>
      </w:r>
    </w:p>
    <w:p>
      <w:pPr>
        <w:pStyle w:val="BodyText"/>
        <w:spacing w:line="271" w:lineRule="auto" w:before="119"/>
        <w:ind w:left="183" w:right="300"/>
        <w:jc w:val="both"/>
      </w:pPr>
      <w:r>
        <w:rPr/>
        <w:t>Reflecting on the increase in GERD, there has been significant progress in terms of scientific research</w:t>
      </w:r>
      <w:r>
        <w:rPr>
          <w:spacing w:val="1"/>
        </w:rPr>
        <w:t> </w:t>
      </w:r>
      <w:r>
        <w:rPr/>
        <w:t>production in recent years. Between 2009 and 2018, the total number of scientific publications in the</w:t>
      </w:r>
      <w:r>
        <w:rPr>
          <w:spacing w:val="1"/>
        </w:rPr>
        <w:t> </w:t>
      </w:r>
      <w:r>
        <w:rPr/>
        <w:t>Scopus database across OECD countries increased from approximately 1.3 million to 1.6 million, an</w:t>
      </w:r>
      <w:r>
        <w:rPr>
          <w:spacing w:val="1"/>
        </w:rPr>
        <w:t> </w:t>
      </w:r>
      <w:r>
        <w:rPr/>
        <w:t>increase of around 20%. By comparison, the production of scientific publications almost doubled in the</w:t>
      </w:r>
      <w:r>
        <w:rPr>
          <w:spacing w:val="1"/>
        </w:rPr>
        <w:t> </w:t>
      </w:r>
      <w:r>
        <w:rPr>
          <w:position w:val="1"/>
        </w:rPr>
        <w:t>Slovak Republic over the same period, from 3 200 to 5 900 (OECD, 2021</w:t>
      </w:r>
      <w:r>
        <w:rPr>
          <w:sz w:val="13"/>
        </w:rPr>
        <w:t>[36]</w:t>
      </w:r>
      <w:r>
        <w:rPr>
          <w:position w:val="1"/>
        </w:rPr>
        <w:t>). However, the amount of</w:t>
      </w:r>
      <w:r>
        <w:rPr>
          <w:spacing w:val="1"/>
          <w:position w:val="1"/>
        </w:rPr>
        <w:t> </w:t>
      </w:r>
      <w:r>
        <w:rPr/>
        <w:t>scientific production is still low compared to international peers. As shown in </w:t>
      </w:r>
      <w:hyperlink w:history="true" w:anchor="_bookmark29">
        <w:r>
          <w:rPr/>
          <w:t>Table 2.6, </w:t>
        </w:r>
      </w:hyperlink>
      <w:r>
        <w:rPr/>
        <w:t>the number of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thousand</w:t>
      </w:r>
      <w:r>
        <w:rPr>
          <w:spacing w:val="-3"/>
        </w:rPr>
        <w:t> </w:t>
      </w:r>
      <w:r>
        <w:rPr/>
        <w:t>inhabitants</w:t>
      </w:r>
      <w:r>
        <w:rPr>
          <w:spacing w:val="-2"/>
        </w:rPr>
        <w:t> </w:t>
      </w:r>
      <w:r>
        <w:rPr/>
        <w:t>aged</w:t>
      </w:r>
      <w:r>
        <w:rPr>
          <w:spacing w:val="-3"/>
        </w:rPr>
        <w:t> </w:t>
      </w:r>
      <w:r>
        <w:rPr/>
        <w:t>25-64 was 1.9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2018,</w:t>
      </w:r>
      <w:r>
        <w:rPr>
          <w:spacing w:val="-5"/>
        </w:rPr>
        <w:t> </w:t>
      </w:r>
      <w:r>
        <w:rPr/>
        <w:t>below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OECD</w:t>
      </w:r>
      <w:r>
        <w:rPr>
          <w:spacing w:val="-4"/>
        </w:rPr>
        <w:t> </w:t>
      </w:r>
      <w:r>
        <w:rPr/>
        <w:t>average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2.7.</w:t>
      </w:r>
    </w:p>
    <w:p>
      <w:pPr>
        <w:pStyle w:val="BodyText"/>
        <w:spacing w:line="271" w:lineRule="auto" w:before="123"/>
        <w:ind w:left="183" w:right="301"/>
        <w:jc w:val="both"/>
      </w:pPr>
      <w:r>
        <w:rPr/>
        <w:t>Until recently, Slovak HEIs received funding for research activities based mainly on the number of</w:t>
      </w:r>
      <w:r>
        <w:rPr>
          <w:spacing w:val="1"/>
        </w:rPr>
        <w:t> </w:t>
      </w:r>
      <w:r>
        <w:rPr>
          <w:spacing w:val="-1"/>
        </w:rPr>
        <w:t>publications,</w:t>
      </w:r>
      <w:r>
        <w:rPr>
          <w:spacing w:val="-7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/>
        <w:t>led</w:t>
      </w:r>
      <w:r>
        <w:rPr>
          <w:spacing w:val="-10"/>
        </w:rPr>
        <w:t> </w:t>
      </w:r>
      <w:r>
        <w:rPr/>
        <w:t>researchers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focus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quantity</w:t>
      </w:r>
      <w:r>
        <w:rPr>
          <w:spacing w:val="-14"/>
        </w:rPr>
        <w:t> </w:t>
      </w:r>
      <w:r>
        <w:rPr/>
        <w:t>rather</w:t>
      </w:r>
      <w:r>
        <w:rPr>
          <w:spacing w:val="-7"/>
        </w:rPr>
        <w:t> </w:t>
      </w:r>
      <w:r>
        <w:rPr/>
        <w:t>than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publications.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2018,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number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publications</w:t>
      </w:r>
      <w:r>
        <w:rPr>
          <w:spacing w:val="-11"/>
        </w:rPr>
        <w:t> </w:t>
      </w:r>
      <w:r>
        <w:rPr>
          <w:spacing w:val="-1"/>
        </w:rPr>
        <w:t>per</w:t>
      </w:r>
      <w:r>
        <w:rPr>
          <w:spacing w:val="-11"/>
        </w:rPr>
        <w:t> </w:t>
      </w:r>
      <w:r>
        <w:rPr>
          <w:spacing w:val="-1"/>
        </w:rPr>
        <w:t>full-time</w:t>
      </w:r>
      <w:r>
        <w:rPr>
          <w:spacing w:val="-13"/>
        </w:rPr>
        <w:t> </w:t>
      </w:r>
      <w:r>
        <w:rPr/>
        <w:t>equivalent</w:t>
      </w:r>
      <w:r>
        <w:rPr>
          <w:spacing w:val="-10"/>
        </w:rPr>
        <w:t> </w:t>
      </w:r>
      <w:r>
        <w:rPr/>
        <w:t>researcher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0.36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-9"/>
        </w:rPr>
        <w:t> </w:t>
      </w:r>
      <w:r>
        <w:rPr/>
        <w:t>Republic,</w:t>
      </w:r>
      <w:r>
        <w:rPr>
          <w:spacing w:val="-10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-4"/>
        </w:rPr>
        <w:t> </w:t>
      </w:r>
      <w:r>
        <w:rPr/>
        <w:t>close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OECD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0.35,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GERD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publication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lowest</w:t>
      </w:r>
      <w:r>
        <w:rPr>
          <w:spacing w:val="-4"/>
        </w:rPr>
        <w:t> </w:t>
      </w:r>
      <w:r>
        <w:rPr/>
        <w:t>among</w:t>
      </w:r>
      <w:r>
        <w:rPr>
          <w:spacing w:val="1"/>
        </w:rPr>
        <w:t> </w:t>
      </w:r>
      <w:r>
        <w:rPr/>
        <w:t>OECD countries (</w:t>
      </w:r>
      <w:hyperlink w:history="true" w:anchor="_bookmark30">
        <w:r>
          <w:rPr/>
          <w:t>Figure 2.10.</w:t>
        </w:r>
      </w:hyperlink>
      <w:r>
        <w:rPr/>
        <w:t> ). The average impact of these publications, measured by the average</w:t>
      </w:r>
      <w:r>
        <w:rPr>
          <w:spacing w:val="1"/>
        </w:rPr>
        <w:t> </w:t>
      </w:r>
      <w:r>
        <w:rPr/>
        <w:t>number of citations per document, was also one of the lowest (</w:t>
      </w:r>
      <w:hyperlink w:history="true" w:anchor="_bookmark29">
        <w:r>
          <w:rPr/>
          <w:t>Table 2.6</w:t>
        </w:r>
      </w:hyperlink>
      <w:r>
        <w:rPr/>
        <w:t>). In 2017, the financing of public</w:t>
      </w:r>
      <w:r>
        <w:rPr>
          <w:spacing w:val="-53"/>
        </w:rPr>
        <w:t> </w:t>
      </w:r>
      <w:r>
        <w:rPr/>
        <w:t>HEIs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international,</w:t>
      </w:r>
      <w:r>
        <w:rPr>
          <w:spacing w:val="1"/>
        </w:rPr>
        <w:t> </w:t>
      </w:r>
      <w:r>
        <w:rPr/>
        <w:t>high-impact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>
          <w:spacing w:val="-1"/>
        </w:rPr>
        <w:t>discussed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Chapter</w:t>
      </w:r>
      <w:r>
        <w:rPr>
          <w:spacing w:val="-9"/>
        </w:rPr>
        <w:t> </w:t>
      </w:r>
      <w:r>
        <w:rPr>
          <w:spacing w:val="-1"/>
        </w:rPr>
        <w:t>3.</w:t>
      </w:r>
      <w:r>
        <w:rPr>
          <w:spacing w:val="-9"/>
        </w:rPr>
        <w:t> </w:t>
      </w:r>
      <w:r>
        <w:rPr>
          <w:spacing w:val="-1"/>
        </w:rPr>
        <w:t>Nevertheless,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capacity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Slovak</w:t>
      </w:r>
      <w:r>
        <w:rPr>
          <w:spacing w:val="-9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system</w:t>
      </w:r>
      <w:r>
        <w:rPr>
          <w:spacing w:val="-7"/>
        </w:rPr>
        <w:t> </w:t>
      </w:r>
      <w:r>
        <w:rPr/>
        <w:t>to</w:t>
      </w:r>
      <w:r>
        <w:rPr>
          <w:spacing w:val="-13"/>
        </w:rPr>
        <w:t> </w:t>
      </w:r>
      <w:r>
        <w:rPr/>
        <w:t>produce</w:t>
      </w:r>
      <w:r>
        <w:rPr>
          <w:spacing w:val="-10"/>
        </w:rPr>
        <w:t> </w:t>
      </w:r>
      <w:r>
        <w:rPr/>
        <w:t>high-</w:t>
      </w:r>
      <w:r>
        <w:rPr>
          <w:spacing w:val="1"/>
        </w:rPr>
        <w:t> </w:t>
      </w:r>
      <w:r>
        <w:rPr/>
        <w:t>impact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needs more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adjust.</w:t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29" w:id="70"/>
      <w:bookmarkEnd w:id="70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2.6.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Quantity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impact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scientific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production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selected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countries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(2018)</w:t>
      </w:r>
    </w:p>
    <w:p>
      <w:pPr>
        <w:pStyle w:val="Heading6"/>
        <w:spacing w:before="188"/>
        <w:jc w:val="both"/>
      </w:pPr>
      <w:r>
        <w:rPr>
          <w:w w:val="80"/>
        </w:rPr>
        <w:t>Fractional</w:t>
      </w:r>
      <w:r>
        <w:rPr>
          <w:spacing w:val="13"/>
          <w:w w:val="80"/>
        </w:rPr>
        <w:t> </w:t>
      </w:r>
      <w:r>
        <w:rPr>
          <w:w w:val="80"/>
        </w:rPr>
        <w:t>counts</w:t>
      </w:r>
    </w:p>
    <w:p>
      <w:pPr>
        <w:pStyle w:val="BodyText"/>
        <w:spacing w:before="5" w:after="1"/>
        <w:rPr>
          <w:rFonts w:ascii="Microsoft Sans Serif"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858"/>
        <w:gridCol w:w="1860"/>
        <w:gridCol w:w="1860"/>
        <w:gridCol w:w="1860"/>
      </w:tblGrid>
      <w:tr>
        <w:trPr>
          <w:trHeight w:val="678" w:hRule="atLeast"/>
        </w:trPr>
        <w:tc>
          <w:tcPr>
            <w:tcW w:w="1874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8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29" w:firstLine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Number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publications</w:t>
            </w:r>
          </w:p>
          <w:p>
            <w:pPr>
              <w:pStyle w:val="TableParagraph"/>
              <w:spacing w:line="220" w:lineRule="atLeast" w:before="0"/>
              <w:ind w:left="564" w:hanging="43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per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thousand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inhabitants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aged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25-64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141"/>
              <w:ind w:left="146" w:firstLine="41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OECD rank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(number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publications)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30"/>
              <w:ind w:left="180" w:firstLine="30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Percentage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</w:p>
          <w:p>
            <w:pPr>
              <w:pStyle w:val="TableParagraph"/>
              <w:spacing w:line="220" w:lineRule="atLeast" w:before="0"/>
              <w:ind w:left="185" w:right="144" w:hanging="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publications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among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the</w:t>
            </w:r>
            <w:r>
              <w:rPr>
                <w:rFonts w:ascii="Microsoft Sans Serif" w:hAns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world’s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10%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most</w:t>
            </w:r>
            <w:r>
              <w:rPr>
                <w:rFonts w:ascii="Microsoft Sans Serif" w:hAns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cited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259" w:lineRule="auto" w:before="141"/>
              <w:ind w:left="387" w:right="272" w:firstLine="1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OECD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rank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(10%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most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cited)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Finland</w:t>
            </w:r>
          </w:p>
        </w:tc>
        <w:tc>
          <w:tcPr>
            <w:tcW w:w="1858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4.2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7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6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12.2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</w:t>
            </w:r>
          </w:p>
        </w:tc>
      </w:tr>
      <w:tr>
        <w:trPr>
          <w:trHeight w:val="236" w:hRule="atLeast"/>
        </w:trPr>
        <w:tc>
          <w:tcPr>
            <w:tcW w:w="187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2.7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7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-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9.7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Czech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2.9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16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5.1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33</w:t>
            </w:r>
          </w:p>
        </w:tc>
      </w:tr>
      <w:tr>
        <w:trPr>
          <w:trHeight w:val="236" w:hRule="atLeast"/>
        </w:trPr>
        <w:tc>
          <w:tcPr>
            <w:tcW w:w="187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Germany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2.5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21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11.4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12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1.9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28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12" w:space="0" w:color="366091"/>
              <w:right w:val="single" w:sz="6" w:space="0" w:color="D2D2D2"/>
            </w:tcBorders>
          </w:tcPr>
          <w:p>
            <w:pPr>
              <w:pStyle w:val="TableParagraph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4.5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35</w:t>
            </w:r>
          </w:p>
        </w:tc>
      </w:tr>
    </w:tbl>
    <w:p>
      <w:pPr>
        <w:spacing w:before="131"/>
        <w:ind w:left="183" w:right="0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OECD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calculations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based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on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Scopus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Custom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Data,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Elsevier,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Version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1.2021,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May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2021.</w:t>
      </w:r>
    </w:p>
    <w:p>
      <w:pPr>
        <w:spacing w:line="256" w:lineRule="auto" w:before="12"/>
        <w:ind w:left="183" w:right="301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Sources: OECD (2021</w:t>
      </w:r>
      <w:r>
        <w:rPr>
          <w:rFonts w:ascii="Microsoft Sans Serif"/>
          <w:w w:val="80"/>
          <w:sz w:val="12"/>
        </w:rPr>
        <w:t>[37]</w:t>
      </w:r>
      <w:r>
        <w:rPr>
          <w:rFonts w:ascii="Microsoft Sans Serif"/>
          <w:w w:val="80"/>
          <w:position w:val="1"/>
          <w:sz w:val="18"/>
        </w:rPr>
        <w:t>), </w:t>
      </w:r>
      <w:r>
        <w:rPr>
          <w:rFonts w:ascii="Arial"/>
          <w:i/>
          <w:w w:val="80"/>
          <w:position w:val="1"/>
          <w:sz w:val="18"/>
        </w:rPr>
        <w:t>Historical population</w:t>
      </w:r>
      <w:r>
        <w:rPr>
          <w:rFonts w:ascii="Microsoft Sans Serif"/>
          <w:w w:val="80"/>
          <w:position w:val="1"/>
          <w:sz w:val="18"/>
        </w:rPr>
        <w:t>, </w:t>
      </w:r>
      <w:hyperlink r:id="rId90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https://stats.oecd.org/Index.aspx?DataSetCode=HISTPOP</w:t>
        </w:r>
        <w:r>
          <w:rPr>
            <w:rFonts w:ascii="Microsoft Sans Serif"/>
            <w:w w:val="80"/>
            <w:position w:val="1"/>
            <w:sz w:val="18"/>
          </w:rPr>
          <w:t>; </w:t>
        </w:r>
      </w:hyperlink>
      <w:r>
        <w:rPr>
          <w:rFonts w:ascii="Microsoft Sans Serif"/>
          <w:w w:val="80"/>
          <w:position w:val="1"/>
          <w:sz w:val="18"/>
        </w:rPr>
        <w:t>OECD (2021</w:t>
      </w:r>
      <w:r>
        <w:rPr>
          <w:rFonts w:ascii="Microsoft Sans Serif"/>
          <w:w w:val="80"/>
          <w:sz w:val="12"/>
        </w:rPr>
        <w:t>[36]</w:t>
      </w:r>
      <w:r>
        <w:rPr>
          <w:rFonts w:ascii="Microsoft Sans Serif"/>
          <w:w w:val="80"/>
          <w:position w:val="1"/>
          <w:sz w:val="18"/>
        </w:rPr>
        <w:t>), </w:t>
      </w:r>
      <w:r>
        <w:rPr>
          <w:rFonts w:ascii="Arial"/>
          <w:i/>
          <w:w w:val="80"/>
          <w:position w:val="1"/>
          <w:sz w:val="18"/>
        </w:rPr>
        <w:t>OECD Science,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90"/>
          <w:sz w:val="18"/>
        </w:rPr>
        <w:t>Technology</w:t>
      </w:r>
      <w:r>
        <w:rPr>
          <w:rFonts w:ascii="Arial"/>
          <w:i/>
          <w:spacing w:val="-10"/>
          <w:w w:val="90"/>
          <w:sz w:val="18"/>
        </w:rPr>
        <w:t> </w:t>
      </w:r>
      <w:r>
        <w:rPr>
          <w:rFonts w:ascii="Arial"/>
          <w:i/>
          <w:w w:val="90"/>
          <w:sz w:val="18"/>
        </w:rPr>
        <w:t>and</w:t>
      </w:r>
      <w:r>
        <w:rPr>
          <w:rFonts w:ascii="Arial"/>
          <w:i/>
          <w:spacing w:val="-10"/>
          <w:w w:val="90"/>
          <w:sz w:val="18"/>
        </w:rPr>
        <w:t> </w:t>
      </w:r>
      <w:r>
        <w:rPr>
          <w:rFonts w:ascii="Arial"/>
          <w:i/>
          <w:w w:val="90"/>
          <w:sz w:val="18"/>
        </w:rPr>
        <w:t>Innovation</w:t>
      </w:r>
      <w:r>
        <w:rPr>
          <w:rFonts w:ascii="Arial"/>
          <w:i/>
          <w:spacing w:val="-10"/>
          <w:w w:val="90"/>
          <w:sz w:val="18"/>
        </w:rPr>
        <w:t> </w:t>
      </w:r>
      <w:r>
        <w:rPr>
          <w:rFonts w:ascii="Arial"/>
          <w:i/>
          <w:w w:val="90"/>
          <w:sz w:val="18"/>
        </w:rPr>
        <w:t>Scoreboard</w:t>
      </w:r>
      <w:r>
        <w:rPr>
          <w:rFonts w:ascii="Microsoft Sans Serif"/>
          <w:w w:val="90"/>
          <w:sz w:val="18"/>
        </w:rPr>
        <w:t>,</w:t>
      </w:r>
      <w:r>
        <w:rPr>
          <w:rFonts w:ascii="Microsoft Sans Serif"/>
          <w:spacing w:val="-8"/>
          <w:w w:val="90"/>
          <w:sz w:val="18"/>
        </w:rPr>
        <w:t> </w:t>
      </w:r>
      <w:hyperlink r:id="rId91">
        <w:r>
          <w:rPr>
            <w:rFonts w:ascii="Microsoft Sans Serif"/>
            <w:color w:val="0000FF"/>
            <w:w w:val="90"/>
            <w:sz w:val="18"/>
            <w:u w:val="single" w:color="0000FF"/>
          </w:rPr>
          <w:t>https://www.oecd.org/sti/scoreboard.htm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spacing w:after="0" w:line="256" w:lineRule="auto"/>
        <w:jc w:val="both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spacing w:before="165"/>
        <w:ind w:left="183" w:right="0" w:firstLine="0"/>
        <w:jc w:val="left"/>
        <w:rPr>
          <w:rFonts w:ascii="Arial"/>
          <w:b/>
          <w:sz w:val="24"/>
        </w:rPr>
      </w:pPr>
      <w:bookmarkStart w:name="_bookmark30" w:id="71"/>
      <w:bookmarkEnd w:id="71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2.10.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Publication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performance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R&amp;D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(2018)</w:t>
      </w: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before="107"/>
        <w:ind w:left="810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80"/>
          <w:sz w:val="16"/>
        </w:rPr>
        <w:t>Publications</w:t>
      </w:r>
      <w:r>
        <w:rPr>
          <w:rFonts w:ascii="Microsoft Sans Serif"/>
          <w:spacing w:val="18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per</w:t>
      </w:r>
      <w:r>
        <w:rPr>
          <w:rFonts w:ascii="Microsoft Sans Serif"/>
          <w:spacing w:val="18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FTE</w:t>
      </w:r>
      <w:r>
        <w:rPr>
          <w:rFonts w:ascii="Microsoft Sans Serif"/>
          <w:spacing w:val="17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researcher</w:t>
      </w:r>
      <w:r>
        <w:rPr>
          <w:rFonts w:ascii="Microsoft Sans Serif"/>
          <w:spacing w:val="10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(fractional</w:t>
      </w:r>
      <w:r>
        <w:rPr>
          <w:rFonts w:ascii="Microsoft Sans Serif"/>
          <w:spacing w:val="17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counts)</w:t>
      </w:r>
    </w:p>
    <w:p>
      <w:pPr>
        <w:spacing w:before="63"/>
        <w:ind w:left="474" w:right="0" w:firstLine="0"/>
        <w:jc w:val="left"/>
        <w:rPr>
          <w:rFonts w:ascii="Microsoft Sans Serif"/>
          <w:sz w:val="16"/>
        </w:rPr>
      </w:pPr>
      <w:r>
        <w:rPr/>
        <w:pict>
          <v:group style="position:absolute;margin-left:95.854134pt;margin-top:7.463969pt;width:414.4pt;height:243.15pt;mso-position-horizontal-relative:page;mso-position-vertical-relative:paragraph;z-index:15746048" coordorigin="1917,149" coordsize="8288,4863">
            <v:rect style="position:absolute;left:1924;top:157;width:8273;height:4848" filled="true" fillcolor="#f1f1f1" stroked="false">
              <v:fill type="solid"/>
            </v:rect>
            <v:shape style="position:absolute;left:1924;top:157;width:8273;height:4848" coordorigin="1925,157" coordsize="8273,4848" path="m1925,4034l10197,4034m1925,3064l10197,3064m1925,2094l10197,2094m1925,1127l10197,1127m1925,157l10197,157m2843,157l2843,5004m3763,157l3763,5004m4681,157l4681,5004m5601,157l5601,5004m6521,157l6521,5004m7439,157l7439,5004m8359,157l8359,5004m9277,157l9277,5004m10197,157l10197,5004e" filled="false" stroked="true" strokeweight=".784335pt" strokecolor="#ffffff">
              <v:path arrowok="t"/>
              <v:stroke dashstyle="solid"/>
            </v:shape>
            <v:shape style="position:absolute;left:1924;top:157;width:8273;height:4848" coordorigin="1925,157" coordsize="8273,4848" path="m1925,5004l1925,157m1925,5004l1975,5004m1925,4034l1975,4034m1925,3064l1975,3064m1925,2094l1975,2094m1925,1127l1975,1127m1925,157l1975,157m1925,5004l10197,5004m1925,4955l1925,5004m2843,4955l2843,5004m3763,4955l3763,5004m4681,4955l4681,5004m5601,4955l5601,5004m6521,4955l6521,5004m7439,4955l7439,5004m8359,4955l8359,5004m9277,4955l9277,5004m10197,4955l10197,5004e" filled="false" stroked="true" strokeweight=".784335pt" strokecolor="#000000">
              <v:path arrowok="t"/>
              <v:stroke dashstyle="solid"/>
            </v:shape>
            <v:shape style="position:absolute;left:5721;top:2557;width:126;height:126" type="#_x0000_t75" stroked="false">
              <v:imagedata r:id="rId92" o:title=""/>
            </v:shape>
            <v:shape style="position:absolute;left:2968;top:1498;width:126;height:126" type="#_x0000_t75" stroked="false">
              <v:imagedata r:id="rId93" o:title=""/>
            </v:shape>
            <v:shape style="position:absolute;left:3694;top:2593;width:110;height:110" coordorigin="3695,2594" coordsize="110,110" path="m3750,2594l3695,2649,3750,2704,3805,2649,3750,2594xe" filled="true" fillcolor="#002f6c" stroked="false">
              <v:path arrowok="t"/>
              <v:fill type="solid"/>
            </v:shape>
            <v:shape style="position:absolute;left:3694;top:2593;width:110;height:110" coordorigin="3695,2594" coordsize="110,110" path="m3750,2594l3805,2649,3750,2704,3695,2649,3750,2594xe" filled="false" stroked="true" strokeweight=".784335pt" strokecolor="#002f6c">
              <v:path arrowok="t"/>
              <v:stroke dashstyle="solid"/>
            </v:shape>
            <v:shape style="position:absolute;left:3572;top:3129;width:126;height:126" type="#_x0000_t75" stroked="false">
              <v:imagedata r:id="rId92" o:title=""/>
            </v:shape>
            <v:shape style="position:absolute;left:3705;top:2141;width:126;height:126" type="#_x0000_t75" stroked="false">
              <v:imagedata r:id="rId94" o:title=""/>
            </v:shape>
            <v:shape style="position:absolute;left:4790;top:4010;width:126;height:126" type="#_x0000_t75" stroked="false">
              <v:imagedata r:id="rId93" o:title=""/>
            </v:shape>
            <v:shape style="position:absolute;left:4662;top:2876;width:110;height:110" coordorigin="4662,2876" coordsize="110,110" path="m4717,2876l4662,2931,4717,2986,4772,2931,4717,2876xe" filled="true" fillcolor="#002f6c" stroked="false">
              <v:path arrowok="t"/>
              <v:fill type="solid"/>
            </v:shape>
            <v:shape style="position:absolute;left:4662;top:2876;width:110;height:110" coordorigin="4662,2876" coordsize="110,110" path="m4717,2876l4772,2931,4717,2986,4662,2931,4717,2876xe" filled="false" stroked="true" strokeweight=".784335pt" strokecolor="#002f6c">
              <v:path arrowok="t"/>
              <v:stroke dashstyle="solid"/>
            </v:shape>
            <v:shape style="position:absolute;left:3386;top:2826;width:110;height:110" coordorigin="3386,2826" coordsize="110,110" path="m3441,2826l3386,2881,3441,2936,3496,2881,3441,2826xe" filled="true" fillcolor="#002f6c" stroked="false">
              <v:path arrowok="t"/>
              <v:fill type="solid"/>
            </v:shape>
            <v:shape style="position:absolute;left:3386;top:2826;width:110;height:110" coordorigin="3386,2826" coordsize="110,110" path="m3441,2826l3496,2881,3441,2936,3386,2881,3441,2826xe" filled="false" stroked="true" strokeweight=".784335pt" strokecolor="#002f6c">
              <v:path arrowok="t"/>
              <v:stroke dashstyle="solid"/>
            </v:shape>
            <v:shape style="position:absolute;left:4793;top:2878;width:110;height:110" coordorigin="4793,2879" coordsize="110,110" path="m4848,2879l4793,2934,4848,2989,4903,2934,4848,2879xe" filled="true" fillcolor="#002f6c" stroked="false">
              <v:path arrowok="t"/>
              <v:fill type="solid"/>
            </v:shape>
            <v:shape style="position:absolute;left:4793;top:2878;width:110;height:110" coordorigin="4793,2879" coordsize="110,110" path="m4848,2879l4903,2934,4848,2989,4793,2934,4848,2879xe" filled="false" stroked="true" strokeweight=".784335pt" strokecolor="#002f6c">
              <v:path arrowok="t"/>
              <v:stroke dashstyle="solid"/>
            </v:shape>
            <v:shape style="position:absolute;left:4536;top:2232;width:126;height:126" type="#_x0000_t75" stroked="false">
              <v:imagedata r:id="rId92" o:title=""/>
            </v:shape>
            <v:shape style="position:absolute;left:7224;top:3302;width:126;height:126" type="#_x0000_t75" stroked="false">
              <v:imagedata r:id="rId92" o:title=""/>
            </v:shape>
            <v:shape style="position:absolute;left:4918;top:2750;width:110;height:110" coordorigin="4919,2751" coordsize="110,110" path="m4973,2751l4919,2806,4973,2860,5028,2806,4973,2751xe" filled="true" fillcolor="#002f6c" stroked="false">
              <v:path arrowok="t"/>
              <v:fill type="solid"/>
            </v:shape>
            <v:shape style="position:absolute;left:4918;top:2750;width:110;height:110" coordorigin="4919,2751" coordsize="110,110" path="m4973,2751l5028,2806,4973,2860,4919,2806,4973,2751xe" filled="false" stroked="true" strokeweight=".784335pt" strokecolor="#002f6c">
              <v:path arrowok="t"/>
              <v:stroke dashstyle="solid"/>
            </v:shape>
            <v:shape style="position:absolute;left:3274;top:2693;width:110;height:110" coordorigin="3274,2693" coordsize="110,110" path="m3329,2693l3274,2748,3329,2803,3384,2748,3329,2693xe" filled="true" fillcolor="#002f6c" stroked="false">
              <v:path arrowok="t"/>
              <v:fill type="solid"/>
            </v:shape>
            <v:shape style="position:absolute;left:3274;top:2693;width:110;height:110" coordorigin="3274,2693" coordsize="110,110" path="m3329,2693l3384,2748,3329,2803,3274,2748,3329,2693xe" filled="false" stroked="true" strokeweight=".784335pt" strokecolor="#002f6c">
              <v:path arrowok="t"/>
              <v:stroke dashstyle="solid"/>
            </v:shape>
            <v:shape style="position:absolute;left:4105;top:1906;width:126;height:126" type="#_x0000_t75" stroked="false">
              <v:imagedata r:id="rId92" o:title=""/>
            </v:shape>
            <v:shape style="position:absolute;left:6097;top:2988;width:126;height:126" type="#_x0000_t75" stroked="false">
              <v:imagedata r:id="rId94" o:title=""/>
            </v:shape>
            <v:shape style="position:absolute;left:3872;top:1472;width:126;height:126" type="#_x0000_t75" stroked="false">
              <v:imagedata r:id="rId92" o:title=""/>
            </v:shape>
            <v:shape style="position:absolute;left:5621;top:3056;width:126;height:126" type="#_x0000_t75" stroked="false">
              <v:imagedata r:id="rId95" o:title=""/>
            </v:shape>
            <v:shape style="position:absolute;left:4821;top:2546;width:126;height:126" type="#_x0000_t75" stroked="false">
              <v:imagedata r:id="rId94" o:title=""/>
            </v:shape>
            <v:shape style="position:absolute;left:4915;top:3184;width:126;height:126" type="#_x0000_t75" stroked="false">
              <v:imagedata r:id="rId92" o:title=""/>
            </v:shape>
            <v:shape style="position:absolute;left:3624;top:2761;width:126;height:126" type="#_x0000_t75" stroked="false">
              <v:imagedata r:id="rId92" o:title=""/>
            </v:shape>
            <v:shape style="position:absolute;left:3626;top:1649;width:126;height:126" type="#_x0000_t75" stroked="false">
              <v:imagedata r:id="rId93" o:title=""/>
            </v:shape>
            <v:shape style="position:absolute;left:8390;top:4256;width:126;height:126" type="#_x0000_t75" stroked="false">
              <v:imagedata r:id="rId95" o:title=""/>
            </v:shape>
            <v:shape style="position:absolute;left:6325;top:3665;width:126;height:126" type="#_x0000_t75" stroked="false">
              <v:imagedata r:id="rId92" o:title=""/>
            </v:shape>
            <v:shape style="position:absolute;left:4055;top:978;width:126;height:126" type="#_x0000_t75" stroked="false">
              <v:imagedata r:id="rId95" o:title=""/>
            </v:shape>
            <v:shape style="position:absolute;left:9585;top:4442;width:126;height:126" type="#_x0000_t75" stroked="false">
              <v:imagedata r:id="rId92" o:title=""/>
            </v:shape>
            <v:shape style="position:absolute;left:4100;top:2382;width:126;height:126" type="#_x0000_t75" stroked="false">
              <v:imagedata r:id="rId93" o:title=""/>
            </v:shape>
            <v:shape style="position:absolute;left:7648;top:3388;width:126;height:126" type="#_x0000_t75" stroked="false">
              <v:imagedata r:id="rId93" o:title=""/>
            </v:shape>
            <v:shape style="position:absolute;left:7912;top:3032;width:126;height:126" type="#_x0000_t75" stroked="false">
              <v:imagedata r:id="rId94" o:title=""/>
            </v:shape>
            <v:shape style="position:absolute;left:2947;top:2387;width:210;height:210" type="#_x0000_t75" stroked="false">
              <v:imagedata r:id="rId96" o:title=""/>
            </v:shape>
            <v:shape style="position:absolute;left:2656;top:1597;width:2401;height:1496" coordorigin="2657,1598" coordsize="2401,1496" path="m3750,2649l3575,2513m3054,2492l2657,2311m4848,2934l4542,3093m3329,2748l2960,2596,2861,2596m4168,1969l4385,1854m4885,2609l5057,2429m3690,1713l3470,1598e" filled="false" stroked="true" strokeweight=".784335pt" strokecolor="#bfbfbf">
              <v:path arrowok="t"/>
              <v:stroke dashstyle="solid"/>
            </v:shape>
            <v:shape style="position:absolute;left:9284;top:4042;width:905;height:955" type="#_x0000_t202" filled="false" stroked="false">
              <v:textbox inset="0,0,0,0">
                <w:txbxContent>
                  <w:p>
                    <w:pPr>
                      <w:spacing w:before="141"/>
                      <w:ind w:left="197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5"/>
                        <w:sz w:val="15"/>
                      </w:rPr>
                      <w:t>Japan</w:t>
                    </w:r>
                  </w:p>
                </w:txbxContent>
              </v:textbox>
              <w10:wrap type="none"/>
            </v:shape>
            <v:shape style="position:absolute;left:8367;top:4042;width:902;height:955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5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5"/>
                        <w:sz w:val="15"/>
                      </w:rPr>
                      <w:t>orea</w:t>
                    </w:r>
                  </w:p>
                </w:txbxContent>
              </v:textbox>
              <w10:wrap type="none"/>
            </v:shape>
            <v:shape style="position:absolute;left:8288;top:3995;width:103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8346;top:3366;width:83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7899;top:3366;width:469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German</w:t>
                    </w:r>
                  </w:p>
                </w:txbxContent>
              </v:textbox>
              <w10:wrap type="none"/>
            </v:shape>
            <v:shape style="position:absolute;left:7414;top:3041;width:90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513;top:3405;width:90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095;top:3041;width:338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Austri</w:t>
                    </w:r>
                  </w:p>
                </w:txbxContent>
              </v:textbox>
              <w10:wrap type="none"/>
            </v:shape>
            <v:shape style="position:absolute;left:6196;top:3405;width:336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Franc</w:t>
                    </w:r>
                  </w:p>
                </w:txbxContent>
              </v:textbox>
              <w10:wrap type="none"/>
            </v:shape>
            <v:shape style="position:absolute;left:5635;top:3276;width:293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eden</w:t>
                    </w:r>
                  </w:p>
                </w:txbxContent>
              </v:textbox>
              <w10:wrap type="none"/>
            </v:shape>
            <v:shape style="position:absolute;left:4708;top:3749;width:396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spacing w:val="-1"/>
                        <w:w w:val="85"/>
                        <w:sz w:val="15"/>
                      </w:rPr>
                      <w:t>ungary</w:t>
                    </w:r>
                  </w:p>
                </w:txbxContent>
              </v:textbox>
              <w10:wrap type="none"/>
            </v:shape>
            <v:shape style="position:absolute;left:5463;top:3276;width:194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Sw</w:t>
                    </w:r>
                  </w:p>
                </w:txbxContent>
              </v:textbox>
              <w10:wrap type="none"/>
            </v:shape>
            <v:shape style="position:absolute;left:4789;top:3403;width:399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Turkey</w:t>
                    </w:r>
                  </w:p>
                </w:txbxContent>
              </v:textbox>
              <w10:wrap type="none"/>
            </v:shape>
            <v:shape style="position:absolute;left:4677;top:3130;width:90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620;top:3749;width:110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788;top:3348;width:118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ia</w:t>
                    </w:r>
                  </w:p>
                </w:txbxContent>
              </v:textbox>
              <w10:wrap type="none"/>
            </v:shape>
            <v:shape style="position:absolute;left:4340;top:3130;width:359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Finlan</w:t>
                    </w:r>
                  </w:p>
                </w:txbxContent>
              </v:textbox>
              <w10:wrap type="none"/>
            </v:shape>
            <v:shape style="position:absolute;left:2842;top:3064;width:921;height:971" type="#_x0000_t202" filled="false" stroked="true" strokeweight=".784344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95"/>
                      <w:ind w:left="535" w:right="-44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spacing w:val="-2"/>
                        <w:w w:val="85"/>
                        <w:sz w:val="15"/>
                      </w:rPr>
                      <w:t>Lithuan</w:t>
                    </w:r>
                  </w:p>
                </w:txbxContent>
              </v:textbox>
              <v:stroke dashstyle="solid"/>
              <w10:wrap type="none"/>
            </v:shape>
            <v:shape style="position:absolute;left:7438;top:2094;width:921;height:970" type="#_x0000_t202" filled="true" fillcolor="#f1f1f1" stroked="true" strokeweight=".784344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21"/>
                      <w:ind w:left="156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0"/>
                        <w:sz w:val="15"/>
                      </w:rPr>
                      <w:t>United</w:t>
                    </w:r>
                    <w:r>
                      <w:rPr>
                        <w:rFonts w:ascii="Microsoft Sans Serif"/>
                        <w:spacing w:val="7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States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600;top:2094;width:921;height:970" type="#_x0000_t202" filled="false" stroked="true" strokeweight=".784344pt" strokecolor="#ffffff">
              <v:textbox inset="0,0,0,0">
                <w:txbxContent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-3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5"/>
                        <w:sz w:val="15"/>
                      </w:rPr>
                      <w:t>xembourg</w:t>
                    </w: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23"/>
                      </w:rPr>
                    </w:pPr>
                  </w:p>
                  <w:p>
                    <w:pPr>
                      <w:spacing w:before="0"/>
                      <w:ind w:left="327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Belgium</w:t>
                    </w:r>
                  </w:p>
                </w:txbxContent>
              </v:textbox>
              <v:stroke dashstyle="solid"/>
              <w10:wrap type="none"/>
            </v:shape>
            <v:shape style="position:absolute;left:4680;top:2094;width:921;height:970" type="#_x0000_t202" filled="false" stroked="true" strokeweight=".784344pt" strokecolor="#ffffff">
              <v:textbox inset="0,0,0,0">
                <w:txbxContent>
                  <w:p>
                    <w:pPr>
                      <w:spacing w:line="260" w:lineRule="atLeast" w:before="105"/>
                      <w:ind w:left="-37" w:right="6" w:firstLine="73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spacing w:val="-2"/>
                        <w:w w:val="85"/>
                        <w:sz w:val="15"/>
                      </w:rPr>
                      <w:t>Netherlands</w:t>
                    </w:r>
                    <w:r>
                      <w:rPr>
                        <w:rFonts w:ascii="Microsoft Sans Serif"/>
                        <w:spacing w:val="3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position w:val="-6"/>
                        <w:sz w:val="15"/>
                      </w:rPr>
                      <w:t>Lu</w:t>
                    </w:r>
                    <w:r>
                      <w:rPr>
                        <w:rFonts w:ascii="Microsoft Sans Serif"/>
                        <w:spacing w:val="-30"/>
                        <w:w w:val="85"/>
                        <w:position w:val="-6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5"/>
                      </w:rPr>
                      <w:t>m</w:t>
                    </w:r>
                  </w:p>
                  <w:p>
                    <w:pPr>
                      <w:spacing w:line="166" w:lineRule="exact" w:before="0"/>
                      <w:ind w:left="474" w:right="-72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0"/>
                        <w:sz w:val="15"/>
                      </w:rPr>
                      <w:t>Denmark</w:t>
                    </w:r>
                  </w:p>
                </w:txbxContent>
              </v:textbox>
              <v:stroke dashstyle="solid"/>
              <w10:wrap type="none"/>
            </v:shape>
            <v:shape style="position:absolute;left:3762;top:2094;width:918;height:970" type="#_x0000_t202" filled="false" stroked="true" strokeweight=".784344pt" strokecolor="#ffffff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line="350" w:lineRule="atLeast" w:before="1"/>
                      <w:ind w:left="-17" w:right="0" w:firstLine="118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0"/>
                        <w:sz w:val="15"/>
                      </w:rPr>
                      <w:t>United</w:t>
                    </w:r>
                    <w:r>
                      <w:rPr>
                        <w:rFonts w:ascii="Microsoft Sans Serif"/>
                        <w:spacing w:val="8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Kingdo</w:t>
                    </w:r>
                    <w:r>
                      <w:rPr>
                        <w:rFonts w:ascii="Microsoft Sans Serif"/>
                        <w:spacing w:val="-29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position w:val="-5"/>
                        <w:sz w:val="15"/>
                      </w:rPr>
                      <w:t>oland</w:t>
                    </w:r>
                    <w:r>
                      <w:rPr>
                        <w:rFonts w:ascii="Microsoft Sans Serif"/>
                        <w:spacing w:val="30"/>
                        <w:w w:val="90"/>
                        <w:position w:val="-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5"/>
                      </w:rPr>
                      <w:t>Ireland</w:t>
                    </w:r>
                  </w:p>
                </w:txbxContent>
              </v:textbox>
              <v:stroke dashstyle="solid"/>
              <w10:wrap type="none"/>
            </v:shape>
            <v:shape style="position:absolute;left:3670;top:2912;width:103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2"/>
                        <w:sz w:val="15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2849;top:2796;width:427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Greece</w:t>
                    </w:r>
                  </w:p>
                </w:txbxContent>
              </v:textbox>
              <w10:wrap type="none"/>
            </v:shape>
            <v:shape style="position:absolute;left:3368;top:2307;width:434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Estonia</w:t>
                    </w:r>
                  </w:p>
                </w:txbxContent>
              </v:textbox>
              <w10:wrap type="none"/>
            </v:shape>
            <v:shape style="position:absolute;left:2924;top:2105;width:233;height:17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5"/>
                      </w:rPr>
                      <w:t>blic</w:t>
                    </w:r>
                  </w:p>
                </w:txbxContent>
              </v:textbox>
              <w10:wrap type="none"/>
            </v:shape>
            <v:shape style="position:absolute;left:1932;top:2102;width:902;height:955" type="#_x0000_t202" filled="false" stroked="false">
              <v:textbox inset="0,0,0,0">
                <w:txbxContent>
                  <w:p>
                    <w:pPr>
                      <w:spacing w:before="4"/>
                      <w:ind w:left="246" w:right="-101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15"/>
                      </w:rPr>
                      <w:t>Slovak</w:t>
                    </w:r>
                    <w:r>
                      <w:rPr>
                        <w:rFonts w:ascii="Arial"/>
                        <w:b/>
                        <w:spacing w:val="16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15"/>
                      </w:rPr>
                      <w:t>Repu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1"/>
                      <w:ind w:left="357" w:right="1" w:firstLine="0"/>
                      <w:jc w:val="center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0"/>
                        <w:sz w:val="15"/>
                      </w:rPr>
                      <w:t>Portugal</w:t>
                    </w:r>
                  </w:p>
                </w:txbxContent>
              </v:textbox>
              <w10:wrap type="none"/>
            </v:shape>
            <v:shape style="position:absolute;left:4680;top:1127;width:921;height:968" type="#_x0000_t202" filled="true" fillcolor="#f1f1f1" stroked="true" strokeweight=".784344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line="320" w:lineRule="atLeast" w:before="0"/>
                      <w:ind w:left="58" w:right="753" w:hanging="48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lic</w:t>
                    </w:r>
                    <w:r>
                      <w:rPr>
                        <w:rFonts w:ascii="Microsoft Sans Serif"/>
                        <w:spacing w:val="-32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5"/>
                      </w:rPr>
                      <w:t>y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91;top:1971;width:378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Norwa</w:t>
                    </w:r>
                  </w:p>
                </w:txbxContent>
              </v:textbox>
              <w10:wrap type="none"/>
            </v:shape>
            <v:shape style="position:absolute;left:3773;top:1880;width:254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enia</w:t>
                    </w:r>
                  </w:p>
                </w:txbxContent>
              </v:textbox>
              <w10:wrap type="none"/>
            </v:shape>
            <v:shape style="position:absolute;left:3738;top:1210;width:983;height:6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5"/>
                        <w:sz w:val="15"/>
                      </w:rPr>
                      <w:t>Mexico</w:t>
                    </w:r>
                  </w:p>
                  <w:p>
                    <w:pPr>
                      <w:spacing w:line="240" w:lineRule="auto" w:before="9"/>
                      <w:rPr>
                        <w:rFonts w:ascii="Microsoft Sans Serif"/>
                        <w:sz w:val="23"/>
                      </w:rPr>
                    </w:pPr>
                  </w:p>
                  <w:p>
                    <w:pPr>
                      <w:spacing w:before="0"/>
                      <w:ind w:left="211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0"/>
                        <w:sz w:val="15"/>
                      </w:rPr>
                      <w:t>Czech</w:t>
                    </w:r>
                    <w:r>
                      <w:rPr>
                        <w:rFonts w:ascii="Microsoft Sans Serif"/>
                        <w:spacing w:val="14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5"/>
                      </w:rPr>
                      <w:t>Repub</w:t>
                    </w:r>
                  </w:p>
                </w:txbxContent>
              </v:textbox>
              <w10:wrap type="none"/>
            </v:shape>
            <v:shape style="position:absolute;left:3313;top:1392;width:480;height:66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5"/>
                        <w:sz w:val="15"/>
                      </w:rPr>
                      <w:t>Spain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before="137"/>
                      <w:ind w:left="217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Slov</w:t>
                    </w:r>
                  </w:p>
                </w:txbxContent>
              </v:textbox>
              <w10:wrap type="none"/>
            </v:shape>
            <v:shape style="position:absolute;left:2867;top:1235;width:351;height:1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85"/>
                        <w:sz w:val="15"/>
                      </w:rPr>
                      <w:t>Latvia</w:t>
                    </w:r>
                  </w:p>
                </w:txbxContent>
              </v:textbox>
              <w10:wrap type="none"/>
            </v:shape>
            <v:shape style="position:absolute;left:3762;top:157;width:918;height:970" type="#_x0000_t202" filled="false" stroked="true" strokeweight=".784344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34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95"/>
                        <w:sz w:val="15"/>
                      </w:rPr>
                      <w:t>Italy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Microsoft Sans Serif"/>
          <w:w w:val="95"/>
          <w:sz w:val="16"/>
        </w:rPr>
        <w:t>0.6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</w:rPr>
      </w:pPr>
    </w:p>
    <w:p>
      <w:pPr>
        <w:spacing w:before="107"/>
        <w:ind w:left="474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0.5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</w:rPr>
      </w:pPr>
    </w:p>
    <w:p>
      <w:pPr>
        <w:spacing w:before="107"/>
        <w:ind w:left="474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0.4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</w:rPr>
      </w:pPr>
    </w:p>
    <w:p>
      <w:pPr>
        <w:spacing w:before="106"/>
        <w:ind w:left="474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0.3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</w:rPr>
      </w:pPr>
    </w:p>
    <w:p>
      <w:pPr>
        <w:spacing w:before="107"/>
        <w:ind w:left="474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0.2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pgSz w:w="11910" w:h="15880"/>
          <w:pgMar w:header="734" w:footer="731" w:top="1140" w:bottom="920" w:left="1120" w:right="1000"/>
        </w:sectPr>
      </w:pPr>
    </w:p>
    <w:p>
      <w:pPr>
        <w:spacing w:before="107"/>
        <w:ind w:left="0" w:right="0" w:firstLine="0"/>
        <w:jc w:val="righ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0.1</w:t>
      </w:r>
    </w:p>
    <w:p>
      <w:pPr>
        <w:pStyle w:val="BodyText"/>
        <w:spacing w:before="2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tabs>
          <w:tab w:pos="909" w:val="left" w:leader="none"/>
          <w:tab w:pos="1829" w:val="left" w:leader="none"/>
          <w:tab w:pos="2748" w:val="left" w:leader="none"/>
          <w:tab w:pos="3667" w:val="left" w:leader="none"/>
          <w:tab w:pos="4549" w:val="left" w:leader="none"/>
          <w:tab w:pos="5469" w:val="left" w:leader="none"/>
          <w:tab w:pos="6388" w:val="left" w:leader="none"/>
          <w:tab w:pos="7308" w:val="left" w:leader="none"/>
          <w:tab w:pos="8227" w:val="left" w:leader="none"/>
        </w:tabs>
        <w:spacing w:before="0"/>
        <w:ind w:left="64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0</w:t>
        <w:tab/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  <w:tab/>
        <w:t>1800</w:t>
      </w:r>
    </w:p>
    <w:p>
      <w:pPr>
        <w:pStyle w:val="BodyText"/>
        <w:spacing w:before="1"/>
        <w:rPr>
          <w:rFonts w:ascii="Microsoft Sans Serif"/>
          <w:sz w:val="15"/>
        </w:rPr>
      </w:pPr>
    </w:p>
    <w:p>
      <w:pPr>
        <w:spacing w:before="1"/>
        <w:ind w:left="5158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80"/>
          <w:sz w:val="16"/>
        </w:rPr>
        <w:t>GERD</w:t>
      </w:r>
      <w:r>
        <w:rPr>
          <w:rFonts w:ascii="Microsoft Sans Serif"/>
          <w:spacing w:val="18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per</w:t>
      </w:r>
      <w:r>
        <w:rPr>
          <w:rFonts w:ascii="Microsoft Sans Serif"/>
          <w:spacing w:val="18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publication</w:t>
      </w:r>
      <w:r>
        <w:rPr>
          <w:rFonts w:ascii="Microsoft Sans Serif"/>
          <w:spacing w:val="12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(current</w:t>
      </w:r>
      <w:r>
        <w:rPr>
          <w:rFonts w:ascii="Microsoft Sans Serif"/>
          <w:spacing w:val="14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USD</w:t>
      </w:r>
      <w:r>
        <w:rPr>
          <w:rFonts w:ascii="Microsoft Sans Serif"/>
          <w:spacing w:val="18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PPP,</w:t>
      </w:r>
      <w:r>
        <w:rPr>
          <w:rFonts w:ascii="Microsoft Sans Serif"/>
          <w:spacing w:val="22"/>
          <w:w w:val="80"/>
          <w:sz w:val="16"/>
        </w:rPr>
        <w:t> </w:t>
      </w:r>
      <w:r>
        <w:rPr>
          <w:rFonts w:ascii="Microsoft Sans Serif"/>
          <w:w w:val="80"/>
          <w:sz w:val="16"/>
        </w:rPr>
        <w:t>thousands)</w:t>
      </w:r>
    </w:p>
    <w:p>
      <w:pPr>
        <w:spacing w:after="0"/>
        <w:jc w:val="left"/>
        <w:rPr>
          <w:rFonts w:ascii="Microsoft Sans Serif"/>
          <w:sz w:val="16"/>
        </w:rPr>
        <w:sectPr>
          <w:type w:val="continuous"/>
          <w:pgSz w:w="11910" w:h="15880"/>
          <w:pgMar w:top="1500" w:bottom="280" w:left="1120" w:right="1000"/>
          <w:cols w:num="2" w:equalWidth="0">
            <w:col w:w="663" w:space="40"/>
            <w:col w:w="9087"/>
          </w:cols>
        </w:sectPr>
      </w:pPr>
    </w:p>
    <w:p>
      <w:pPr>
        <w:pStyle w:val="BodyText"/>
        <w:spacing w:before="6"/>
        <w:rPr>
          <w:rFonts w:ascii="Microsoft Sans Serif"/>
          <w:sz w:val="13"/>
        </w:rPr>
      </w:pPr>
    </w:p>
    <w:p>
      <w:pPr>
        <w:spacing w:before="103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OECD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calculations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based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on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Scopus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Custom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Data,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Elsevier,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Version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1.2021,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May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2021.</w:t>
      </w:r>
    </w:p>
    <w:p>
      <w:pPr>
        <w:spacing w:before="13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9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(2021</w:t>
      </w:r>
      <w:r>
        <w:rPr>
          <w:rFonts w:ascii="Microsoft Sans Serif"/>
          <w:w w:val="80"/>
          <w:sz w:val="12"/>
        </w:rPr>
        <w:t>[36]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8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Science,</w:t>
      </w:r>
      <w:r>
        <w:rPr>
          <w:rFonts w:ascii="Arial"/>
          <w:i/>
          <w:spacing w:val="18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Technology</w:t>
      </w:r>
      <w:r>
        <w:rPr>
          <w:rFonts w:ascii="Arial"/>
          <w:i/>
          <w:spacing w:val="18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and</w:t>
      </w:r>
      <w:r>
        <w:rPr>
          <w:rFonts w:ascii="Arial"/>
          <w:i/>
          <w:spacing w:val="1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Innovation</w:t>
      </w:r>
      <w:r>
        <w:rPr>
          <w:rFonts w:ascii="Arial"/>
          <w:i/>
          <w:spacing w:val="1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Scoreboard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8"/>
          <w:w w:val="80"/>
          <w:position w:val="1"/>
          <w:sz w:val="18"/>
        </w:rPr>
        <w:t> </w:t>
      </w:r>
      <w:hyperlink r:id="rId91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https://www.oecd.org/sti/scoreboard.htm</w:t>
        </w:r>
        <w:r>
          <w:rPr>
            <w:rFonts w:ascii="Microsoft Sans Serif"/>
            <w:w w:val="80"/>
            <w:position w:val="1"/>
            <w:sz w:val="18"/>
          </w:rPr>
          <w:t>.</w:t>
        </w:r>
      </w:hyperlink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97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https://doi.org/10.1787/888934279111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71" w:lineRule="auto" w:before="93"/>
        <w:ind w:left="183" w:right="301"/>
        <w:jc w:val="both"/>
      </w:pPr>
      <w:r>
        <w:rPr/>
        <w:t>Another way to look at the performance of the R&amp;D system supported by public resources is the number</w:t>
      </w:r>
      <w:r>
        <w:rPr>
          <w:spacing w:val="1"/>
        </w:rPr>
        <w:t> </w:t>
      </w:r>
      <w:r>
        <w:rPr/>
        <w:t>of applications to European Research Council (ERC) grants</w:t>
      </w:r>
      <w:r>
        <w:rPr>
          <w:position w:val="6"/>
          <w:sz w:val="13"/>
        </w:rPr>
        <w:t>7 </w:t>
      </w:r>
      <w:r>
        <w:rPr/>
        <w:t>by individual countries. Slovak applications</w:t>
      </w:r>
      <w:r>
        <w:rPr>
          <w:spacing w:val="1"/>
        </w:rPr>
        <w:t> </w:t>
      </w:r>
      <w:r>
        <w:rPr/>
        <w:t>were consistently low between 2006 and 2015, with 36 applications in 2007, compared to 80 from the</w:t>
      </w:r>
      <w:r>
        <w:rPr>
          <w:spacing w:val="1"/>
        </w:rPr>
        <w:t> </w:t>
      </w:r>
      <w:r>
        <w:rPr>
          <w:position w:val="1"/>
        </w:rPr>
        <w:t>Czech</w:t>
      </w:r>
      <w:r>
        <w:rPr>
          <w:spacing w:val="-2"/>
          <w:position w:val="1"/>
        </w:rPr>
        <w:t> </w:t>
      </w:r>
      <w:r>
        <w:rPr>
          <w:position w:val="1"/>
        </w:rPr>
        <w:t>Republic,</w:t>
      </w:r>
      <w:r>
        <w:rPr>
          <w:spacing w:val="-5"/>
          <w:position w:val="1"/>
        </w:rPr>
        <w:t> </w:t>
      </w:r>
      <w:r>
        <w:rPr>
          <w:position w:val="1"/>
        </w:rPr>
        <w:t>177</w:t>
      </w:r>
      <w:r>
        <w:rPr>
          <w:spacing w:val="-4"/>
          <w:position w:val="1"/>
        </w:rPr>
        <w:t> </w:t>
      </w:r>
      <w:r>
        <w:rPr>
          <w:position w:val="1"/>
        </w:rPr>
        <w:t>from</w:t>
      </w:r>
      <w:r>
        <w:rPr>
          <w:spacing w:val="-3"/>
          <w:position w:val="1"/>
        </w:rPr>
        <w:t> </w:t>
      </w:r>
      <w:r>
        <w:rPr>
          <w:position w:val="1"/>
        </w:rPr>
        <w:t>Hungary</w:t>
      </w:r>
      <w:r>
        <w:rPr>
          <w:spacing w:val="-7"/>
          <w:position w:val="1"/>
        </w:rPr>
        <w:t> </w:t>
      </w:r>
      <w:r>
        <w:rPr>
          <w:position w:val="1"/>
        </w:rPr>
        <w:t>and</w:t>
      </w:r>
      <w:r>
        <w:rPr>
          <w:spacing w:val="-4"/>
          <w:position w:val="1"/>
        </w:rPr>
        <w:t> </w:t>
      </w:r>
      <w:r>
        <w:rPr>
          <w:position w:val="1"/>
        </w:rPr>
        <w:t>193</w:t>
      </w:r>
      <w:r>
        <w:rPr>
          <w:spacing w:val="-5"/>
          <w:position w:val="1"/>
        </w:rPr>
        <w:t> </w:t>
      </w:r>
      <w:r>
        <w:rPr>
          <w:position w:val="1"/>
        </w:rPr>
        <w:t>from</w:t>
      </w:r>
      <w:r>
        <w:rPr>
          <w:spacing w:val="1"/>
          <w:position w:val="1"/>
        </w:rPr>
        <w:t> </w:t>
      </w:r>
      <w:r>
        <w:rPr>
          <w:position w:val="1"/>
        </w:rPr>
        <w:t>Poland</w:t>
      </w:r>
      <w:r>
        <w:rPr>
          <w:spacing w:val="-1"/>
          <w:position w:val="1"/>
        </w:rPr>
        <w:t> </w:t>
      </w:r>
      <w:r>
        <w:rPr>
          <w:position w:val="1"/>
        </w:rPr>
        <w:t>(Technology</w:t>
      </w:r>
      <w:r>
        <w:rPr>
          <w:spacing w:val="-7"/>
          <w:position w:val="1"/>
        </w:rPr>
        <w:t> </w:t>
      </w:r>
      <w:r>
        <w:rPr>
          <w:position w:val="1"/>
        </w:rPr>
        <w:t>Centre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-5"/>
          <w:position w:val="1"/>
        </w:rPr>
        <w:t> </w:t>
      </w:r>
      <w:r>
        <w:rPr>
          <w:position w:val="1"/>
        </w:rPr>
        <w:t>CAS,</w:t>
      </w:r>
      <w:r>
        <w:rPr>
          <w:spacing w:val="-4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[38]</w:t>
      </w:r>
      <w:r>
        <w:rPr>
          <w:position w:val="1"/>
        </w:rPr>
        <w:t>).</w:t>
      </w:r>
      <w:r>
        <w:rPr>
          <w:spacing w:val="-5"/>
          <w:position w:val="1"/>
        </w:rPr>
        <w:t> </w:t>
      </w:r>
      <w:r>
        <w:rPr>
          <w:position w:val="1"/>
        </w:rPr>
        <w:t>Since</w:t>
      </w:r>
      <w:r>
        <w:rPr>
          <w:spacing w:val="-53"/>
          <w:position w:val="1"/>
        </w:rPr>
        <w:t> </w:t>
      </w:r>
      <w:r>
        <w:rPr/>
        <w:t>2007, the ERC has supported only two project proposals from the Slovak Republic, one of the lowest</w:t>
      </w:r>
      <w:r>
        <w:rPr>
          <w:spacing w:val="1"/>
        </w:rPr>
        <w:t> </w:t>
      </w:r>
      <w:r>
        <w:rPr>
          <w:position w:val="1"/>
        </w:rPr>
        <w:t>numbers</w:t>
      </w:r>
      <w:r>
        <w:rPr>
          <w:spacing w:val="-1"/>
          <w:position w:val="1"/>
        </w:rPr>
        <w:t> </w:t>
      </w:r>
      <w:r>
        <w:rPr>
          <w:position w:val="1"/>
        </w:rPr>
        <w:t>among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EU28</w:t>
      </w:r>
      <w:r>
        <w:rPr>
          <w:spacing w:val="-1"/>
          <w:position w:val="1"/>
        </w:rPr>
        <w:t> </w:t>
      </w:r>
      <w:r>
        <w:rPr>
          <w:position w:val="1"/>
        </w:rPr>
        <w:t>member</w:t>
      </w:r>
      <w:r>
        <w:rPr>
          <w:spacing w:val="-4"/>
          <w:position w:val="1"/>
        </w:rPr>
        <w:t> </w:t>
      </w:r>
      <w:r>
        <w:rPr>
          <w:position w:val="1"/>
        </w:rPr>
        <w:t>states</w:t>
      </w:r>
      <w:r>
        <w:rPr>
          <w:spacing w:val="2"/>
          <w:position w:val="1"/>
        </w:rPr>
        <w:t> </w:t>
      </w:r>
      <w:r>
        <w:rPr>
          <w:position w:val="1"/>
        </w:rPr>
        <w:t>(European</w:t>
      </w:r>
      <w:r>
        <w:rPr>
          <w:spacing w:val="2"/>
          <w:position w:val="1"/>
        </w:rPr>
        <w:t> </w:t>
      </w:r>
      <w:r>
        <w:rPr>
          <w:position w:val="1"/>
        </w:rPr>
        <w:t>Research</w:t>
      </w:r>
      <w:r>
        <w:rPr>
          <w:spacing w:val="-2"/>
          <w:position w:val="1"/>
        </w:rPr>
        <w:t> </w:t>
      </w:r>
      <w:r>
        <w:rPr>
          <w:position w:val="1"/>
        </w:rPr>
        <w:t>Council,</w:t>
      </w:r>
      <w:r>
        <w:rPr>
          <w:spacing w:val="-1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[39]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11"/>
        <w:jc w:val="both"/>
      </w:pPr>
      <w:r>
        <w:rPr/>
        <w:t>Higher</w:t>
      </w:r>
      <w:r>
        <w:rPr>
          <w:spacing w:val="-5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rankings</w:t>
      </w:r>
      <w:r>
        <w:rPr>
          <w:spacing w:val="-2"/>
        </w:rPr>
        <w:t> </w:t>
      </w:r>
      <w:r>
        <w:rPr/>
        <w:t>also</w:t>
      </w:r>
      <w:r>
        <w:rPr>
          <w:spacing w:val="-5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play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role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comparing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 institutions worldwide, particularly with respect to research, as they rely largely on bibliometric</w:t>
      </w:r>
      <w:r>
        <w:rPr>
          <w:spacing w:val="1"/>
        </w:rPr>
        <w:t> </w:t>
      </w:r>
      <w:r>
        <w:rPr>
          <w:position w:val="1"/>
        </w:rPr>
        <w:t>indicators (OECD, 2019</w:t>
      </w:r>
      <w:r>
        <w:rPr>
          <w:sz w:val="13"/>
        </w:rPr>
        <w:t>[27]</w:t>
      </w:r>
      <w:r>
        <w:rPr>
          <w:position w:val="1"/>
        </w:rPr>
        <w:t>). According to various university rankings, Slovak higher education institutions</w:t>
      </w:r>
      <w:r>
        <w:rPr>
          <w:spacing w:val="-53"/>
          <w:position w:val="1"/>
        </w:rPr>
        <w:t> </w:t>
      </w:r>
      <w:r>
        <w:rPr/>
        <w:t>perform</w:t>
      </w:r>
      <w:r>
        <w:rPr>
          <w:spacing w:val="3"/>
        </w:rPr>
        <w:t> </w:t>
      </w:r>
      <w:r>
        <w:rPr/>
        <w:t>consistently</w:t>
      </w:r>
      <w:r>
        <w:rPr>
          <w:spacing w:val="-5"/>
        </w:rPr>
        <w:t> </w:t>
      </w:r>
      <w:r>
        <w:rPr/>
        <w:t>below</w:t>
      </w:r>
      <w:r>
        <w:rPr>
          <w:spacing w:val="1"/>
        </w:rPr>
        <w:t> </w:t>
      </w:r>
      <w:r>
        <w:rPr/>
        <w:t>institutions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neighbouring</w:t>
      </w:r>
      <w:r>
        <w:rPr>
          <w:spacing w:val="-1"/>
        </w:rPr>
        <w:t> </w:t>
      </w:r>
      <w:r>
        <w:rPr/>
        <w:t>countries: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71" w:lineRule="auto" w:before="99" w:after="0"/>
        <w:ind w:left="862" w:right="307" w:hanging="339"/>
        <w:jc w:val="both"/>
        <w:rPr>
          <w:sz w:val="20"/>
        </w:rPr>
      </w:pPr>
      <w:r>
        <w:rPr>
          <w:rFonts w:ascii="Arial" w:hAnsi="Arial"/>
          <w:i/>
          <w:sz w:val="20"/>
        </w:rPr>
        <w:t>Times Higher Education (THE) World University Ranking 2021</w:t>
      </w:r>
      <w:r>
        <w:rPr>
          <w:sz w:val="20"/>
        </w:rPr>
        <w:t>: Six Slovak universities are listed</w:t>
      </w:r>
      <w:r>
        <w:rPr>
          <w:spacing w:val="1"/>
          <w:sz w:val="20"/>
        </w:rPr>
        <w:t> </w:t>
      </w:r>
      <w:r>
        <w:rPr>
          <w:sz w:val="20"/>
        </w:rPr>
        <w:t>in the rank 1001+, namely Comenius University in Bratislava, the Slovak University of Agriculture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Nitra,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Pavol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Jozef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Šafárik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University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Košice,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Slovak</w:t>
      </w:r>
      <w:r>
        <w:rPr>
          <w:spacing w:val="-8"/>
          <w:sz w:val="20"/>
        </w:rPr>
        <w:t> </w:t>
      </w:r>
      <w:r>
        <w:rPr>
          <w:sz w:val="20"/>
        </w:rPr>
        <w:t>University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Technology</w:t>
      </w:r>
      <w:r>
        <w:rPr>
          <w:spacing w:val="-12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Bratislava,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Technical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University</w:t>
      </w:r>
      <w:r>
        <w:rPr>
          <w:spacing w:val="-9"/>
          <w:position w:val="1"/>
          <w:sz w:val="20"/>
        </w:rPr>
        <w:t> </w:t>
      </w:r>
      <w:r>
        <w:rPr>
          <w:position w:val="1"/>
          <w:sz w:val="20"/>
        </w:rPr>
        <w:t>of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Košice,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University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of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Žilina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(Times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Higher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Education,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2021</w:t>
      </w:r>
      <w:r>
        <w:rPr>
          <w:sz w:val="13"/>
        </w:rPr>
        <w:t>[40]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66" w:lineRule="auto" w:before="45" w:after="0"/>
        <w:ind w:left="862" w:right="304" w:hanging="339"/>
        <w:jc w:val="both"/>
        <w:rPr>
          <w:sz w:val="20"/>
        </w:rPr>
      </w:pP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z w:val="20"/>
        </w:rPr>
        <w:t>Young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z w:val="20"/>
        </w:rPr>
        <w:t>University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Ranking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z w:val="20"/>
        </w:rPr>
        <w:t>2021</w:t>
      </w:r>
      <w:r>
        <w:rPr>
          <w:rFonts w:ascii="Arial" w:hAnsi="Arial"/>
          <w:i/>
          <w:spacing w:val="-10"/>
          <w:sz w:val="20"/>
        </w:rPr>
        <w:t> </w:t>
      </w:r>
      <w:r>
        <w:rPr>
          <w:sz w:val="20"/>
        </w:rPr>
        <w:t>(universities</w:t>
      </w:r>
      <w:r>
        <w:rPr>
          <w:spacing w:val="-11"/>
          <w:sz w:val="20"/>
        </w:rPr>
        <w:t> </w:t>
      </w:r>
      <w:r>
        <w:rPr>
          <w:sz w:val="20"/>
        </w:rPr>
        <w:t>established</w:t>
      </w:r>
      <w:r>
        <w:rPr>
          <w:spacing w:val="-13"/>
          <w:sz w:val="20"/>
        </w:rPr>
        <w:t> </w:t>
      </w:r>
      <w:r>
        <w:rPr>
          <w:sz w:val="20"/>
        </w:rPr>
        <w:t>less</w:t>
      </w:r>
      <w:r>
        <w:rPr>
          <w:spacing w:val="-11"/>
          <w:sz w:val="20"/>
        </w:rPr>
        <w:t> </w:t>
      </w:r>
      <w:r>
        <w:rPr>
          <w:sz w:val="20"/>
        </w:rPr>
        <w:t>than</w:t>
      </w:r>
      <w:r>
        <w:rPr>
          <w:spacing w:val="-13"/>
          <w:sz w:val="20"/>
        </w:rPr>
        <w:t> </w:t>
      </w:r>
      <w:r>
        <w:rPr>
          <w:sz w:val="20"/>
        </w:rPr>
        <w:t>50 years</w:t>
      </w:r>
      <w:r>
        <w:rPr>
          <w:spacing w:val="-10"/>
          <w:sz w:val="20"/>
        </w:rPr>
        <w:t> </w:t>
      </w:r>
      <w:r>
        <w:rPr>
          <w:sz w:val="20"/>
        </w:rPr>
        <w:t>ago):</w:t>
      </w:r>
      <w:r>
        <w:rPr>
          <w:spacing w:val="-12"/>
          <w:sz w:val="20"/>
        </w:rPr>
        <w:t> </w:t>
      </w:r>
      <w:r>
        <w:rPr>
          <w:sz w:val="20"/>
        </w:rPr>
        <w:t>None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54"/>
          <w:sz w:val="20"/>
        </w:rPr>
        <w:t> </w:t>
      </w:r>
      <w:r>
        <w:rPr>
          <w:position w:val="1"/>
          <w:sz w:val="20"/>
        </w:rPr>
        <w:t>Slovak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universities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is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listed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among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414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evaluated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institutions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(Times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Higher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Education,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2021</w:t>
      </w:r>
      <w:r>
        <w:rPr>
          <w:sz w:val="13"/>
        </w:rPr>
        <w:t>[41]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68" w:lineRule="auto" w:before="52" w:after="0"/>
        <w:ind w:left="862" w:right="303" w:hanging="339"/>
        <w:jc w:val="both"/>
        <w:rPr>
          <w:sz w:val="20"/>
        </w:rPr>
      </w:pPr>
      <w:r>
        <w:rPr>
          <w:rFonts w:ascii="Arial" w:hAnsi="Arial"/>
          <w:i/>
          <w:spacing w:val="-1"/>
          <w:sz w:val="20"/>
        </w:rPr>
        <w:t>QS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pacing w:val="-1"/>
          <w:sz w:val="20"/>
        </w:rPr>
        <w:t>World</w:t>
      </w:r>
      <w:r>
        <w:rPr>
          <w:rFonts w:ascii="Arial" w:hAnsi="Arial"/>
          <w:i/>
          <w:spacing w:val="-14"/>
          <w:sz w:val="20"/>
        </w:rPr>
        <w:t> </w:t>
      </w:r>
      <w:r>
        <w:rPr>
          <w:rFonts w:ascii="Arial" w:hAnsi="Arial"/>
          <w:i/>
          <w:spacing w:val="-1"/>
          <w:sz w:val="20"/>
        </w:rPr>
        <w:t>University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-1"/>
          <w:sz w:val="20"/>
        </w:rPr>
        <w:t>Ranking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pacing w:val="-1"/>
          <w:sz w:val="20"/>
        </w:rPr>
        <w:t>2021</w:t>
      </w:r>
      <w:r>
        <w:rPr>
          <w:spacing w:val="-1"/>
          <w:sz w:val="20"/>
        </w:rPr>
        <w:t>: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Four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Slovak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HEIs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are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included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final</w:t>
      </w:r>
      <w:r>
        <w:rPr>
          <w:spacing w:val="-11"/>
          <w:sz w:val="20"/>
        </w:rPr>
        <w:t> </w:t>
      </w:r>
      <w:r>
        <w:rPr>
          <w:sz w:val="20"/>
        </w:rPr>
        <w:t>top</w:t>
      </w:r>
      <w:r>
        <w:rPr>
          <w:spacing w:val="-11"/>
          <w:sz w:val="20"/>
        </w:rPr>
        <w:t> </w:t>
      </w:r>
      <w:r>
        <w:rPr>
          <w:sz w:val="20"/>
        </w:rPr>
        <w:t>1</w:t>
      </w:r>
      <w:r>
        <w:rPr>
          <w:spacing w:val="-11"/>
          <w:sz w:val="20"/>
        </w:rPr>
        <w:t> </w:t>
      </w:r>
      <w:r>
        <w:rPr>
          <w:sz w:val="20"/>
        </w:rPr>
        <w:t>000</w:t>
      </w:r>
      <w:r>
        <w:rPr>
          <w:spacing w:val="-12"/>
          <w:sz w:val="20"/>
        </w:rPr>
        <w:t> </w:t>
      </w:r>
      <w:r>
        <w:rPr>
          <w:sz w:val="20"/>
        </w:rPr>
        <w:t>universities</w:t>
      </w:r>
      <w:r>
        <w:rPr>
          <w:spacing w:val="1"/>
          <w:sz w:val="20"/>
        </w:rPr>
        <w:t> </w:t>
      </w:r>
      <w:r>
        <w:rPr>
          <w:sz w:val="20"/>
        </w:rPr>
        <w:t>that are selected out of over 5 500 institutions evaluated and considered: Pavol Jozef Šafárik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3"/>
          <w:sz w:val="20"/>
        </w:rPr>
        <w:t> </w:t>
      </w:r>
      <w:r>
        <w:rPr>
          <w:sz w:val="20"/>
        </w:rPr>
        <w:t>Košice</w:t>
      </w:r>
      <w:r>
        <w:rPr>
          <w:spacing w:val="2"/>
          <w:sz w:val="20"/>
        </w:rPr>
        <w:t> </w:t>
      </w:r>
      <w:r>
        <w:rPr>
          <w:sz w:val="20"/>
        </w:rPr>
        <w:t>(the</w:t>
      </w:r>
      <w:r>
        <w:rPr>
          <w:spacing w:val="5"/>
          <w:sz w:val="20"/>
        </w:rPr>
        <w:t> </w:t>
      </w:r>
      <w:r>
        <w:rPr>
          <w:sz w:val="20"/>
        </w:rPr>
        <w:t>651-700</w:t>
      </w:r>
      <w:r>
        <w:rPr>
          <w:spacing w:val="2"/>
          <w:sz w:val="20"/>
        </w:rPr>
        <w:t> </w:t>
      </w:r>
      <w:r>
        <w:rPr>
          <w:sz w:val="20"/>
        </w:rPr>
        <w:t>range),</w:t>
      </w:r>
      <w:r>
        <w:rPr>
          <w:spacing w:val="3"/>
          <w:sz w:val="20"/>
        </w:rPr>
        <w:t> </w:t>
      </w:r>
      <w:r>
        <w:rPr>
          <w:sz w:val="20"/>
        </w:rPr>
        <w:t>Comenius</w:t>
      </w:r>
      <w:r>
        <w:rPr>
          <w:spacing w:val="3"/>
          <w:sz w:val="20"/>
        </w:rPr>
        <w:t> </w:t>
      </w:r>
      <w:r>
        <w:rPr>
          <w:sz w:val="20"/>
        </w:rPr>
        <w:t>University in</w:t>
      </w:r>
      <w:r>
        <w:rPr>
          <w:spacing w:val="4"/>
          <w:sz w:val="20"/>
        </w:rPr>
        <w:t> </w:t>
      </w:r>
      <w:r>
        <w:rPr>
          <w:sz w:val="20"/>
        </w:rPr>
        <w:t>Bratislava</w:t>
      </w:r>
      <w:r>
        <w:rPr>
          <w:spacing w:val="3"/>
          <w:sz w:val="20"/>
        </w:rPr>
        <w:t> </w:t>
      </w:r>
      <w:r>
        <w:rPr>
          <w:sz w:val="20"/>
        </w:rPr>
        <w:t>(the</w:t>
      </w:r>
      <w:r>
        <w:rPr>
          <w:spacing w:val="4"/>
          <w:sz w:val="20"/>
        </w:rPr>
        <w:t> </w:t>
      </w:r>
      <w:r>
        <w:rPr>
          <w:sz w:val="20"/>
        </w:rPr>
        <w:t>701-750</w:t>
      </w:r>
      <w:r>
        <w:rPr>
          <w:spacing w:val="2"/>
          <w:sz w:val="20"/>
        </w:rPr>
        <w:t> </w:t>
      </w:r>
      <w:r>
        <w:rPr>
          <w:sz w:val="20"/>
        </w:rPr>
        <w:t>range),</w:t>
      </w:r>
    </w:p>
    <w:p>
      <w:pPr>
        <w:spacing w:after="0" w:line="268" w:lineRule="auto"/>
        <w:jc w:val="both"/>
        <w:rPr>
          <w:sz w:val="20"/>
        </w:rPr>
        <w:sectPr>
          <w:type w:val="continuous"/>
          <w:pgSz w:w="11910" w:h="15880"/>
          <w:pgMar w:top="1500" w:bottom="280" w:left="1120" w:right="1000"/>
        </w:sectPr>
      </w:pPr>
    </w:p>
    <w:p>
      <w:pPr>
        <w:pStyle w:val="BodyText"/>
        <w:spacing w:line="271" w:lineRule="auto" w:before="185"/>
        <w:ind w:left="862" w:right="303"/>
        <w:jc w:val="both"/>
      </w:pPr>
      <w:r>
        <w:rPr/>
        <w:t>the Slovak University of Technology in Bratislava (the 801-1000 range) and Technical University</w:t>
      </w:r>
      <w:r>
        <w:rPr>
          <w:spacing w:val="1"/>
        </w:rPr>
        <w:t> </w:t>
      </w:r>
      <w:r>
        <w:rPr>
          <w:position w:val="1"/>
        </w:rPr>
        <w:t>of Košice</w:t>
      </w:r>
      <w:r>
        <w:rPr>
          <w:spacing w:val="-2"/>
          <w:position w:val="1"/>
        </w:rPr>
        <w:t> </w:t>
      </w:r>
      <w:r>
        <w:rPr>
          <w:position w:val="1"/>
        </w:rPr>
        <w:t>(the</w:t>
      </w:r>
      <w:r>
        <w:rPr>
          <w:spacing w:val="-1"/>
          <w:position w:val="1"/>
        </w:rPr>
        <w:t> </w:t>
      </w:r>
      <w:r>
        <w:rPr>
          <w:position w:val="1"/>
        </w:rPr>
        <w:t>801-1000</w:t>
      </w:r>
      <w:r>
        <w:rPr>
          <w:spacing w:val="-3"/>
          <w:position w:val="1"/>
        </w:rPr>
        <w:t> </w:t>
      </w:r>
      <w:r>
        <w:rPr>
          <w:position w:val="1"/>
        </w:rPr>
        <w:t>range) (Quacquarelli</w:t>
      </w:r>
      <w:r>
        <w:rPr>
          <w:spacing w:val="-2"/>
          <w:position w:val="1"/>
        </w:rPr>
        <w:t> </w:t>
      </w:r>
      <w:r>
        <w:rPr>
          <w:position w:val="1"/>
        </w:rPr>
        <w:t>Symonds</w:t>
      </w:r>
      <w:r>
        <w:rPr>
          <w:spacing w:val="-1"/>
          <w:position w:val="1"/>
        </w:rPr>
        <w:t> </w:t>
      </w:r>
      <w:r>
        <w:rPr>
          <w:position w:val="1"/>
        </w:rPr>
        <w:t>Limited,</w:t>
      </w:r>
      <w:r>
        <w:rPr>
          <w:spacing w:val="-1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[42]</w:t>
      </w:r>
      <w:r>
        <w:rPr>
          <w:position w:val="1"/>
        </w:rPr>
        <w:t>).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71" w:lineRule="auto" w:before="46" w:after="0"/>
        <w:ind w:left="862" w:right="303" w:hanging="339"/>
        <w:jc w:val="both"/>
        <w:rPr>
          <w:sz w:val="20"/>
        </w:rPr>
      </w:pPr>
      <w:r>
        <w:rPr>
          <w:rFonts w:ascii="Arial" w:hAnsi="Arial"/>
          <w:i/>
          <w:sz w:val="20"/>
        </w:rPr>
        <w:t>Best Global Universities 2021</w:t>
      </w:r>
      <w:r>
        <w:rPr>
          <w:sz w:val="20"/>
        </w:rPr>
        <w:t>: This ranking published by </w:t>
      </w:r>
      <w:r>
        <w:rPr>
          <w:rFonts w:ascii="Arial" w:hAnsi="Arial"/>
          <w:i/>
          <w:sz w:val="20"/>
        </w:rPr>
        <w:t>U.S. News </w:t>
      </w:r>
      <w:r>
        <w:rPr>
          <w:sz w:val="20"/>
        </w:rPr>
        <w:t>includes more than 1 600</w:t>
      </w:r>
      <w:r>
        <w:rPr>
          <w:spacing w:val="1"/>
          <w:sz w:val="20"/>
        </w:rPr>
        <w:t> </w:t>
      </w:r>
      <w:r>
        <w:rPr>
          <w:sz w:val="20"/>
        </w:rPr>
        <w:t>universities around the world. Among Slovak HEIs, Comenius University in Bratislava scores the</w:t>
      </w:r>
      <w:r>
        <w:rPr>
          <w:spacing w:val="1"/>
          <w:sz w:val="20"/>
        </w:rPr>
        <w:t> </w:t>
      </w:r>
      <w:r>
        <w:rPr>
          <w:sz w:val="20"/>
        </w:rPr>
        <w:t>highest</w:t>
      </w:r>
      <w:r>
        <w:rPr>
          <w:spacing w:val="-12"/>
          <w:sz w:val="20"/>
        </w:rPr>
        <w:t> </w:t>
      </w:r>
      <w:r>
        <w:rPr>
          <w:sz w:val="20"/>
        </w:rPr>
        <w:t>(rank</w:t>
      </w:r>
      <w:r>
        <w:rPr>
          <w:spacing w:val="-9"/>
          <w:sz w:val="20"/>
        </w:rPr>
        <w:t> </w:t>
      </w:r>
      <w:r>
        <w:rPr>
          <w:sz w:val="20"/>
        </w:rPr>
        <w:t>572),</w:t>
      </w:r>
      <w:r>
        <w:rPr>
          <w:spacing w:val="-12"/>
          <w:sz w:val="20"/>
        </w:rPr>
        <w:t> </w:t>
      </w:r>
      <w:r>
        <w:rPr>
          <w:sz w:val="20"/>
        </w:rPr>
        <w:t>followed</w:t>
      </w:r>
      <w:r>
        <w:rPr>
          <w:spacing w:val="-10"/>
          <w:sz w:val="20"/>
        </w:rPr>
        <w:t> </w:t>
      </w:r>
      <w:r>
        <w:rPr>
          <w:sz w:val="20"/>
        </w:rPr>
        <w:t>by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University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Pavol</w:t>
      </w:r>
      <w:r>
        <w:rPr>
          <w:spacing w:val="-6"/>
          <w:sz w:val="20"/>
        </w:rPr>
        <w:t> </w:t>
      </w:r>
      <w:r>
        <w:rPr>
          <w:sz w:val="20"/>
        </w:rPr>
        <w:t>Šafárik</w:t>
      </w:r>
      <w:r>
        <w:rPr>
          <w:spacing w:val="-9"/>
          <w:sz w:val="20"/>
        </w:rPr>
        <w:t> </w:t>
      </w:r>
      <w:r>
        <w:rPr>
          <w:sz w:val="20"/>
        </w:rPr>
        <w:t>Košice</w:t>
      </w:r>
      <w:r>
        <w:rPr>
          <w:spacing w:val="-13"/>
          <w:sz w:val="20"/>
        </w:rPr>
        <w:t> </w:t>
      </w:r>
      <w:r>
        <w:rPr>
          <w:sz w:val="20"/>
        </w:rPr>
        <w:t>(1148)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Slovak</w:t>
      </w:r>
      <w:r>
        <w:rPr>
          <w:spacing w:val="-9"/>
          <w:sz w:val="20"/>
        </w:rPr>
        <w:t> </w:t>
      </w:r>
      <w:r>
        <w:rPr>
          <w:sz w:val="20"/>
        </w:rPr>
        <w:t>University</w:t>
      </w:r>
      <w:r>
        <w:rPr>
          <w:spacing w:val="-54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Technology</w:t>
      </w:r>
      <w:r>
        <w:rPr>
          <w:spacing w:val="-12"/>
          <w:sz w:val="20"/>
        </w:rPr>
        <w:t> </w:t>
      </w:r>
      <w:r>
        <w:rPr>
          <w:sz w:val="20"/>
        </w:rPr>
        <w:t>Bratislava</w:t>
      </w:r>
      <w:r>
        <w:rPr>
          <w:spacing w:val="-11"/>
          <w:sz w:val="20"/>
        </w:rPr>
        <w:t> </w:t>
      </w:r>
      <w:r>
        <w:rPr>
          <w:sz w:val="20"/>
        </w:rPr>
        <w:t>(1321).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same</w:t>
      </w:r>
      <w:r>
        <w:rPr>
          <w:spacing w:val="-12"/>
          <w:sz w:val="20"/>
        </w:rPr>
        <w:t> </w:t>
      </w:r>
      <w:r>
        <w:rPr>
          <w:sz w:val="20"/>
        </w:rPr>
        <w:t>ranking,</w:t>
      </w:r>
      <w:r>
        <w:rPr>
          <w:spacing w:val="-9"/>
          <w:sz w:val="20"/>
        </w:rPr>
        <w:t> </w:t>
      </w:r>
      <w:r>
        <w:rPr>
          <w:sz w:val="20"/>
        </w:rPr>
        <w:t>Hungary</w:t>
      </w:r>
      <w:r>
        <w:rPr>
          <w:spacing w:val="-11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represented</w:t>
      </w:r>
      <w:r>
        <w:rPr>
          <w:spacing w:val="-11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8 institutions,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Czech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Republic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by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11,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and Poland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by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31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institutions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(U.S.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News,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2021</w:t>
      </w:r>
      <w:r>
        <w:rPr>
          <w:sz w:val="13"/>
        </w:rPr>
        <w:t>[43]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66" w:lineRule="auto" w:before="44" w:after="0"/>
        <w:ind w:left="862" w:right="305" w:hanging="339"/>
        <w:jc w:val="both"/>
        <w:rPr>
          <w:sz w:val="20"/>
        </w:rPr>
      </w:pPr>
      <w:r>
        <w:rPr>
          <w:rFonts w:ascii="Arial" w:hAnsi="Arial"/>
          <w:i/>
          <w:sz w:val="20"/>
        </w:rPr>
        <w:t>Academic Ranking of World Universities </w:t>
      </w:r>
      <w:r>
        <w:rPr>
          <w:sz w:val="20"/>
        </w:rPr>
        <w:t>(ARWU 2020): This ranking list includes only Comenius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University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in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Bratislava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in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world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rank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601-700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(Shanghai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Ranking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Consultancy,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2020</w:t>
      </w:r>
      <w:r>
        <w:rPr>
          <w:sz w:val="13"/>
        </w:rPr>
        <w:t>[44]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34"/>
        <w:ind w:left="183" w:right="301"/>
        <w:jc w:val="both"/>
      </w:pPr>
      <w:r>
        <w:rPr/>
        <w:t>According to the Universitas 21 Ranking, a benchmark for governments that focuses on ranking national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neighbouring</w:t>
      </w:r>
      <w:r>
        <w:rPr>
          <w:spacing w:val="-10"/>
        </w:rPr>
        <w:t> </w:t>
      </w:r>
      <w:r>
        <w:rPr/>
        <w:t>countries.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Slovak</w:t>
      </w:r>
      <w:r>
        <w:rPr>
          <w:spacing w:val="2"/>
        </w:rPr>
        <w:t> </w:t>
      </w:r>
      <w:r>
        <w:rPr/>
        <w:t>Republic</w:t>
      </w:r>
      <w:r>
        <w:rPr>
          <w:spacing w:val="-5"/>
        </w:rPr>
        <w:t> </w:t>
      </w:r>
      <w:r>
        <w:rPr/>
        <w:t>was</w:t>
      </w:r>
      <w:r>
        <w:rPr>
          <w:spacing w:val="-8"/>
        </w:rPr>
        <w:t> </w:t>
      </w:r>
      <w:r>
        <w:rPr/>
        <w:t>ranked</w:t>
      </w:r>
      <w:r>
        <w:rPr>
          <w:spacing w:val="-9"/>
        </w:rPr>
        <w:t> </w:t>
      </w:r>
      <w:r>
        <w:rPr/>
        <w:t>38</w:t>
      </w:r>
      <w:r>
        <w:rPr>
          <w:position w:val="6"/>
          <w:sz w:val="13"/>
        </w:rPr>
        <w:t>th</w:t>
      </w:r>
      <w:r>
        <w:rPr>
          <w:spacing w:val="8"/>
          <w:position w:val="6"/>
          <w:sz w:val="13"/>
        </w:rPr>
        <w:t> </w:t>
      </w:r>
      <w:r>
        <w:rPr/>
        <w:t>out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50</w:t>
      </w:r>
      <w:r>
        <w:rPr>
          <w:spacing w:val="-2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systems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2020,</w:t>
      </w:r>
      <w:r>
        <w:rPr>
          <w:spacing w:val="-53"/>
        </w:rPr>
        <w:t> </w:t>
      </w:r>
      <w:r>
        <w:rPr/>
        <w:t>with particular weaknesses regarding joint scientific publications with industry and knowledge transfer</w:t>
      </w:r>
      <w:r>
        <w:rPr>
          <w:spacing w:val="1"/>
        </w:rPr>
        <w:t> </w:t>
      </w:r>
      <w:r>
        <w:rPr>
          <w:position w:val="1"/>
        </w:rPr>
        <w:t>(Universitas</w:t>
      </w:r>
      <w:r>
        <w:rPr>
          <w:spacing w:val="-1"/>
          <w:position w:val="1"/>
        </w:rPr>
        <w:t> </w:t>
      </w:r>
      <w:r>
        <w:rPr>
          <w:position w:val="1"/>
        </w:rPr>
        <w:t>21,</w:t>
      </w:r>
      <w:r>
        <w:rPr>
          <w:spacing w:val="-2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[45]</w:t>
      </w:r>
      <w:r>
        <w:rPr>
          <w:position w:val="1"/>
        </w:rPr>
        <w:t>).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sz w:val="9"/>
        </w:rPr>
      </w:pPr>
    </w:p>
    <w:p>
      <w:pPr>
        <w:pStyle w:val="Heading2"/>
        <w:spacing w:before="92"/>
      </w:pPr>
      <w:bookmarkStart w:name="Notes" w:id="72"/>
      <w:bookmarkEnd w:id="72"/>
      <w:r>
        <w:rPr>
          <w:b w:val="0"/>
        </w:rPr>
      </w:r>
      <w:bookmarkStart w:name="_bookmark31" w:id="73"/>
      <w:bookmarkEnd w:id="73"/>
      <w:r>
        <w:rPr>
          <w:b w:val="0"/>
        </w:rPr>
      </w:r>
      <w:r>
        <w:rPr>
          <w:color w:val="4E81BD"/>
        </w:rPr>
        <w:t>Notes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904" w:val="left" w:leader="none"/>
        </w:tabs>
        <w:spacing w:line="276" w:lineRule="auto" w:before="207" w:after="0"/>
        <w:ind w:left="903" w:right="301" w:hanging="720"/>
        <w:jc w:val="both"/>
        <w:rPr>
          <w:sz w:val="20"/>
        </w:rPr>
      </w:pPr>
      <w:r>
        <w:rPr>
          <w:sz w:val="20"/>
        </w:rPr>
        <w:t>The names of the HEIs and their faculties had to be listed in the annex to the Higher Education</w:t>
      </w:r>
      <w:r>
        <w:rPr>
          <w:spacing w:val="1"/>
          <w:sz w:val="20"/>
        </w:rPr>
        <w:t> </w:t>
      </w:r>
      <w:r>
        <w:rPr>
          <w:sz w:val="20"/>
        </w:rPr>
        <w:t>Act (172/1990), which was a federal legislation valid for both the Czech and Slovak Republics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then</w:t>
      </w:r>
      <w:r>
        <w:rPr>
          <w:spacing w:val="1"/>
          <w:sz w:val="20"/>
        </w:rPr>
        <w:t> </w:t>
      </w:r>
      <w:r>
        <w:rPr>
          <w:sz w:val="20"/>
        </w:rPr>
        <w:t>Czechoslovakia.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904" w:val="left" w:leader="none"/>
        </w:tabs>
        <w:spacing w:line="276" w:lineRule="auto" w:before="0" w:after="0"/>
        <w:ind w:left="903" w:right="301" w:hanging="720"/>
        <w:jc w:val="both"/>
        <w:rPr>
          <w:sz w:val="20"/>
        </w:rPr>
      </w:pPr>
      <w:r>
        <w:rPr>
          <w:sz w:val="20"/>
        </w:rPr>
        <w:t>The five foreign-based institutions are the College of International and Public Relations Prague</w:t>
      </w:r>
      <w:r>
        <w:rPr>
          <w:spacing w:val="1"/>
          <w:sz w:val="20"/>
        </w:rPr>
        <w:t> </w:t>
      </w:r>
      <w:r>
        <w:rPr>
          <w:sz w:val="20"/>
        </w:rPr>
        <w:t>(Czech), the Hochschule Fresenius University of Applied Sciences (German), the MOD’SPE</w:t>
      </w:r>
      <w:r>
        <w:rPr>
          <w:spacing w:val="1"/>
          <w:sz w:val="20"/>
        </w:rPr>
        <w:t> </w:t>
      </w:r>
      <w:r>
        <w:rPr>
          <w:sz w:val="20"/>
        </w:rPr>
        <w:t>PARIS Central Europe (French), the Old Polish University (Polish) and Szent István University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(Hungarian)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(Eurydice,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2020</w:t>
      </w:r>
      <w:r>
        <w:rPr>
          <w:sz w:val="13"/>
        </w:rPr>
        <w:t>[46]</w:t>
      </w:r>
      <w:r>
        <w:rPr>
          <w:position w:val="1"/>
          <w:sz w:val="20"/>
        </w:rPr>
        <w:t>).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904" w:val="left" w:leader="none"/>
        </w:tabs>
        <w:spacing w:line="278" w:lineRule="auto" w:before="0" w:after="0"/>
        <w:ind w:left="903" w:right="302" w:hanging="720"/>
        <w:jc w:val="both"/>
        <w:rPr>
          <w:sz w:val="20"/>
        </w:rPr>
      </w:pP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standards,</w:t>
      </w:r>
      <w:r>
        <w:rPr>
          <w:spacing w:val="13"/>
          <w:sz w:val="20"/>
        </w:rPr>
        <w:t> </w:t>
      </w:r>
      <w:r>
        <w:rPr>
          <w:sz w:val="20"/>
        </w:rPr>
        <w:t>as</w:t>
      </w:r>
      <w:r>
        <w:rPr>
          <w:spacing w:val="16"/>
          <w:sz w:val="20"/>
        </w:rPr>
        <w:t> </w:t>
      </w:r>
      <w:r>
        <w:rPr>
          <w:sz w:val="20"/>
        </w:rPr>
        <w:t>well</w:t>
      </w:r>
      <w:r>
        <w:rPr>
          <w:spacing w:val="12"/>
          <w:sz w:val="20"/>
        </w:rPr>
        <w:t> </w:t>
      </w:r>
      <w:r>
        <w:rPr>
          <w:sz w:val="20"/>
        </w:rPr>
        <w:t>as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list</w:t>
      </w:r>
      <w:r>
        <w:rPr>
          <w:spacing w:val="13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evaluators,</w:t>
      </w:r>
      <w:r>
        <w:rPr>
          <w:spacing w:val="13"/>
          <w:sz w:val="20"/>
        </w:rPr>
        <w:t> </w:t>
      </w:r>
      <w:r>
        <w:rPr>
          <w:sz w:val="20"/>
        </w:rPr>
        <w:t>can</w:t>
      </w:r>
      <w:r>
        <w:rPr>
          <w:spacing w:val="15"/>
          <w:sz w:val="20"/>
        </w:rPr>
        <w:t> </w:t>
      </w:r>
      <w:r>
        <w:rPr>
          <w:sz w:val="20"/>
        </w:rPr>
        <w:t>be</w:t>
      </w:r>
      <w:r>
        <w:rPr>
          <w:spacing w:val="12"/>
          <w:sz w:val="20"/>
        </w:rPr>
        <w:t> </w:t>
      </w:r>
      <w:r>
        <w:rPr>
          <w:sz w:val="20"/>
        </w:rPr>
        <w:t>found</w:t>
      </w:r>
      <w:r>
        <w:rPr>
          <w:spacing w:val="16"/>
          <w:sz w:val="20"/>
        </w:rPr>
        <w:t> </w:t>
      </w:r>
      <w:r>
        <w:rPr>
          <w:sz w:val="20"/>
        </w:rPr>
        <w:t>at</w:t>
      </w:r>
      <w:r>
        <w:rPr>
          <w:color w:val="0000FF"/>
          <w:spacing w:val="15"/>
          <w:sz w:val="20"/>
        </w:rPr>
        <w:t> </w:t>
      </w:r>
      <w:hyperlink r:id="rId98">
        <w:r>
          <w:rPr>
            <w:color w:val="0000FF"/>
            <w:sz w:val="20"/>
            <w:u w:val="single" w:color="0000FF"/>
          </w:rPr>
          <w:t>https://saavs.sk/</w:t>
        </w:r>
        <w:r>
          <w:rPr>
            <w:color w:val="0000FF"/>
            <w:spacing w:val="15"/>
            <w:sz w:val="20"/>
          </w:rPr>
          <w:t> </w:t>
        </w:r>
      </w:hyperlink>
      <w:r>
        <w:rPr>
          <w:sz w:val="20"/>
        </w:rPr>
        <w:t>(accessed</w:t>
      </w:r>
      <w:r>
        <w:rPr>
          <w:spacing w:val="12"/>
          <w:sz w:val="20"/>
        </w:rPr>
        <w:t> </w:t>
      </w:r>
      <w:r>
        <w:rPr>
          <w:sz w:val="20"/>
        </w:rPr>
        <w:t>on</w:t>
      </w:r>
      <w:r>
        <w:rPr>
          <w:spacing w:val="-53"/>
          <w:sz w:val="20"/>
        </w:rPr>
        <w:t> </w:t>
      </w:r>
      <w:r>
        <w:rPr>
          <w:sz w:val="20"/>
        </w:rPr>
        <w:t>2</w:t>
      </w:r>
      <w:r>
        <w:rPr>
          <w:spacing w:val="-2"/>
          <w:sz w:val="20"/>
        </w:rPr>
        <w:t> </w:t>
      </w:r>
      <w:r>
        <w:rPr>
          <w:sz w:val="20"/>
        </w:rPr>
        <w:t>June</w:t>
      </w:r>
      <w:r>
        <w:rPr>
          <w:spacing w:val="1"/>
          <w:sz w:val="20"/>
        </w:rPr>
        <w:t> </w:t>
      </w:r>
      <w:r>
        <w:rPr>
          <w:sz w:val="20"/>
        </w:rPr>
        <w:t>2021).</w:t>
      </w:r>
    </w:p>
    <w:p>
      <w:pPr>
        <w:pStyle w:val="ListParagraph"/>
        <w:numPr>
          <w:ilvl w:val="0"/>
          <w:numId w:val="11"/>
        </w:numPr>
        <w:tabs>
          <w:tab w:pos="899" w:val="left" w:leader="none"/>
        </w:tabs>
        <w:spacing w:line="276" w:lineRule="auto" w:before="194" w:after="0"/>
        <w:ind w:left="903" w:right="306" w:hanging="720"/>
        <w:jc w:val="both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EU23</w:t>
      </w:r>
      <w:r>
        <w:rPr>
          <w:spacing w:val="-4"/>
          <w:sz w:val="20"/>
        </w:rPr>
        <w:t> </w:t>
      </w:r>
      <w:r>
        <w:rPr>
          <w:sz w:val="20"/>
        </w:rPr>
        <w:t>average</w:t>
      </w:r>
      <w:r>
        <w:rPr>
          <w:spacing w:val="-5"/>
          <w:sz w:val="20"/>
        </w:rPr>
        <w:t> </w:t>
      </w:r>
      <w:r>
        <w:rPr>
          <w:sz w:val="20"/>
        </w:rPr>
        <w:t>refers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average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23</w:t>
      </w:r>
      <w:r>
        <w:rPr>
          <w:spacing w:val="-5"/>
          <w:sz w:val="20"/>
        </w:rPr>
        <w:t> </w:t>
      </w:r>
      <w:r>
        <w:rPr>
          <w:sz w:val="20"/>
        </w:rPr>
        <w:t>EU</w:t>
      </w:r>
      <w:r>
        <w:rPr>
          <w:spacing w:val="-4"/>
          <w:sz w:val="20"/>
        </w:rPr>
        <w:t> </w:t>
      </w:r>
      <w:r>
        <w:rPr>
          <w:sz w:val="20"/>
        </w:rPr>
        <w:t>countries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were</w:t>
      </w:r>
      <w:r>
        <w:rPr>
          <w:spacing w:val="-4"/>
          <w:sz w:val="20"/>
        </w:rPr>
        <w:t> </w:t>
      </w:r>
      <w:r>
        <w:rPr>
          <w:sz w:val="20"/>
        </w:rPr>
        <w:t>also</w:t>
      </w:r>
      <w:r>
        <w:rPr>
          <w:spacing w:val="-2"/>
          <w:sz w:val="20"/>
        </w:rPr>
        <w:t> </w:t>
      </w:r>
      <w:r>
        <w:rPr>
          <w:sz w:val="20"/>
        </w:rPr>
        <w:t>OECD</w:t>
      </w:r>
      <w:r>
        <w:rPr>
          <w:spacing w:val="-4"/>
          <w:sz w:val="20"/>
        </w:rPr>
        <w:t> </w:t>
      </w:r>
      <w:r>
        <w:rPr>
          <w:sz w:val="20"/>
        </w:rPr>
        <w:t>members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3"/>
          <w:sz w:val="20"/>
        </w:rPr>
        <w:t> </w:t>
      </w:r>
      <w:r>
        <w:rPr>
          <w:sz w:val="20"/>
        </w:rPr>
        <w:t>the end of 2019. The 23 countries included in this average are Austria, Belgium, the Czech</w:t>
      </w:r>
      <w:r>
        <w:rPr>
          <w:spacing w:val="1"/>
          <w:sz w:val="20"/>
        </w:rPr>
        <w:t> </w:t>
      </w:r>
      <w:r>
        <w:rPr>
          <w:sz w:val="20"/>
        </w:rPr>
        <w:t>Republic, Denmark, Estonia, Finland, France, Germany, Greece, Hungary, Ireland, Italy, Latvia,</w:t>
      </w:r>
      <w:r>
        <w:rPr>
          <w:spacing w:val="1"/>
          <w:sz w:val="20"/>
        </w:rPr>
        <w:t> </w:t>
      </w:r>
      <w:r>
        <w:rPr>
          <w:sz w:val="20"/>
        </w:rPr>
        <w:t>Lithuania,</w:t>
      </w:r>
      <w:r>
        <w:rPr>
          <w:spacing w:val="-6"/>
          <w:sz w:val="20"/>
        </w:rPr>
        <w:t> </w:t>
      </w:r>
      <w:r>
        <w:rPr>
          <w:sz w:val="20"/>
        </w:rPr>
        <w:t>Luxembourg,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Netherlands,</w:t>
      </w:r>
      <w:r>
        <w:rPr>
          <w:spacing w:val="-7"/>
          <w:sz w:val="20"/>
        </w:rPr>
        <w:t> </w:t>
      </w:r>
      <w:r>
        <w:rPr>
          <w:sz w:val="20"/>
        </w:rPr>
        <w:t>Poland,</w:t>
      </w:r>
      <w:r>
        <w:rPr>
          <w:spacing w:val="-5"/>
          <w:sz w:val="20"/>
        </w:rPr>
        <w:t> </w:t>
      </w:r>
      <w:r>
        <w:rPr>
          <w:sz w:val="20"/>
        </w:rPr>
        <w:t>Portugal,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Slovak</w:t>
      </w:r>
      <w:r>
        <w:rPr>
          <w:spacing w:val="-4"/>
          <w:sz w:val="20"/>
        </w:rPr>
        <w:t> </w:t>
      </w:r>
      <w:r>
        <w:rPr>
          <w:sz w:val="20"/>
        </w:rPr>
        <w:t>Republic,</w:t>
      </w:r>
      <w:r>
        <w:rPr>
          <w:spacing w:val="-7"/>
          <w:sz w:val="20"/>
        </w:rPr>
        <w:t> </w:t>
      </w:r>
      <w:r>
        <w:rPr>
          <w:sz w:val="20"/>
        </w:rPr>
        <w:t>Slovenia,</w:t>
      </w:r>
      <w:r>
        <w:rPr>
          <w:spacing w:val="-8"/>
          <w:sz w:val="20"/>
        </w:rPr>
        <w:t> </w:t>
      </w:r>
      <w:r>
        <w:rPr>
          <w:sz w:val="20"/>
        </w:rPr>
        <w:t>Spain,</w:t>
      </w:r>
      <w:r>
        <w:rPr>
          <w:spacing w:val="1"/>
          <w:sz w:val="20"/>
        </w:rPr>
        <w:t> </w:t>
      </w:r>
      <w:r>
        <w:rPr>
          <w:sz w:val="20"/>
        </w:rPr>
        <w:t>Sweden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United</w:t>
      </w:r>
      <w:r>
        <w:rPr>
          <w:spacing w:val="1"/>
          <w:sz w:val="20"/>
        </w:rPr>
        <w:t> </w:t>
      </w:r>
      <w:r>
        <w:rPr>
          <w:sz w:val="20"/>
        </w:rPr>
        <w:t>Kingdom.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904" w:val="left" w:leader="none"/>
        </w:tabs>
        <w:spacing w:line="276" w:lineRule="auto" w:before="0" w:after="0"/>
        <w:ind w:left="903" w:right="303" w:hanging="720"/>
        <w:jc w:val="both"/>
        <w:rPr>
          <w:sz w:val="20"/>
        </w:rPr>
      </w:pPr>
      <w:r>
        <w:rPr>
          <w:sz w:val="20"/>
        </w:rPr>
        <w:t>Slovak students are able to study in Czech study programmes, so they have the same conditions</w:t>
      </w:r>
      <w:r>
        <w:rPr>
          <w:spacing w:val="-53"/>
          <w:sz w:val="20"/>
        </w:rPr>
        <w:t> </w:t>
      </w:r>
      <w:r>
        <w:rPr>
          <w:sz w:val="20"/>
        </w:rPr>
        <w:t>as Czech nationals, including tuition-free education at public and state HEIs. Due to significant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demographic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decline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Czech</w:t>
      </w:r>
      <w:r>
        <w:rPr>
          <w:spacing w:val="6"/>
          <w:sz w:val="20"/>
        </w:rPr>
        <w:t> </w:t>
      </w:r>
      <w:r>
        <w:rPr>
          <w:spacing w:val="-1"/>
          <w:sz w:val="20"/>
        </w:rPr>
        <w:t>Republic,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HEIs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have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been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intensively</w:t>
      </w:r>
      <w:r>
        <w:rPr>
          <w:spacing w:val="-15"/>
          <w:sz w:val="20"/>
        </w:rPr>
        <w:t> </w:t>
      </w:r>
      <w:r>
        <w:rPr>
          <w:sz w:val="20"/>
        </w:rPr>
        <w:t>targeting</w:t>
      </w:r>
      <w:r>
        <w:rPr>
          <w:spacing w:val="-13"/>
          <w:sz w:val="20"/>
        </w:rPr>
        <w:t> </w:t>
      </w:r>
      <w:r>
        <w:rPr>
          <w:sz w:val="20"/>
        </w:rPr>
        <w:t>Slovak</w:t>
      </w:r>
      <w:r>
        <w:rPr>
          <w:spacing w:val="-12"/>
          <w:sz w:val="20"/>
        </w:rPr>
        <w:t> </w:t>
      </w:r>
      <w:r>
        <w:rPr>
          <w:sz w:val="20"/>
        </w:rPr>
        <w:t>students.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904" w:val="left" w:leader="none"/>
        </w:tabs>
        <w:spacing w:line="278" w:lineRule="auto" w:before="0" w:after="0"/>
        <w:ind w:left="903" w:right="302" w:hanging="720"/>
        <w:jc w:val="both"/>
        <w:rPr>
          <w:sz w:val="20"/>
        </w:rPr>
      </w:pPr>
      <w:r>
        <w:rPr>
          <w:sz w:val="20"/>
        </w:rPr>
        <w:t>Natural sciences: 95.75%; Technical sciences/Engineering: 94.7%; Health sciences: 97.34%;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-3"/>
          <w:sz w:val="20"/>
        </w:rPr>
        <w:t> </w:t>
      </w:r>
      <w:r>
        <w:rPr>
          <w:sz w:val="20"/>
        </w:rPr>
        <w:t>sciences/Humanities:</w:t>
      </w:r>
      <w:r>
        <w:rPr>
          <w:spacing w:val="-1"/>
          <w:sz w:val="20"/>
        </w:rPr>
        <w:t> </w:t>
      </w:r>
      <w:r>
        <w:rPr>
          <w:sz w:val="20"/>
        </w:rPr>
        <w:t>95.18%.</w:t>
      </w:r>
    </w:p>
    <w:p>
      <w:pPr>
        <w:pStyle w:val="ListParagraph"/>
        <w:numPr>
          <w:ilvl w:val="0"/>
          <w:numId w:val="11"/>
        </w:numPr>
        <w:tabs>
          <w:tab w:pos="904" w:val="left" w:leader="none"/>
        </w:tabs>
        <w:spacing w:line="280" w:lineRule="auto" w:before="194" w:after="0"/>
        <w:ind w:left="903" w:right="302" w:hanging="720"/>
        <w:jc w:val="both"/>
        <w:rPr>
          <w:sz w:val="20"/>
        </w:rPr>
      </w:pPr>
      <w:r>
        <w:rPr>
          <w:spacing w:val="-1"/>
          <w:sz w:val="20"/>
        </w:rPr>
        <w:t>Grants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include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Starting,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Consolidator,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Advanced,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Proof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Concepts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Synergy</w:t>
      </w:r>
      <w:r>
        <w:rPr>
          <w:spacing w:val="-14"/>
          <w:sz w:val="20"/>
        </w:rPr>
        <w:t> </w:t>
      </w:r>
      <w:r>
        <w:rPr>
          <w:sz w:val="20"/>
        </w:rPr>
        <w:t>grants.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more</w:t>
      </w:r>
      <w:r>
        <w:rPr>
          <w:spacing w:val="1"/>
          <w:sz w:val="20"/>
        </w:rPr>
        <w:t> </w:t>
      </w:r>
      <w:r>
        <w:rPr>
          <w:sz w:val="20"/>
        </w:rPr>
        <w:t>details,</w:t>
      </w:r>
      <w:r>
        <w:rPr>
          <w:spacing w:val="-3"/>
          <w:sz w:val="20"/>
        </w:rPr>
        <w:t> </w:t>
      </w:r>
      <w:r>
        <w:rPr>
          <w:sz w:val="20"/>
        </w:rPr>
        <w:t>see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European</w:t>
      </w:r>
      <w:r>
        <w:rPr>
          <w:spacing w:val="-1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</w:t>
      </w:r>
      <w:r>
        <w:rPr>
          <w:sz w:val="20"/>
        </w:rPr>
        <w:t>Council</w:t>
      </w:r>
      <w:r>
        <w:rPr>
          <w:spacing w:val="-1"/>
          <w:sz w:val="20"/>
        </w:rPr>
        <w:t> </w:t>
      </w:r>
      <w:r>
        <w:rPr>
          <w:sz w:val="20"/>
        </w:rPr>
        <w:t>website</w:t>
      </w:r>
      <w:r>
        <w:rPr>
          <w:spacing w:val="2"/>
          <w:sz w:val="20"/>
        </w:rPr>
        <w:t> </w:t>
      </w:r>
      <w:r>
        <w:rPr>
          <w:sz w:val="20"/>
        </w:rPr>
        <w:t>at</w:t>
      </w:r>
      <w:r>
        <w:rPr>
          <w:color w:val="0000FF"/>
          <w:spacing w:val="3"/>
          <w:sz w:val="20"/>
        </w:rPr>
        <w:t> </w:t>
      </w:r>
      <w:hyperlink r:id="rId99">
        <w:r>
          <w:rPr>
            <w:color w:val="0000FF"/>
            <w:sz w:val="20"/>
            <w:u w:val="single" w:color="0000FF"/>
          </w:rPr>
          <w:t>https://erc.europa.eu/</w:t>
        </w:r>
        <w:r>
          <w:rPr>
            <w:sz w:val="20"/>
          </w:rPr>
          <w:t>.</w:t>
        </w:r>
      </w:hyperlink>
    </w:p>
    <w:p>
      <w:pPr>
        <w:spacing w:after="0" w:line="280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sz w:val="9"/>
        </w:rPr>
      </w:pPr>
    </w:p>
    <w:p>
      <w:pPr>
        <w:pStyle w:val="Heading2"/>
        <w:spacing w:before="92"/>
      </w:pPr>
      <w:bookmarkStart w:name="References" w:id="74"/>
      <w:bookmarkEnd w:id="74"/>
      <w:r>
        <w:rPr>
          <w:b w:val="0"/>
        </w:rPr>
      </w:r>
      <w:bookmarkStart w:name="_bookmark32" w:id="75"/>
      <w:bookmarkEnd w:id="75"/>
      <w:r>
        <w:rPr>
          <w:b w:val="0"/>
        </w:rPr>
      </w:r>
      <w:r>
        <w:rPr>
          <w:color w:val="4E81BD"/>
        </w:rPr>
        <w:t>References</w:t>
      </w: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8"/>
        <w:gridCol w:w="672"/>
      </w:tblGrid>
      <w:tr>
        <w:trPr>
          <w:trHeight w:val="864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20"/>
              <w:ind w:left="483" w:right="417" w:hanging="284"/>
              <w:rPr>
                <w:sz w:val="20"/>
              </w:rPr>
            </w:pPr>
            <w:r>
              <w:rPr>
                <w:sz w:val="20"/>
              </w:rPr>
              <w:t>Clarivate (2021), </w:t>
            </w:r>
            <w:r>
              <w:rPr>
                <w:rFonts w:ascii="Arial"/>
                <w:i/>
                <w:sz w:val="20"/>
              </w:rPr>
              <w:t>Current Contents Connect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https://clarivate.com/webofsciencegroup/solutions/webofscience-current-contents-connect/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 June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line="179" w:lineRule="exact" w:before="0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[14]</w:t>
            </w:r>
          </w:p>
        </w:tc>
      </w:tr>
      <w:tr>
        <w:trPr>
          <w:trHeight w:val="70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6"/>
              <w:ind w:left="483" w:right="202" w:hanging="284"/>
              <w:rPr>
                <w:sz w:val="20"/>
              </w:rPr>
            </w:pPr>
            <w:r>
              <w:rPr>
                <w:sz w:val="20"/>
              </w:rPr>
              <w:t>CVTI (2021), </w:t>
            </w:r>
            <w:r>
              <w:rPr>
                <w:rFonts w:ascii="Arial" w:hAnsi="Arial"/>
                <w:i/>
                <w:sz w:val="20"/>
              </w:rPr>
              <w:t>Časové rady [Timelines]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0">
              <w:r>
                <w:rPr>
                  <w:color w:val="0000FF"/>
                  <w:sz w:val="20"/>
                  <w:u w:val="single" w:color="0000FF"/>
                </w:rPr>
                <w:t>www.cvtisr.sk/cvti-sr-vedecka-kniznica/informacie-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o-skolstve/statistiky/casove-rady.html?page_id=9724</w:t>
            </w:r>
            <w:r>
              <w:rPr>
                <w:color w:val="0000FF"/>
                <w:spacing w:val="-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 July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[12]</w:t>
            </w:r>
          </w:p>
        </w:tc>
      </w:tr>
      <w:tr>
        <w:trPr>
          <w:trHeight w:val="1219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3"/>
              <w:ind w:left="483" w:right="492" w:hanging="284"/>
              <w:rPr>
                <w:sz w:val="20"/>
              </w:rPr>
            </w:pPr>
            <w:r>
              <w:rPr>
                <w:sz w:val="20"/>
              </w:rPr>
              <w:t>CVTI (2021), </w:t>
            </w:r>
            <w:r>
              <w:rPr>
                <w:rFonts w:ascii="Arial" w:hAnsi="Arial"/>
                <w:i/>
                <w:sz w:val="20"/>
              </w:rPr>
              <w:t>Štatistická ročenka - súhrnné tabuľky [Statistical Yearbook - Summary Tables]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1">
              <w:r>
                <w:rPr>
                  <w:color w:val="0000FF"/>
                  <w:sz w:val="20"/>
                  <w:u w:val="single" w:color="0000FF"/>
                </w:rPr>
                <w:t>www.cvtisr.sk/cvti-sr-vedecka-kniznica/informacie-o-skolstve/statistiky/statisticka-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rocenka-publikacia/statisticka-rocenka-suhrnne-tabulky.html?page_id=9603</w:t>
            </w:r>
            <w:r>
              <w:rPr>
                <w:color w:val="0000FF"/>
                <w:spacing w:val="7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[13]</w:t>
            </w:r>
          </w:p>
        </w:tc>
      </w:tr>
      <w:tr>
        <w:trPr>
          <w:trHeight w:val="1221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6"/>
              <w:ind w:left="483" w:right="650" w:hanging="284"/>
              <w:rPr>
                <w:sz w:val="20"/>
              </w:rPr>
            </w:pPr>
            <w:r>
              <w:rPr>
                <w:sz w:val="20"/>
              </w:rPr>
              <w:t>CVTI (2021), </w:t>
            </w:r>
            <w:r>
              <w:rPr>
                <w:rFonts w:ascii="Arial" w:hAnsi="Arial"/>
                <w:i/>
                <w:sz w:val="20"/>
              </w:rPr>
              <w:t>Štatistická ročenka - vysoké školy [Statistical Yearbook - Universities]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01">
              <w:r>
                <w:rPr>
                  <w:color w:val="0000FF"/>
                  <w:spacing w:val="-1"/>
                  <w:sz w:val="20"/>
                  <w:u w:val="single" w:color="0000FF"/>
                </w:rPr>
                <w:t>www.cvtisr.sk/cvti-sr-vedecka-kniznica/informacie-o-skolstve/statistiky/statisticka-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rocenka-publikacia/statisticka-rocenka-vysoke-skoly.html?page_id=9596</w:t>
            </w:r>
            <w:r>
              <w:rPr>
                <w:color w:val="0000FF"/>
                <w:spacing w:val="5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[16]</w:t>
            </w:r>
          </w:p>
        </w:tc>
      </w:tr>
      <w:tr>
        <w:trPr>
          <w:trHeight w:val="698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3"/>
              <w:ind w:left="483" w:right="417" w:hanging="284"/>
              <w:rPr>
                <w:sz w:val="20"/>
              </w:rPr>
            </w:pPr>
            <w:r>
              <w:rPr>
                <w:sz w:val="20"/>
              </w:rPr>
              <w:t>European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Council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(2021),</w:t>
            </w:r>
            <w:r>
              <w:rPr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Statistics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https://erc.europa.eu/projects-figures/statistics</w:t>
            </w:r>
            <w:r>
              <w:rPr>
                <w:color w:val="0000FF"/>
                <w:spacing w:val="-5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[39]</w:t>
            </w:r>
          </w:p>
        </w:tc>
      </w:tr>
      <w:tr>
        <w:trPr>
          <w:trHeight w:val="96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6"/>
              <w:ind w:left="483" w:right="202" w:hanging="284"/>
              <w:rPr>
                <w:sz w:val="20"/>
              </w:rPr>
            </w:pPr>
            <w:r>
              <w:rPr>
                <w:sz w:val="20"/>
              </w:rPr>
              <w:t>Eurostat (2021), </w:t>
            </w:r>
            <w:r>
              <w:rPr>
                <w:rFonts w:ascii="Arial"/>
                <w:i/>
                <w:sz w:val="20"/>
              </w:rPr>
              <w:t>Population by educational attainment level, sex and age (%) [edat_lfse_03]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https://appsso.eurostat.ec.europa.eu/nui/show.do?dataset=edat_lfse_03&amp;lang=en</w:t>
            </w:r>
            <w:r>
              <w:rPr>
                <w:color w:val="0000FF"/>
                <w:spacing w:val="14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92"/>
              <w:jc w:val="center"/>
              <w:rPr>
                <w:sz w:val="16"/>
              </w:rPr>
            </w:pPr>
            <w:r>
              <w:rPr>
                <w:sz w:val="16"/>
              </w:rPr>
              <w:t>[7]</w:t>
            </w:r>
          </w:p>
        </w:tc>
      </w:tr>
      <w:tr>
        <w:trPr>
          <w:trHeight w:val="96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6"/>
              <w:ind w:left="483" w:right="998" w:hanging="284"/>
              <w:rPr>
                <w:sz w:val="20"/>
              </w:rPr>
            </w:pPr>
            <w:r>
              <w:rPr>
                <w:sz w:val="20"/>
              </w:rPr>
              <w:t>Eurostat (2021), </w:t>
            </w:r>
            <w:r>
              <w:rPr>
                <w:rFonts w:ascii="Arial"/>
                <w:i/>
                <w:sz w:val="20"/>
              </w:rPr>
              <w:t>Population on 1 January by age and sex [demo_pjan]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hyperlink r:id="rId102">
              <w:r>
                <w:rPr>
                  <w:color w:val="0000FF"/>
                  <w:spacing w:val="-1"/>
                  <w:sz w:val="20"/>
                  <w:u w:val="single" w:color="0000FF"/>
                </w:rPr>
                <w:t>http://appsso.eurostat.ec.europa.eu/nui/show.do?dataset=demo_pjan</w:t>
              </w:r>
              <w:r>
                <w:rPr>
                  <w:color w:val="0000FF"/>
                  <w:spacing w:val="10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[25]</w:t>
            </w:r>
          </w:p>
        </w:tc>
      </w:tr>
      <w:tr>
        <w:trPr>
          <w:trHeight w:val="70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6"/>
              <w:ind w:left="483" w:right="1990" w:hanging="284"/>
              <w:rPr>
                <w:sz w:val="20"/>
              </w:rPr>
            </w:pPr>
            <w:r>
              <w:rPr>
                <w:sz w:val="20"/>
              </w:rPr>
              <w:t>Eurydice (2020), </w:t>
            </w:r>
            <w:r>
              <w:rPr>
                <w:rFonts w:ascii="Arial"/>
                <w:i/>
                <w:sz w:val="20"/>
              </w:rPr>
              <w:t>Slovakia - Institutions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https://eacea.ec.europa.eu/national-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policies/eurydice/content/institutions-39_en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[46]</w:t>
            </w:r>
          </w:p>
        </w:tc>
      </w:tr>
      <w:tr>
        <w:trPr>
          <w:trHeight w:val="96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3"/>
              <w:ind w:left="483" w:right="712" w:hanging="284"/>
              <w:rPr>
                <w:sz w:val="20"/>
              </w:rPr>
            </w:pPr>
            <w:r>
              <w:rPr>
                <w:sz w:val="20"/>
              </w:rPr>
              <w:t>Giorno, C. (2019), “Increasing the benefits of Slovakia’s integration in global value chains”</w:t>
            </w:r>
            <w:r>
              <w:rPr>
                <w:rFonts w:ascii="Arial" w:hAnsi="Arial"/>
                <w:i/>
                <w:sz w:val="20"/>
              </w:rPr>
              <w:t>,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OECD Economics Department Working Papers</w:t>
            </w:r>
            <w:r>
              <w:rPr>
                <w:sz w:val="20"/>
              </w:rPr>
              <w:t>, No. 1552,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https://dx.doi.org/10.1787/877b7b28-en</w:t>
            </w:r>
            <w:r>
              <w:rPr>
                <w:sz w:val="20"/>
              </w:rPr>
              <w:t>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[34]</w:t>
            </w:r>
          </w:p>
        </w:tc>
      </w:tr>
      <w:tr>
        <w:trPr>
          <w:trHeight w:val="96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3"/>
              <w:ind w:left="483" w:right="417" w:hanging="284"/>
              <w:jc w:val="both"/>
              <w:rPr>
                <w:sz w:val="20"/>
              </w:rPr>
            </w:pPr>
            <w:r>
              <w:rPr>
                <w:sz w:val="20"/>
              </w:rPr>
              <w:t>Hofer,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Zhivkovikj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Smyth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role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labour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market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guiding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educational and occupational choices”</w:t>
            </w:r>
            <w:r>
              <w:rPr>
                <w:rFonts w:ascii="Arial" w:hAnsi="Arial"/>
                <w:i/>
                <w:sz w:val="20"/>
              </w:rPr>
              <w:t>, OECD Education Working Papers</w:t>
            </w:r>
            <w:r>
              <w:rPr>
                <w:sz w:val="20"/>
              </w:rPr>
              <w:t>, No. 229, OECD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https://dx.doi.org/10.1787/59bbac06-en</w:t>
            </w:r>
            <w:r>
              <w:rPr>
                <w:sz w:val="20"/>
              </w:rPr>
              <w:t>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[29]</w:t>
            </w:r>
          </w:p>
        </w:tc>
      </w:tr>
      <w:tr>
        <w:trPr>
          <w:trHeight w:val="96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3"/>
              <w:ind w:left="483" w:right="417" w:hanging="284"/>
              <w:rPr>
                <w:sz w:val="20"/>
              </w:rPr>
            </w:pPr>
            <w:r>
              <w:rPr>
                <w:sz w:val="20"/>
              </w:rPr>
              <w:t>KEGA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Ročná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správa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činnosť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KEGA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roku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2020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[Annual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Report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Activities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KEGA in 2020]</w:t>
            </w:r>
            <w:r>
              <w:rPr>
                <w:sz w:val="20"/>
              </w:rPr>
              <w:t>, Cultural and Educational Grant Agency (KEGA), Bratislava,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3">
              <w:r>
                <w:rPr>
                  <w:color w:val="0000FF"/>
                  <w:sz w:val="20"/>
                  <w:u w:val="single" w:color="0000FF"/>
                </w:rPr>
                <w:t>www.minedu.sk/data/att/18483.pdf</w:t>
              </w:r>
              <w:r>
                <w:rPr>
                  <w:color w:val="0000FF"/>
                  <w:spacing w:val="1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 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[21]</w:t>
            </w:r>
          </w:p>
        </w:tc>
      </w:tr>
      <w:tr>
        <w:trPr>
          <w:trHeight w:val="960" w:hRule="atLeast"/>
        </w:trPr>
        <w:tc>
          <w:tcPr>
            <w:tcW w:w="8908" w:type="dxa"/>
          </w:tcPr>
          <w:p>
            <w:pPr>
              <w:pStyle w:val="TableParagraph"/>
              <w:spacing w:line="271" w:lineRule="auto" w:before="113"/>
              <w:ind w:left="483" w:right="202" w:hanging="284"/>
              <w:rPr>
                <w:sz w:val="20"/>
              </w:rPr>
            </w:pPr>
            <w:r>
              <w:rPr>
                <w:sz w:val="20"/>
              </w:rPr>
              <w:t>Lukáč,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Prechod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prvého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na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druhý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stupeň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VŠ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[Transition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from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First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 Second Level of University]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https://analyza.todarozum.sk/docs/401026001im1a/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[28]</w:t>
            </w:r>
          </w:p>
        </w:tc>
      </w:tr>
      <w:tr>
        <w:trPr>
          <w:trHeight w:val="605" w:hRule="atLeast"/>
        </w:trPr>
        <w:tc>
          <w:tcPr>
            <w:tcW w:w="8908" w:type="dxa"/>
          </w:tcPr>
          <w:p>
            <w:pPr>
              <w:pStyle w:val="TableParagraph"/>
              <w:spacing w:line="260" w:lineRule="atLeast" w:before="65"/>
              <w:ind w:left="483" w:right="807" w:hanging="284"/>
              <w:rPr>
                <w:sz w:val="20"/>
              </w:rPr>
            </w:pPr>
            <w:r>
              <w:rPr>
                <w:sz w:val="20"/>
              </w:rPr>
              <w:t>MESA10 (2021), </w:t>
            </w:r>
            <w:r>
              <w:rPr>
                <w:rFonts w:ascii="Arial" w:hAnsi="Arial"/>
                <w:i/>
                <w:sz w:val="20"/>
              </w:rPr>
              <w:t>“Learning Makes Sense” Project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https://en.todarozum.sk/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 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2" w:type="dxa"/>
          </w:tcPr>
          <w:p>
            <w:pPr>
              <w:pStyle w:val="TableParagraph"/>
              <w:spacing w:before="91"/>
              <w:ind w:left="185" w:right="180"/>
              <w:jc w:val="center"/>
              <w:rPr>
                <w:sz w:val="16"/>
              </w:rPr>
            </w:pPr>
            <w:r>
              <w:rPr>
                <w:sz w:val="16"/>
              </w:rPr>
              <w:t>[31]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3"/>
        <w:gridCol w:w="637"/>
      </w:tblGrid>
      <w:tr>
        <w:trPr>
          <w:trHeight w:val="1125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20"/>
              <w:ind w:left="483" w:right="268" w:hanging="284"/>
              <w:rPr>
                <w:sz w:val="20"/>
              </w:rPr>
            </w:pPr>
            <w:r>
              <w:rPr>
                <w:sz w:val="20"/>
              </w:rPr>
              <w:t>MIRRI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Supporting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transformation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Slovak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economy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increasing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its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innovation</w:t>
            </w:r>
            <w:r>
              <w:rPr>
                <w:rFonts w:ascii="Arial"/>
                <w:i/>
                <w:spacing w:val="-5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performance</w:t>
            </w:r>
            <w:r>
              <w:rPr>
                <w:sz w:val="20"/>
              </w:rPr>
              <w:t>, Ministry of Investments, Regional Development and Informatization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Republic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(MIRRI),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Bratislava,</w:t>
            </w:r>
            <w:r>
              <w:rPr>
                <w:spacing w:val="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4">
              <w:r>
                <w:rPr>
                  <w:color w:val="0000FF"/>
                  <w:sz w:val="20"/>
                  <w:u w:val="single" w:color="0000FF"/>
                </w:rPr>
                <w:t>www.mirri.gov.sk/wp-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content/uploads/2021/03/RTDI-in-Slovakia-AS-IS-report.pdf</w:t>
            </w:r>
            <w:r>
              <w:rPr>
                <w:color w:val="0000FF"/>
                <w:spacing w:val="-4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7" w:type="dxa"/>
          </w:tcPr>
          <w:p>
            <w:pPr>
              <w:pStyle w:val="TableParagraph"/>
              <w:spacing w:line="179" w:lineRule="exact" w:before="0"/>
              <w:ind w:left="151" w:right="93"/>
              <w:jc w:val="center"/>
              <w:rPr>
                <w:sz w:val="16"/>
              </w:rPr>
            </w:pPr>
            <w:r>
              <w:rPr>
                <w:sz w:val="16"/>
              </w:rPr>
              <w:t>[2]</w:t>
            </w:r>
          </w:p>
        </w:tc>
      </w:tr>
      <w:tr>
        <w:trPr>
          <w:trHeight w:val="1219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3"/>
              <w:ind w:left="483" w:right="192" w:hanging="284"/>
              <w:rPr>
                <w:sz w:val="20"/>
              </w:rPr>
            </w:pPr>
            <w:r>
              <w:rPr>
                <w:sz w:val="20"/>
              </w:rPr>
              <w:t>MoE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Výročná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správa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stave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vysokého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školstva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rok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2019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[Annual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Report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State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 Higher Education for 2019]</w:t>
            </w:r>
            <w:r>
              <w:rPr>
                <w:sz w:val="20"/>
              </w:rPr>
              <w:t>, Ministry of Education, Science, Research and Sport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Slovak Republic (MoE), Bratislava,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5">
              <w:r>
                <w:rPr>
                  <w:color w:val="0000FF"/>
                  <w:sz w:val="20"/>
                  <w:u w:val="single" w:color="0000FF"/>
                </w:rPr>
                <w:t>www.minedu.sk/vyrocne-spravy-o-stave-vysokeho-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skolstva/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 on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[15]</w:t>
            </w:r>
          </w:p>
        </w:tc>
      </w:tr>
      <w:tr>
        <w:trPr>
          <w:trHeight w:val="960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3"/>
              <w:ind w:left="483" w:right="179" w:hanging="284"/>
              <w:jc w:val="both"/>
              <w:rPr>
                <w:sz w:val="20"/>
              </w:rPr>
            </w:pPr>
            <w:r>
              <w:rPr>
                <w:sz w:val="20"/>
              </w:rPr>
              <w:t>MoE (2016), </w:t>
            </w:r>
            <w:r>
              <w:rPr>
                <w:rFonts w:ascii="Arial" w:hAnsi="Arial"/>
                <w:i/>
                <w:sz w:val="20"/>
              </w:rPr>
              <w:t>Učiace sa Slovensko [Learning Slovakia]</w:t>
            </w:r>
            <w:r>
              <w:rPr>
                <w:sz w:val="20"/>
              </w:rPr>
              <w:t>, Ministry of Education, Science, Research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Sport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Republic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(MoE),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Bratislava,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6">
              <w:r>
                <w:rPr>
                  <w:color w:val="0000FF"/>
                  <w:sz w:val="20"/>
                  <w:u w:val="single" w:color="0000FF"/>
                </w:rPr>
                <w:t>www.minedu.sk/data/att/10640.pdf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August 2021).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[20]</w:t>
            </w:r>
          </w:p>
        </w:tc>
      </w:tr>
      <w:tr>
        <w:trPr>
          <w:trHeight w:val="960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4"/>
              <w:ind w:left="483" w:right="599" w:hanging="284"/>
              <w:rPr>
                <w:sz w:val="20"/>
              </w:rPr>
            </w:pPr>
            <w:r>
              <w:rPr>
                <w:sz w:val="20"/>
              </w:rPr>
              <w:t>Molnárová, I. (2021), </w:t>
            </w:r>
            <w:r>
              <w:rPr>
                <w:rFonts w:ascii="Arial" w:hAnsi="Arial"/>
                <w:i/>
                <w:sz w:val="20"/>
              </w:rPr>
              <w:t>Ako má vyzerať absolvent [What should a graduate look like?]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https://saavs.sk/wp-content/uploads/2021/05/PrezentaciaSkills_final-4.pptx</w:t>
            </w:r>
            <w:r>
              <w:rPr>
                <w:color w:val="0000FF"/>
                <w:spacing w:val="10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[33]</w:t>
            </w:r>
          </w:p>
        </w:tc>
      </w:tr>
      <w:tr>
        <w:trPr>
          <w:trHeight w:val="1480" w:hRule="atLeast"/>
        </w:trPr>
        <w:tc>
          <w:tcPr>
            <w:tcW w:w="8943" w:type="dxa"/>
          </w:tcPr>
          <w:p>
            <w:pPr>
              <w:pStyle w:val="TableParagraph"/>
              <w:spacing w:line="273" w:lineRule="auto" w:before="113"/>
              <w:ind w:left="483" w:right="268" w:hanging="284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Council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Republic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(2018), </w:t>
            </w:r>
            <w:r>
              <w:rPr>
                <w:rFonts w:ascii="Arial" w:hAnsi="Arial"/>
                <w:i/>
                <w:sz w:val="20"/>
              </w:rPr>
              <w:t>Zákon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č.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269/2018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Z.z.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zabezpečovaní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kvality</w:t>
            </w:r>
            <w:r>
              <w:rPr>
                <w:rFonts w:ascii="Arial" w:hAnsi="Arial"/>
                <w:i/>
                <w:spacing w:val="-5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vysokoškolského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vzdelávania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zmene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doplnení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zákona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č.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343/2015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Z.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z.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[Act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No.</w:t>
            </w:r>
          </w:p>
          <w:p>
            <w:pPr>
              <w:pStyle w:val="TableParagraph"/>
              <w:spacing w:line="271" w:lineRule="auto" w:before="0"/>
              <w:ind w:left="483" w:right="231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269/2018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quality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assurance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change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supplement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Act</w:t>
            </w:r>
            <w:r>
              <w:rPr>
                <w:rFonts w:ascii="Arial"/>
                <w:i/>
                <w:spacing w:val="-5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No. 343/2015]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7">
              <w:r>
                <w:rPr>
                  <w:color w:val="0000FF"/>
                  <w:sz w:val="20"/>
                  <w:u w:val="single" w:color="0000FF"/>
                </w:rPr>
                <w:t>www.slov-lex.sk/pravne-predpisy/SK/ZZ/2018/269/20181101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 August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[23]</w:t>
            </w:r>
          </w:p>
        </w:tc>
      </w:tr>
      <w:tr>
        <w:trPr>
          <w:trHeight w:val="1219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3"/>
              <w:ind w:left="483" w:right="246" w:hanging="284"/>
              <w:rPr>
                <w:sz w:val="20"/>
              </w:rPr>
            </w:pPr>
            <w:r>
              <w:rPr>
                <w:sz w:val="20"/>
              </w:rPr>
              <w:t>National Council of the Slovak Republic (2002), </w:t>
            </w:r>
            <w:r>
              <w:rPr>
                <w:rFonts w:ascii="Arial" w:hAnsi="Arial"/>
                <w:i/>
                <w:sz w:val="20"/>
              </w:rPr>
              <w:t>Zákon č. 131/2002 Z.z. o vysokých školách 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zmene a doplnení niektorých zákonov [Act No. 131/2002 on higher education and on the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change and supplement to some acts]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8">
              <w:r>
                <w:rPr>
                  <w:color w:val="0000FF"/>
                  <w:sz w:val="20"/>
                  <w:u w:val="single" w:color="0000FF"/>
                </w:rPr>
                <w:t>www.zakonypreludi.sk/zz/2002-131</w:t>
              </w:r>
              <w:r>
                <w:rPr>
                  <w:color w:val="0000FF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[17]</w:t>
            </w:r>
          </w:p>
        </w:tc>
      </w:tr>
      <w:tr>
        <w:trPr>
          <w:trHeight w:val="960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4"/>
              <w:ind w:left="483" w:right="192" w:hanging="284"/>
              <w:rPr>
                <w:sz w:val="20"/>
              </w:rPr>
            </w:pPr>
            <w:r>
              <w:rPr>
                <w:sz w:val="20"/>
              </w:rPr>
              <w:t>Neave,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(1986),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Shifting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Sands: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Changing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Priorities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Perspectives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European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Education from 1984 to 1986”, </w:t>
            </w:r>
            <w:r>
              <w:rPr>
                <w:rFonts w:ascii="Arial" w:hAnsi="Arial"/>
                <w:i/>
                <w:sz w:val="20"/>
              </w:rPr>
              <w:t>European Journal of Education</w:t>
            </w:r>
            <w:r>
              <w:rPr>
                <w:sz w:val="20"/>
              </w:rPr>
              <w:t>, Vol. 21/1, pp. 7-24,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https://doi.org/10.2307/1502728</w:t>
            </w:r>
            <w:r>
              <w:rPr>
                <w:sz w:val="20"/>
              </w:rPr>
              <w:t>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[10]</w:t>
            </w:r>
          </w:p>
        </w:tc>
      </w:tr>
      <w:tr>
        <w:trPr>
          <w:trHeight w:val="960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3"/>
              <w:ind w:left="483" w:right="772" w:hanging="284"/>
              <w:rPr>
                <w:sz w:val="20"/>
              </w:rPr>
            </w:pPr>
            <w:r>
              <w:rPr>
                <w:sz w:val="20"/>
              </w:rPr>
              <w:t>Nedelkoska,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Quintini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(2018),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“Automation,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training”</w:t>
            </w:r>
            <w:r>
              <w:rPr>
                <w:rFonts w:ascii="Arial" w:hAnsi="Arial"/>
                <w:i/>
                <w:sz w:val="20"/>
              </w:rPr>
              <w:t>,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OECD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Social,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Employment and Migration Working Papers</w:t>
            </w:r>
            <w:r>
              <w:rPr>
                <w:sz w:val="20"/>
              </w:rPr>
              <w:t>, No. 202,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https://dx.doi.org/10.1787/2e2f4eea-en</w:t>
            </w:r>
            <w:r>
              <w:rPr>
                <w:sz w:val="20"/>
              </w:rPr>
              <w:t>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93"/>
              <w:jc w:val="center"/>
              <w:rPr>
                <w:sz w:val="16"/>
              </w:rPr>
            </w:pPr>
            <w:r>
              <w:rPr>
                <w:sz w:val="16"/>
              </w:rPr>
              <w:t>[4]</w:t>
            </w:r>
          </w:p>
        </w:tc>
      </w:tr>
      <w:tr>
        <w:trPr>
          <w:trHeight w:val="959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3"/>
              <w:ind w:left="483" w:right="167" w:hanging="284"/>
              <w:rPr>
                <w:sz w:val="20"/>
              </w:rPr>
            </w:pPr>
            <w:r>
              <w:rPr>
                <w:sz w:val="20"/>
              </w:rPr>
              <w:t>OECD (2021), </w:t>
            </w:r>
            <w:r>
              <w:rPr>
                <w:rFonts w:ascii="Arial"/>
                <w:i/>
                <w:sz w:val="20"/>
              </w:rPr>
              <w:t>Economic Policy Reforms 2021: Going for Growth: Slovak Republic</w:t>
            </w:r>
            <w:r>
              <w:rPr>
                <w:sz w:val="20"/>
              </w:rPr>
              <w:t>, OECD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Publishing,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1"/>
                <w:sz w:val="20"/>
              </w:rPr>
              <w:t>Paris,</w:t>
            </w:r>
            <w:r>
              <w:rPr>
                <w:spacing w:val="9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09">
              <w:r>
                <w:rPr>
                  <w:color w:val="0000FF"/>
                  <w:spacing w:val="-1"/>
                  <w:sz w:val="20"/>
                  <w:u w:val="single" w:color="0000FF"/>
                </w:rPr>
                <w:t>www.oecd.org/economy/growth/Slovak-Republic-country-note-going-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for-growth-2021.pdf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93"/>
              <w:jc w:val="center"/>
              <w:rPr>
                <w:sz w:val="16"/>
              </w:rPr>
            </w:pPr>
            <w:r>
              <w:rPr>
                <w:sz w:val="16"/>
              </w:rPr>
              <w:t>[3]</w:t>
            </w:r>
          </w:p>
        </w:tc>
      </w:tr>
      <w:tr>
        <w:trPr>
          <w:trHeight w:val="701" w:hRule="atLeast"/>
        </w:trPr>
        <w:tc>
          <w:tcPr>
            <w:tcW w:w="8943" w:type="dxa"/>
          </w:tcPr>
          <w:p>
            <w:pPr>
              <w:pStyle w:val="TableParagraph"/>
              <w:spacing w:line="273" w:lineRule="auto" w:before="113"/>
              <w:ind w:left="483" w:right="268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(2021),</w:t>
            </w:r>
            <w:r>
              <w:rPr>
                <w:spacing w:val="-10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Historical</w:t>
            </w:r>
            <w:r>
              <w:rPr>
                <w:rFonts w:ascii="Arial"/>
                <w:i/>
                <w:spacing w:val="-1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population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https://stats.oecd.org/Index.aspx?DataSetCode=HISTPOP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August 2021).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[37]</w:t>
            </w:r>
          </w:p>
        </w:tc>
      </w:tr>
      <w:tr>
        <w:trPr>
          <w:trHeight w:val="698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4"/>
              <w:ind w:left="483" w:right="515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(2021),</w:t>
            </w:r>
            <w:r>
              <w:rPr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OECD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Statistics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https://doi.org/10.1787/edu-data-en</w:t>
            </w:r>
            <w:r>
              <w:rPr>
                <w:color w:val="0000FF"/>
                <w:spacing w:val="-7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93"/>
              <w:jc w:val="center"/>
              <w:rPr>
                <w:sz w:val="16"/>
              </w:rPr>
            </w:pPr>
            <w:r>
              <w:rPr>
                <w:sz w:val="16"/>
              </w:rPr>
              <w:t>[6]</w:t>
            </w:r>
          </w:p>
        </w:tc>
      </w:tr>
      <w:tr>
        <w:trPr>
          <w:trHeight w:val="700" w:hRule="atLeast"/>
        </w:trPr>
        <w:tc>
          <w:tcPr>
            <w:tcW w:w="8943" w:type="dxa"/>
          </w:tcPr>
          <w:p>
            <w:pPr>
              <w:pStyle w:val="TableParagraph"/>
              <w:spacing w:line="271" w:lineRule="auto" w:before="116"/>
              <w:ind w:left="483" w:right="268" w:hanging="284"/>
              <w:rPr>
                <w:sz w:val="20"/>
              </w:rPr>
            </w:pPr>
            <w:r>
              <w:rPr>
                <w:sz w:val="20"/>
              </w:rPr>
              <w:t>OECD (2021), </w:t>
            </w:r>
            <w:r>
              <w:rPr>
                <w:rFonts w:ascii="Arial"/>
                <w:i/>
                <w:sz w:val="20"/>
              </w:rPr>
              <w:t>OECD Science, Technology and Innovation Scoreboard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10">
              <w:r>
                <w:rPr>
                  <w:color w:val="0000FF"/>
                  <w:sz w:val="20"/>
                  <w:u w:val="single" w:color="0000FF"/>
                </w:rPr>
                <w:t>www.oecd.org/sti/scoreboard.htm</w:t>
              </w:r>
              <w:r>
                <w:rPr>
                  <w:color w:val="0000FF"/>
                  <w:spacing w:val="-3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[36]</w:t>
            </w:r>
          </w:p>
        </w:tc>
      </w:tr>
      <w:tr>
        <w:trPr>
          <w:trHeight w:val="605" w:hRule="atLeast"/>
        </w:trPr>
        <w:tc>
          <w:tcPr>
            <w:tcW w:w="8943" w:type="dxa"/>
          </w:tcPr>
          <w:p>
            <w:pPr>
              <w:pStyle w:val="TableParagraph"/>
              <w:spacing w:line="260" w:lineRule="atLeast" w:before="65"/>
              <w:ind w:left="483" w:right="1052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Glance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2020: OECD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Indicators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https://dx.doi.org/10.1787/69096873-en</w:t>
            </w:r>
            <w:r>
              <w:rPr>
                <w:sz w:val="20"/>
              </w:rPr>
              <w:t>.</w:t>
            </w:r>
          </w:p>
        </w:tc>
        <w:tc>
          <w:tcPr>
            <w:tcW w:w="637" w:type="dxa"/>
          </w:tcPr>
          <w:p>
            <w:pPr>
              <w:pStyle w:val="TableParagraph"/>
              <w:spacing w:before="91"/>
              <w:ind w:left="151" w:right="178"/>
              <w:jc w:val="center"/>
              <w:rPr>
                <w:sz w:val="16"/>
              </w:rPr>
            </w:pPr>
            <w:r>
              <w:rPr>
                <w:sz w:val="16"/>
              </w:rPr>
              <w:t>[24]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4"/>
        <w:gridCol w:w="636"/>
      </w:tblGrid>
      <w:tr>
        <w:trPr>
          <w:trHeight w:val="605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20"/>
              <w:ind w:left="483" w:right="643" w:hanging="284"/>
              <w:rPr>
                <w:sz w:val="20"/>
              </w:rPr>
            </w:pPr>
            <w:r>
              <w:rPr>
                <w:sz w:val="20"/>
              </w:rPr>
              <w:t>OECD (2020), </w:t>
            </w:r>
            <w:r>
              <w:rPr>
                <w:rFonts w:ascii="Arial"/>
                <w:i/>
                <w:sz w:val="20"/>
              </w:rPr>
              <w:t>OECD Skills Strategy Slovak Republic: Assessment and Recommendations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Studies,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https://dx.doi.org/10.1787/bb688e68-en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line="179" w:lineRule="exact" w:before="0"/>
              <w:ind w:left="149" w:right="92"/>
              <w:jc w:val="center"/>
              <w:rPr>
                <w:sz w:val="16"/>
              </w:rPr>
            </w:pPr>
            <w:r>
              <w:rPr>
                <w:sz w:val="16"/>
              </w:rPr>
              <w:t>[5]</w:t>
            </w:r>
          </w:p>
        </w:tc>
      </w:tr>
      <w:tr>
        <w:trPr>
          <w:trHeight w:val="700" w:hRule="atLeast"/>
        </w:trPr>
        <w:tc>
          <w:tcPr>
            <w:tcW w:w="8944" w:type="dxa"/>
          </w:tcPr>
          <w:p>
            <w:pPr>
              <w:pStyle w:val="TableParagraph"/>
              <w:spacing w:line="273" w:lineRule="auto" w:before="113"/>
              <w:ind w:left="483" w:right="199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Benchmarking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Performance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 </w:t>
            </w:r>
            <w:r>
              <w:rPr>
                <w:color w:val="0000FF"/>
                <w:sz w:val="20"/>
                <w:u w:val="single" w:color="0000FF"/>
              </w:rPr>
              <w:t>https://dx.doi.org/10.1787/be5514d7-en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[27]</w:t>
            </w:r>
          </w:p>
        </w:tc>
      </w:tr>
      <w:tr>
        <w:trPr>
          <w:trHeight w:val="698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3"/>
              <w:ind w:left="483" w:right="1053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Glance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2019: OECD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Indicators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https://dx.doi.org/10.1787/f8d7880d-en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[26]</w:t>
            </w:r>
          </w:p>
        </w:tc>
      </w:tr>
      <w:tr>
        <w:trPr>
          <w:trHeight w:val="700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6"/>
              <w:ind w:left="483" w:right="796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OECD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Economic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Surveys: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Slovak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Republic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2019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https://dx.doi.org/10.1787/eco_surveys-svk-2019-en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92"/>
              <w:jc w:val="center"/>
              <w:rPr>
                <w:sz w:val="16"/>
              </w:rPr>
            </w:pPr>
            <w:r>
              <w:rPr>
                <w:sz w:val="16"/>
              </w:rPr>
              <w:t>[1]</w:t>
            </w:r>
          </w:p>
        </w:tc>
      </w:tr>
      <w:tr>
        <w:trPr>
          <w:trHeight w:val="701" w:hRule="atLeast"/>
        </w:trPr>
        <w:tc>
          <w:tcPr>
            <w:tcW w:w="8944" w:type="dxa"/>
          </w:tcPr>
          <w:p>
            <w:pPr>
              <w:pStyle w:val="TableParagraph"/>
              <w:spacing w:line="273" w:lineRule="auto" w:before="113"/>
              <w:ind w:left="483" w:right="643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Skills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Matter: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Additional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Results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Survey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Adult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Skills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Studies,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https://dx.doi.org/10.1787/1f029d8f-en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[32]</w:t>
            </w:r>
          </w:p>
        </w:tc>
      </w:tr>
      <w:tr>
        <w:trPr>
          <w:trHeight w:val="960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4"/>
              <w:ind w:left="483" w:right="431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(2006),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“Cross-border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Post-secondary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Europe”,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Internationalisation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Trade in Higher Education: Opportunities and Challenges</w:t>
            </w:r>
            <w:r>
              <w:rPr>
                <w:sz w:val="20"/>
              </w:rPr>
              <w:t>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https://doi.org/10.1787/9789264015067-5-en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[11]</w:t>
            </w:r>
          </w:p>
        </w:tc>
      </w:tr>
      <w:tr>
        <w:trPr>
          <w:trHeight w:val="698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3"/>
              <w:ind w:left="483" w:right="622" w:hanging="284"/>
              <w:rPr>
                <w:sz w:val="20"/>
              </w:rPr>
            </w:pPr>
            <w:r>
              <w:rPr>
                <w:sz w:val="20"/>
              </w:rPr>
              <w:t>OECD/ILO (2017), </w:t>
            </w:r>
            <w:r>
              <w:rPr>
                <w:rFonts w:ascii="Arial"/>
                <w:i/>
                <w:sz w:val="20"/>
              </w:rPr>
              <w:t>Better Use of Skills in the Workplace: Why It Matters for Productivity and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Local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Jobs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https://dx.doi.org/10.1787/9789264281394-en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[35]</w:t>
            </w:r>
          </w:p>
        </w:tc>
      </w:tr>
      <w:tr>
        <w:trPr>
          <w:trHeight w:val="960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6"/>
              <w:ind w:left="483" w:right="199" w:hanging="284"/>
              <w:rPr>
                <w:sz w:val="20"/>
              </w:rPr>
            </w:pPr>
            <w:r>
              <w:rPr>
                <w:sz w:val="20"/>
              </w:rPr>
              <w:t>Quacquarelli Symonds Limited (2021), </w:t>
            </w:r>
            <w:r>
              <w:rPr>
                <w:rFonts w:ascii="Arial"/>
                <w:i/>
                <w:sz w:val="20"/>
              </w:rPr>
              <w:t>QS World University Rankings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11">
              <w:r>
                <w:rPr>
                  <w:color w:val="0000FF"/>
                  <w:spacing w:val="-1"/>
                  <w:sz w:val="20"/>
                  <w:u w:val="single" w:color="0000FF"/>
                </w:rPr>
                <w:t>www.topuniversities.com/university-rankings/world-university-rankings/2021</w:t>
              </w:r>
              <w:r>
                <w:rPr>
                  <w:color w:val="0000FF"/>
                  <w:spacing w:val="12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[42]</w:t>
            </w:r>
          </w:p>
        </w:tc>
      </w:tr>
      <w:tr>
        <w:trPr>
          <w:trHeight w:val="1481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6"/>
              <w:ind w:left="483" w:right="199" w:hanging="284"/>
              <w:rPr>
                <w:sz w:val="20"/>
              </w:rPr>
            </w:pPr>
            <w:r>
              <w:rPr>
                <w:sz w:val="20"/>
              </w:rPr>
              <w:t>Reichert,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(2009),</w:t>
            </w:r>
            <w:r>
              <w:rPr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Institutional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diversity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European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education:</w:t>
            </w:r>
            <w:r>
              <w:rPr>
                <w:rFonts w:ascii="Arial"/>
                <w:i/>
                <w:spacing w:val="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Tensions</w:t>
            </w:r>
            <w:r>
              <w:rPr>
                <w:rFonts w:ascii="Arial"/>
                <w:i/>
                <w:spacing w:val="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challenges for policy makers and institutional leaders</w:t>
            </w:r>
            <w:r>
              <w:rPr>
                <w:sz w:val="20"/>
              </w:rPr>
              <w:t>, European University Association,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Brussels,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https://eua.eu/downloads/publications/institutional%20diversity%20in%20european%20higher</w:t>
            </w:r>
          </w:p>
          <w:p>
            <w:pPr>
              <w:pStyle w:val="TableParagraph"/>
              <w:spacing w:before="0"/>
              <w:ind w:left="483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%20education%20%20tensions%20and%20challenges.pdf</w:t>
            </w:r>
            <w:r>
              <w:rPr>
                <w:color w:val="0000FF"/>
                <w:spacing w:val="-4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[18]</w:t>
            </w:r>
          </w:p>
        </w:tc>
      </w:tr>
      <w:tr>
        <w:trPr>
          <w:trHeight w:val="1220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3"/>
              <w:ind w:left="483" w:right="199" w:hanging="284"/>
              <w:rPr>
                <w:sz w:val="20"/>
              </w:rPr>
            </w:pPr>
            <w:r>
              <w:rPr>
                <w:sz w:val="20"/>
              </w:rPr>
              <w:t>Šerý,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(2013),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Slováci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České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republice: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důrazem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na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dojížďku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prací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do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vysokých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škol (Slovaks in the Czech Republic: with emphasis on commuting to work and universities)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16th International Colloquium on Regional Sciences, Valtice,</w:t>
            </w:r>
            <w:r>
              <w:rPr>
                <w:spacing w:val="1"/>
                <w:sz w:val="20"/>
              </w:rPr>
              <w:t> </w:t>
            </w:r>
            <w:hyperlink r:id="rId112">
              <w:r>
                <w:rPr>
                  <w:color w:val="0000FF"/>
                  <w:sz w:val="20"/>
                  <w:u w:val="single" w:color="0000FF"/>
                </w:rPr>
                <w:t>http://dx.doi.org/10.5817/CZ.MUNI.P210</w:t>
              </w:r>
            </w:hyperlink>
            <w:r>
              <w:rPr>
                <w:rFonts w:ascii="Cambria Math" w:hAnsi="Cambria Math"/>
                <w:color w:val="0000FF"/>
                <w:sz w:val="20"/>
                <w:u w:val="single" w:color="0000FF"/>
              </w:rPr>
              <w:t>‐</w:t>
            </w:r>
            <w:r>
              <w:rPr>
                <w:color w:val="0000FF"/>
                <w:sz w:val="20"/>
                <w:u w:val="single" w:color="0000FF"/>
              </w:rPr>
              <w:t>6257</w:t>
            </w:r>
            <w:r>
              <w:rPr>
                <w:rFonts w:ascii="Cambria Math" w:hAnsi="Cambria Math"/>
                <w:color w:val="0000FF"/>
                <w:sz w:val="20"/>
                <w:u w:val="single" w:color="0000FF"/>
              </w:rPr>
              <w:t>‐</w:t>
            </w:r>
            <w:r>
              <w:rPr>
                <w:color w:val="0000FF"/>
                <w:sz w:val="20"/>
                <w:u w:val="single" w:color="0000FF"/>
              </w:rPr>
              <w:t>2013</w:t>
            </w:r>
            <w:r>
              <w:rPr>
                <w:rFonts w:ascii="Cambria Math" w:hAnsi="Cambria Math"/>
                <w:color w:val="0000FF"/>
                <w:sz w:val="20"/>
                <w:u w:val="single" w:color="0000FF"/>
              </w:rPr>
              <w:t>‐</w:t>
            </w:r>
            <w:r>
              <w:rPr>
                <w:color w:val="0000FF"/>
                <w:sz w:val="20"/>
                <w:u w:val="single" w:color="0000FF"/>
              </w:rPr>
              <w:t>13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[30]</w:t>
            </w:r>
          </w:p>
        </w:tc>
      </w:tr>
      <w:tr>
        <w:trPr>
          <w:trHeight w:val="699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5"/>
              <w:ind w:left="483" w:right="643" w:hanging="284"/>
              <w:rPr>
                <w:sz w:val="20"/>
              </w:rPr>
            </w:pPr>
            <w:r>
              <w:rPr>
                <w:sz w:val="20"/>
              </w:rPr>
              <w:t>Shanghai Ranking Consultancy (2020), </w:t>
            </w:r>
            <w:r>
              <w:rPr>
                <w:rFonts w:ascii="Arial"/>
                <w:i/>
                <w:sz w:val="20"/>
              </w:rPr>
              <w:t>ARWU World University Rankings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13">
              <w:r>
                <w:rPr>
                  <w:color w:val="0000FF"/>
                  <w:sz w:val="20"/>
                  <w:u w:val="single" w:color="0000FF"/>
                </w:rPr>
                <w:t>www.shanghairanking.com/rankings/arwu/2020</w:t>
              </w:r>
              <w:r>
                <w:rPr>
                  <w:color w:val="0000FF"/>
                  <w:spacing w:val="-1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0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[44]</w:t>
            </w:r>
          </w:p>
        </w:tc>
      </w:tr>
      <w:tr>
        <w:trPr>
          <w:trHeight w:val="700" w:hRule="atLeast"/>
        </w:trPr>
        <w:tc>
          <w:tcPr>
            <w:tcW w:w="8944" w:type="dxa"/>
          </w:tcPr>
          <w:p>
            <w:pPr>
              <w:pStyle w:val="TableParagraph"/>
              <w:spacing w:line="273" w:lineRule="auto" w:before="113"/>
              <w:ind w:left="483" w:right="620" w:hanging="284"/>
              <w:rPr>
                <w:sz w:val="20"/>
              </w:rPr>
            </w:pPr>
            <w:r>
              <w:rPr>
                <w:sz w:val="20"/>
              </w:rPr>
              <w:t>Statistical Office of the Slovak Republic (2019), </w:t>
            </w:r>
            <w:r>
              <w:rPr>
                <w:rFonts w:ascii="Arial"/>
                <w:i/>
                <w:sz w:val="20"/>
              </w:rPr>
              <w:t>Yearbook of Science and Technology 2019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Statistical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Republic,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Bratislava.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[19]</w:t>
            </w:r>
          </w:p>
        </w:tc>
      </w:tr>
      <w:tr>
        <w:trPr>
          <w:trHeight w:val="698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3"/>
              <w:ind w:left="483" w:right="643" w:hanging="284"/>
              <w:rPr>
                <w:sz w:val="20"/>
              </w:rPr>
            </w:pPr>
            <w:r>
              <w:rPr>
                <w:sz w:val="20"/>
              </w:rPr>
              <w:t>Technology Centre of the CAS (2017), </w:t>
            </w:r>
            <w:r>
              <w:rPr>
                <w:rFonts w:ascii="Arial"/>
                <w:i/>
                <w:sz w:val="20"/>
              </w:rPr>
              <w:t>ERC choropleth map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hyperlink r:id="rId114">
              <w:r>
                <w:rPr>
                  <w:color w:val="0000FF"/>
                  <w:sz w:val="20"/>
                  <w:u w:val="single" w:color="0000FF"/>
                </w:rPr>
                <w:t>http://svizualizace.tc.cas.cz/maps/main.htm</w:t>
              </w:r>
              <w:r>
                <w:rPr>
                  <w:color w:val="0000FF"/>
                  <w:sz w:val="20"/>
                </w:rPr>
                <w:t>l</w:t>
              </w:r>
              <w:r>
                <w:rPr>
                  <w:color w:val="0000FF"/>
                  <w:spacing w:val="-6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[38]</w:t>
            </w:r>
          </w:p>
        </w:tc>
      </w:tr>
      <w:tr>
        <w:trPr>
          <w:trHeight w:val="960" w:hRule="atLeast"/>
        </w:trPr>
        <w:tc>
          <w:tcPr>
            <w:tcW w:w="8944" w:type="dxa"/>
          </w:tcPr>
          <w:p>
            <w:pPr>
              <w:pStyle w:val="TableParagraph"/>
              <w:spacing w:line="271" w:lineRule="auto" w:before="116"/>
              <w:ind w:left="483" w:right="266" w:hanging="284"/>
              <w:rPr>
                <w:sz w:val="20"/>
              </w:rPr>
            </w:pPr>
            <w:r>
              <w:rPr>
                <w:sz w:val="20"/>
              </w:rPr>
              <w:t>Times Higher Education (2021), </w:t>
            </w:r>
            <w:r>
              <w:rPr>
                <w:rFonts w:ascii="Arial"/>
                <w:i/>
                <w:sz w:val="20"/>
              </w:rPr>
              <w:t>World University Rankings 2021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15">
              <w:r>
                <w:rPr>
                  <w:color w:val="0000FF"/>
                  <w:sz w:val="20"/>
                  <w:u w:val="single" w:color="0000FF"/>
                </w:rPr>
                <w:t>www.timeshighereducation.com/world-university-rankings/2021/world-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ranking#!/page/0/length/25/sort_by/rank/sort_order/asc/cols/stats</w:t>
            </w:r>
            <w:r>
              <w:rPr>
                <w:color w:val="0000FF"/>
                <w:spacing w:val="-5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[40]</w:t>
            </w:r>
          </w:p>
        </w:tc>
      </w:tr>
      <w:tr>
        <w:trPr>
          <w:trHeight w:val="864" w:hRule="atLeast"/>
        </w:trPr>
        <w:tc>
          <w:tcPr>
            <w:tcW w:w="8944" w:type="dxa"/>
          </w:tcPr>
          <w:p>
            <w:pPr>
              <w:pStyle w:val="TableParagraph"/>
              <w:spacing w:line="260" w:lineRule="atLeast" w:before="66"/>
              <w:ind w:left="483" w:right="166" w:hanging="284"/>
              <w:rPr>
                <w:sz w:val="20"/>
              </w:rPr>
            </w:pPr>
            <w:r>
              <w:rPr>
                <w:sz w:val="20"/>
              </w:rPr>
              <w:t>Times Higher Education (2021), </w:t>
            </w:r>
            <w:r>
              <w:rPr>
                <w:rFonts w:ascii="Arial"/>
                <w:i/>
                <w:sz w:val="20"/>
              </w:rPr>
              <w:t>Young University Rankings 2021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16">
              <w:r>
                <w:rPr>
                  <w:color w:val="0000FF"/>
                  <w:sz w:val="20"/>
                  <w:u w:val="single" w:color="0000FF"/>
                </w:rPr>
                <w:t>www.timeshighereducation.com/world-university-rankings/2021/young-university-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rankings#!/page/0/length/25/sort_by/rank/sort_order/asc/cols/stats</w:t>
            </w:r>
            <w:r>
              <w:rPr>
                <w:color w:val="0000FF"/>
                <w:spacing w:val="-4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177"/>
              <w:jc w:val="center"/>
              <w:rPr>
                <w:sz w:val="16"/>
              </w:rPr>
            </w:pPr>
            <w:r>
              <w:rPr>
                <w:sz w:val="16"/>
              </w:rPr>
              <w:t>[41]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14"/>
        <w:gridCol w:w="667"/>
      </w:tblGrid>
      <w:tr>
        <w:trPr>
          <w:trHeight w:val="605" w:hRule="atLeast"/>
        </w:trPr>
        <w:tc>
          <w:tcPr>
            <w:tcW w:w="8914" w:type="dxa"/>
          </w:tcPr>
          <w:p>
            <w:pPr>
              <w:pStyle w:val="TableParagraph"/>
              <w:spacing w:line="271" w:lineRule="auto" w:before="20"/>
              <w:ind w:left="483" w:right="179" w:hanging="284"/>
              <w:rPr>
                <w:sz w:val="20"/>
              </w:rPr>
            </w:pPr>
            <w:r>
              <w:rPr>
                <w:sz w:val="20"/>
              </w:rPr>
              <w:t>Trow, M. (1972), “The Expansion and Transformation of Higher Education”, </w:t>
            </w:r>
            <w:r>
              <w:rPr>
                <w:rFonts w:ascii="Arial" w:hAnsi="Arial"/>
                <w:i/>
                <w:sz w:val="20"/>
              </w:rPr>
              <w:t>International Review</w:t>
            </w:r>
            <w:r>
              <w:rPr>
                <w:rFonts w:ascii="Arial" w:hAnsi="Arial"/>
                <w:i/>
                <w:spacing w:val="-5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Education</w:t>
            </w:r>
            <w:r>
              <w:rPr>
                <w:sz w:val="20"/>
              </w:rPr>
              <w:t>, Vol.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18/1,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pp.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61-84, </w:t>
            </w:r>
            <w:hyperlink r:id="rId117">
              <w:r>
                <w:rPr>
                  <w:color w:val="0000FF"/>
                  <w:sz w:val="20"/>
                  <w:u w:val="single" w:color="0000FF"/>
                </w:rPr>
                <w:t>http://dx.doi.org/10.1007/bf01450272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67" w:type="dxa"/>
          </w:tcPr>
          <w:p>
            <w:pPr>
              <w:pStyle w:val="TableParagraph"/>
              <w:spacing w:line="179" w:lineRule="exact" w:before="0"/>
              <w:ind w:left="179" w:right="93"/>
              <w:jc w:val="center"/>
              <w:rPr>
                <w:sz w:val="16"/>
              </w:rPr>
            </w:pPr>
            <w:r>
              <w:rPr>
                <w:sz w:val="16"/>
              </w:rPr>
              <w:t>[9]</w:t>
            </w:r>
          </w:p>
        </w:tc>
      </w:tr>
      <w:tr>
        <w:trPr>
          <w:trHeight w:val="960" w:hRule="atLeast"/>
        </w:trPr>
        <w:tc>
          <w:tcPr>
            <w:tcW w:w="8914" w:type="dxa"/>
          </w:tcPr>
          <w:p>
            <w:pPr>
              <w:pStyle w:val="TableParagraph"/>
              <w:spacing w:line="271" w:lineRule="auto" w:before="113"/>
              <w:ind w:left="483" w:right="1145" w:hanging="284"/>
              <w:rPr>
                <w:sz w:val="20"/>
              </w:rPr>
            </w:pPr>
            <w:r>
              <w:rPr>
                <w:sz w:val="20"/>
              </w:rPr>
              <w:t>U.S. News (2021), </w:t>
            </w:r>
            <w:r>
              <w:rPr>
                <w:rFonts w:ascii="Arial"/>
                <w:i/>
                <w:sz w:val="20"/>
              </w:rPr>
              <w:t>2021 Best Global Universities Rankings</w:t>
            </w:r>
            <w:r>
              <w:rPr>
                <w:sz w:val="20"/>
              </w:rPr>
              <w:t>,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18">
              <w:r>
                <w:rPr>
                  <w:color w:val="0000FF"/>
                  <w:spacing w:val="-1"/>
                  <w:sz w:val="20"/>
                  <w:u w:val="single" w:color="0000FF"/>
                </w:rPr>
                <w:t>www.usnews.com/education/best-global-universities/rankings</w:t>
              </w:r>
              <w:r>
                <w:rPr>
                  <w:color w:val="0000FF"/>
                  <w:spacing w:val="8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67" w:type="dxa"/>
          </w:tcPr>
          <w:p>
            <w:pPr>
              <w:pStyle w:val="TableParagraph"/>
              <w:spacing w:before="91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[43]</w:t>
            </w:r>
          </w:p>
        </w:tc>
      </w:tr>
      <w:tr>
        <w:trPr>
          <w:trHeight w:val="700" w:hRule="atLeast"/>
        </w:trPr>
        <w:tc>
          <w:tcPr>
            <w:tcW w:w="8914" w:type="dxa"/>
          </w:tcPr>
          <w:p>
            <w:pPr>
              <w:pStyle w:val="TableParagraph"/>
              <w:spacing w:line="273" w:lineRule="auto" w:before="113"/>
              <w:ind w:left="483" w:right="2047" w:hanging="284"/>
              <w:rPr>
                <w:sz w:val="20"/>
              </w:rPr>
            </w:pPr>
            <w:r>
              <w:rPr>
                <w:sz w:val="20"/>
              </w:rPr>
              <w:t>Universitas 21 (2021), </w:t>
            </w:r>
            <w:r>
              <w:rPr>
                <w:rFonts w:ascii="Arial"/>
                <w:i/>
                <w:sz w:val="20"/>
              </w:rPr>
              <w:t>U21 Ranking of National Higher Education Systems</w:t>
            </w:r>
            <w:r>
              <w:rPr>
                <w:sz w:val="20"/>
              </w:rPr>
              <w:t>,</w:t>
            </w:r>
            <w:r>
              <w:rPr>
                <w:spacing w:val="-54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https://universitas21.com/rankings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67" w:type="dxa"/>
          </w:tcPr>
          <w:p>
            <w:pPr>
              <w:pStyle w:val="TableParagraph"/>
              <w:spacing w:before="91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[45]</w:t>
            </w:r>
          </w:p>
        </w:tc>
      </w:tr>
      <w:tr>
        <w:trPr>
          <w:trHeight w:val="698" w:hRule="atLeast"/>
        </w:trPr>
        <w:tc>
          <w:tcPr>
            <w:tcW w:w="8914" w:type="dxa"/>
          </w:tcPr>
          <w:p>
            <w:pPr>
              <w:pStyle w:val="TableParagraph"/>
              <w:spacing w:line="271" w:lineRule="auto" w:before="113"/>
              <w:ind w:left="483" w:right="179" w:hanging="284"/>
              <w:rPr>
                <w:sz w:val="20"/>
              </w:rPr>
            </w:pPr>
            <w:r>
              <w:rPr>
                <w:sz w:val="20"/>
              </w:rPr>
              <w:t>VEGA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Výročná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správa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[Annual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Report]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Scientific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Agency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(VEGA),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Bratislava,</w:t>
            </w:r>
            <w:r>
              <w:rPr>
                <w:spacing w:val="-5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19">
              <w:r>
                <w:rPr>
                  <w:color w:val="0000FF"/>
                  <w:sz w:val="20"/>
                  <w:u w:val="single" w:color="0000FF"/>
                </w:rPr>
                <w:t>www.minedu.sk/data/att/16941.pdf</w:t>
              </w:r>
              <w:r>
                <w:rPr>
                  <w:color w:val="0000FF"/>
                  <w:spacing w:val="2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67" w:type="dxa"/>
          </w:tcPr>
          <w:p>
            <w:pPr>
              <w:pStyle w:val="TableParagraph"/>
              <w:spacing w:before="91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[22]</w:t>
            </w:r>
          </w:p>
        </w:tc>
      </w:tr>
      <w:tr>
        <w:trPr>
          <w:trHeight w:val="1126" w:hRule="atLeast"/>
        </w:trPr>
        <w:tc>
          <w:tcPr>
            <w:tcW w:w="8914" w:type="dxa"/>
          </w:tcPr>
          <w:p>
            <w:pPr>
              <w:pStyle w:val="TableParagraph"/>
              <w:spacing w:line="271" w:lineRule="auto" w:before="116"/>
              <w:ind w:left="483" w:right="684" w:hanging="284"/>
              <w:rPr>
                <w:sz w:val="20"/>
              </w:rPr>
            </w:pPr>
            <w:r>
              <w:rPr>
                <w:sz w:val="20"/>
              </w:rPr>
              <w:t>Westerheijden, D. and K. Sorensen (1999), “People on a bridge: Central European higher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 institutions in a storm of reform”, in Jongbloed, B., P. Maassen and G. Neave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(eds.),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From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Eye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Storm: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Higher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Education’s Changing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Institutions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Kluwer</w:t>
            </w:r>
          </w:p>
          <w:p>
            <w:pPr>
              <w:pStyle w:val="TableParagraph"/>
              <w:spacing w:line="210" w:lineRule="exact" w:before="1"/>
              <w:ind w:left="483"/>
              <w:rPr>
                <w:sz w:val="20"/>
              </w:rPr>
            </w:pPr>
            <w:r>
              <w:rPr>
                <w:sz w:val="20"/>
              </w:rPr>
              <w:t>Academic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Publishers,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Dordrecht,</w:t>
            </w:r>
            <w:r>
              <w:rPr>
                <w:spacing w:val="-1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https://doi.org/10.1007/978-94-015-9263-5_2</w:t>
            </w:r>
            <w:r>
              <w:rPr>
                <w:sz w:val="20"/>
              </w:rPr>
              <w:t>.</w:t>
            </w:r>
          </w:p>
        </w:tc>
        <w:tc>
          <w:tcPr>
            <w:tcW w:w="667" w:type="dxa"/>
          </w:tcPr>
          <w:p>
            <w:pPr>
              <w:pStyle w:val="TableParagraph"/>
              <w:spacing w:before="91"/>
              <w:ind w:left="179" w:right="93"/>
              <w:jc w:val="center"/>
              <w:rPr>
                <w:sz w:val="16"/>
              </w:rPr>
            </w:pPr>
            <w:r>
              <w:rPr>
                <w:sz w:val="16"/>
              </w:rPr>
              <w:t>[8]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pStyle w:val="BodyText"/>
        <w:spacing w:line="120" w:lineRule="exact"/>
        <w:ind w:left="282"/>
        <w:rPr>
          <w:rFonts w:ascii="Arial"/>
          <w:sz w:val="12"/>
        </w:rPr>
      </w:pPr>
      <w:r>
        <w:rPr>
          <w:rFonts w:ascii="Arial"/>
          <w:position w:val="-1"/>
          <w:sz w:val="12"/>
        </w:rPr>
        <w:pict>
          <v:group style="width:460.75pt;height:6pt;mso-position-horizontal-relative:char;mso-position-vertical-relative:line" coordorigin="0,0" coordsize="9215,120">
            <v:rect style="position:absolute;left:0;top:0;width:9215;height:120" filled="true" fillcolor="#ffffff" stroked="false">
              <v:fill type="solid"/>
            </v:rect>
          </v:group>
        </w:pict>
      </w:r>
      <w:r>
        <w:rPr>
          <w:rFonts w:ascii="Arial"/>
          <w:position w:val="-1"/>
          <w:sz w:val="12"/>
        </w:rPr>
      </w:r>
    </w:p>
    <w:p>
      <w:pPr>
        <w:spacing w:line="216" w:lineRule="auto" w:before="100"/>
        <w:ind w:left="1544" w:right="441" w:hanging="1136"/>
        <w:jc w:val="left"/>
        <w:rPr>
          <w:rFonts w:ascii="Arial"/>
          <w:b/>
          <w:sz w:val="56"/>
        </w:rPr>
      </w:pPr>
      <w:r>
        <w:rPr/>
        <w:pict>
          <v:rect style="position:absolute;margin-left:70.103996pt;margin-top:67.072304pt;width:460.75pt;height:71.040pt;mso-position-horizontal-relative:page;mso-position-vertical-relative:paragraph;z-index:-19711488" filled="true" fillcolor="#ffffff" stroked="false">
            <v:fill type="solid"/>
            <w10:wrap type="none"/>
          </v:rect>
        </w:pict>
      </w:r>
      <w:bookmarkStart w:name="3 An action plan to improve higher educa" w:id="76"/>
      <w:bookmarkEnd w:id="76"/>
      <w:r>
        <w:rPr/>
      </w:r>
      <w:bookmarkStart w:name="_bookmark33" w:id="77"/>
      <w:bookmarkEnd w:id="77"/>
      <w:r>
        <w:rPr/>
      </w:r>
      <w:r>
        <w:rPr>
          <w:rFonts w:ascii="Arial"/>
          <w:b/>
          <w:color w:val="4E81BD"/>
          <w:w w:val="80"/>
          <w:sz w:val="130"/>
          <w:u w:val="thick" w:color="4E81BD"/>
        </w:rPr>
        <w:t>3</w:t>
      </w:r>
      <w:r>
        <w:rPr>
          <w:rFonts w:ascii="Arial"/>
          <w:b/>
          <w:color w:val="4E81BD"/>
          <w:spacing w:val="1"/>
          <w:w w:val="80"/>
          <w:sz w:val="130"/>
        </w:rPr>
        <w:t> </w:t>
      </w:r>
      <w:r>
        <w:rPr>
          <w:rFonts w:ascii="Arial"/>
          <w:b/>
          <w:color w:val="4E81BD"/>
          <w:w w:val="80"/>
          <w:sz w:val="56"/>
        </w:rPr>
        <w:t>An action plan to improve higher</w:t>
      </w:r>
      <w:r>
        <w:rPr>
          <w:rFonts w:ascii="Arial"/>
          <w:b/>
          <w:color w:val="4E81BD"/>
          <w:spacing w:val="1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education</w:t>
      </w:r>
      <w:r>
        <w:rPr>
          <w:rFonts w:ascii="Arial"/>
          <w:b/>
          <w:color w:val="4E81BD"/>
          <w:spacing w:val="37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in</w:t>
      </w:r>
      <w:r>
        <w:rPr>
          <w:rFonts w:ascii="Arial"/>
          <w:b/>
          <w:color w:val="4E81BD"/>
          <w:spacing w:val="37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the</w:t>
      </w:r>
      <w:r>
        <w:rPr>
          <w:rFonts w:ascii="Arial"/>
          <w:b/>
          <w:color w:val="4E81BD"/>
          <w:spacing w:val="37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Slovak</w:t>
      </w:r>
      <w:r>
        <w:rPr>
          <w:rFonts w:ascii="Arial"/>
          <w:b/>
          <w:color w:val="4E81BD"/>
          <w:spacing w:val="43"/>
          <w:w w:val="80"/>
          <w:sz w:val="56"/>
        </w:rPr>
        <w:t> </w:t>
      </w:r>
      <w:r>
        <w:rPr>
          <w:rFonts w:ascii="Arial"/>
          <w:b/>
          <w:color w:val="4E81BD"/>
          <w:w w:val="80"/>
          <w:sz w:val="56"/>
        </w:rPr>
        <w:t>Republic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1"/>
        </w:rPr>
      </w:pPr>
      <w:r>
        <w:rPr/>
        <w:pict>
          <v:rect style="position:absolute;margin-left:69.384003pt;margin-top:14.416361pt;width:462.190002pt;height:1.44pt;mso-position-horizontal-relative:page;mso-position-vertical-relative:paragraph;z-index:-15710208;mso-wrap-distance-left:0;mso-wrap-distance-right:0" filled="true" fillcolor="#4e81bd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pStyle w:val="Heading3"/>
        <w:spacing w:line="278" w:lineRule="auto"/>
        <w:ind w:left="296"/>
      </w:pPr>
      <w:r>
        <w:rPr>
          <w:color w:val="4E81BD"/>
        </w:rPr>
        <w:t>This chapter presents the OECD-European Commission-Slovak Republic Project’s</w:t>
      </w:r>
      <w:r>
        <w:rPr>
          <w:color w:val="4E81BD"/>
          <w:spacing w:val="1"/>
        </w:rPr>
        <w:t> </w:t>
      </w:r>
      <w:r>
        <w:rPr>
          <w:color w:val="4E81BD"/>
        </w:rPr>
        <w:t>action plan to improve higher education in the Slovak Republic. The chapter first</w:t>
      </w:r>
      <w:r>
        <w:rPr>
          <w:color w:val="4E81BD"/>
          <w:spacing w:val="1"/>
        </w:rPr>
        <w:t> </w:t>
      </w:r>
      <w:r>
        <w:rPr>
          <w:color w:val="4E81BD"/>
        </w:rPr>
        <w:t>outlines the structure of the action plan. It then reviews the action plan’s three areas of</w:t>
      </w:r>
      <w:r>
        <w:rPr>
          <w:color w:val="4E81BD"/>
          <w:spacing w:val="-64"/>
        </w:rPr>
        <w:t> </w:t>
      </w:r>
      <w:r>
        <w:rPr>
          <w:color w:val="4E81BD"/>
        </w:rPr>
        <w:t>recommendation: 1) developing and implementing a co-ordinated higher education</w:t>
      </w:r>
      <w:r>
        <w:rPr>
          <w:color w:val="4E81BD"/>
          <w:spacing w:val="1"/>
        </w:rPr>
        <w:t> </w:t>
      </w:r>
      <w:r>
        <w:rPr>
          <w:color w:val="4E81BD"/>
        </w:rPr>
        <w:t>strategy;</w:t>
      </w:r>
      <w:r>
        <w:rPr>
          <w:color w:val="4E81BD"/>
          <w:spacing w:val="-2"/>
        </w:rPr>
        <w:t> </w:t>
      </w:r>
      <w:r>
        <w:rPr>
          <w:color w:val="4E81BD"/>
        </w:rPr>
        <w:t>2)</w:t>
      </w:r>
      <w:r>
        <w:rPr>
          <w:color w:val="4E81BD"/>
          <w:spacing w:val="-2"/>
        </w:rPr>
        <w:t> </w:t>
      </w:r>
      <w:r>
        <w:rPr>
          <w:color w:val="4E81BD"/>
        </w:rPr>
        <w:t>using</w:t>
      </w:r>
      <w:r>
        <w:rPr>
          <w:color w:val="4E81BD"/>
          <w:spacing w:val="-3"/>
        </w:rPr>
        <w:t> </w:t>
      </w:r>
      <w:r>
        <w:rPr>
          <w:color w:val="4E81BD"/>
        </w:rPr>
        <w:t>funding</w:t>
      </w:r>
      <w:r>
        <w:rPr>
          <w:color w:val="4E81BD"/>
          <w:spacing w:val="-3"/>
        </w:rPr>
        <w:t> </w:t>
      </w:r>
      <w:r>
        <w:rPr>
          <w:color w:val="4E81BD"/>
        </w:rPr>
        <w:t>to</w:t>
      </w:r>
      <w:r>
        <w:rPr>
          <w:color w:val="4E81BD"/>
          <w:spacing w:val="-2"/>
        </w:rPr>
        <w:t> </w:t>
      </w:r>
      <w:r>
        <w:rPr>
          <w:color w:val="4E81BD"/>
        </w:rPr>
        <w:t>support</w:t>
      </w:r>
      <w:r>
        <w:rPr>
          <w:color w:val="4E81BD"/>
          <w:spacing w:val="-5"/>
        </w:rPr>
        <w:t> </w:t>
      </w:r>
      <w:r>
        <w:rPr>
          <w:color w:val="4E81BD"/>
        </w:rPr>
        <w:t>and</w:t>
      </w:r>
      <w:r>
        <w:rPr>
          <w:color w:val="4E81BD"/>
          <w:spacing w:val="-2"/>
        </w:rPr>
        <w:t> </w:t>
      </w:r>
      <w:r>
        <w:rPr>
          <w:color w:val="4E81BD"/>
        </w:rPr>
        <w:t>reward</w:t>
      </w:r>
      <w:r>
        <w:rPr>
          <w:color w:val="4E81BD"/>
          <w:spacing w:val="-1"/>
        </w:rPr>
        <w:t> </w:t>
      </w:r>
      <w:r>
        <w:rPr>
          <w:color w:val="4E81BD"/>
        </w:rPr>
        <w:t>higher</w:t>
      </w:r>
      <w:r>
        <w:rPr>
          <w:color w:val="4E81BD"/>
          <w:spacing w:val="-2"/>
        </w:rPr>
        <w:t> </w:t>
      </w:r>
      <w:r>
        <w:rPr>
          <w:color w:val="4E81BD"/>
        </w:rPr>
        <w:t>education</w:t>
      </w:r>
      <w:r>
        <w:rPr>
          <w:color w:val="4E81BD"/>
          <w:spacing w:val="-2"/>
        </w:rPr>
        <w:t> </w:t>
      </w:r>
      <w:r>
        <w:rPr>
          <w:color w:val="4E81BD"/>
        </w:rPr>
        <w:t>performance;</w:t>
      </w:r>
      <w:r>
        <w:rPr>
          <w:color w:val="4E81BD"/>
          <w:spacing w:val="-3"/>
        </w:rPr>
        <w:t> </w:t>
      </w:r>
      <w:r>
        <w:rPr>
          <w:color w:val="4E81BD"/>
        </w:rPr>
        <w:t>and</w:t>
      </w:r>
    </w:p>
    <w:p>
      <w:pPr>
        <w:pStyle w:val="Heading3"/>
        <w:spacing w:line="280" w:lineRule="auto" w:before="0"/>
        <w:ind w:left="296" w:right="375"/>
      </w:pPr>
      <w:r>
        <w:rPr>
          <w:color w:val="4E81BD"/>
        </w:rPr>
        <w:t>3) enabling responsive institutional governance and management. The chapter closes</w:t>
      </w:r>
      <w:r>
        <w:rPr>
          <w:color w:val="4E81BD"/>
          <w:spacing w:val="-64"/>
        </w:rPr>
        <w:t> </w:t>
      </w:r>
      <w:r>
        <w:rPr>
          <w:color w:val="4E81BD"/>
        </w:rPr>
        <w:t>with a table summarising the recommended policy actions and key implementation</w:t>
      </w:r>
      <w:r>
        <w:rPr>
          <w:color w:val="4E81BD"/>
          <w:spacing w:val="1"/>
        </w:rPr>
        <w:t> </w:t>
      </w:r>
      <w:r>
        <w:rPr>
          <w:color w:val="4E81BD"/>
        </w:rPr>
        <w:t>considerations.</w:t>
      </w:r>
    </w:p>
    <w:p>
      <w:pPr>
        <w:pStyle w:val="BodyText"/>
        <w:rPr>
          <w:sz w:val="14"/>
        </w:rPr>
      </w:pPr>
      <w:r>
        <w:rPr/>
        <w:pict>
          <v:rect style="position:absolute;margin-left:69.384003pt;margin-top:9.999316pt;width:462.190002pt;height:4.440pt;mso-position-horizontal-relative:page;mso-position-vertical-relative:paragraph;z-index:-15709696;mso-wrap-distance-left:0;mso-wrap-distance-right:0" filled="true" fillcolor="#4e81bd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headerReference w:type="default" r:id="rId120"/>
          <w:headerReference w:type="even" r:id="rId121"/>
          <w:footerReference w:type="default" r:id="rId122"/>
          <w:footerReference w:type="even" r:id="rId123"/>
          <w:pgSz w:w="11910" w:h="15880"/>
          <w:pgMar w:header="734" w:footer="731" w:top="1140" w:bottom="920" w:left="1120" w:right="1000"/>
          <w:pgNumType w:start="47"/>
        </w:sectPr>
      </w:pPr>
    </w:p>
    <w:p>
      <w:pPr>
        <w:pStyle w:val="BodyText"/>
        <w:rPr>
          <w:sz w:val="9"/>
        </w:rPr>
      </w:pPr>
    </w:p>
    <w:p>
      <w:pPr>
        <w:pStyle w:val="Heading2"/>
        <w:numPr>
          <w:ilvl w:val="1"/>
          <w:numId w:val="12"/>
        </w:numPr>
        <w:tabs>
          <w:tab w:pos="652" w:val="left" w:leader="none"/>
        </w:tabs>
        <w:spacing w:line="240" w:lineRule="auto" w:before="92" w:after="0"/>
        <w:ind w:left="651" w:right="0" w:hanging="469"/>
        <w:jc w:val="left"/>
      </w:pPr>
      <w:bookmarkStart w:name="3.1. Structure and summary of the action" w:id="78"/>
      <w:bookmarkEnd w:id="78"/>
      <w:r>
        <w:rPr>
          <w:b w:val="0"/>
        </w:rPr>
      </w:r>
      <w:bookmarkStart w:name="_bookmark34" w:id="79"/>
      <w:bookmarkEnd w:id="79"/>
      <w:r>
        <w:rPr>
          <w:b w:val="0"/>
        </w:rPr>
      </w:r>
      <w:bookmarkStart w:name="_bookmark34" w:id="80"/>
      <w:bookmarkEnd w:id="80"/>
      <w:r>
        <w:rPr>
          <w:color w:val="4E81BD"/>
        </w:rPr>
        <w:t>Struct</w:t>
      </w:r>
      <w:r>
        <w:rPr>
          <w:color w:val="4E81BD"/>
        </w:rPr>
        <w:t>ure</w:t>
      </w:r>
      <w:r>
        <w:rPr>
          <w:color w:val="4E81BD"/>
          <w:spacing w:val="-1"/>
        </w:rPr>
        <w:t> </w:t>
      </w:r>
      <w:r>
        <w:rPr>
          <w:color w:val="4E81BD"/>
        </w:rPr>
        <w:t>and</w:t>
      </w:r>
      <w:r>
        <w:rPr>
          <w:color w:val="4E81BD"/>
          <w:spacing w:val="-1"/>
        </w:rPr>
        <w:t> </w:t>
      </w:r>
      <w:r>
        <w:rPr>
          <w:color w:val="4E81BD"/>
        </w:rPr>
        <w:t>summary</w:t>
      </w:r>
      <w:r>
        <w:rPr>
          <w:color w:val="4E81BD"/>
          <w:spacing w:val="-4"/>
        </w:rPr>
        <w:t> </w:t>
      </w:r>
      <w:r>
        <w:rPr>
          <w:color w:val="4E81BD"/>
        </w:rPr>
        <w:t>of</w:t>
      </w:r>
      <w:r>
        <w:rPr>
          <w:color w:val="4E81BD"/>
          <w:spacing w:val="-1"/>
        </w:rPr>
        <w:t> </w:t>
      </w:r>
      <w:r>
        <w:rPr>
          <w:color w:val="4E81BD"/>
        </w:rPr>
        <w:t>the</w:t>
      </w:r>
      <w:r>
        <w:rPr>
          <w:color w:val="4E81BD"/>
          <w:spacing w:val="-1"/>
        </w:rPr>
        <w:t> </w:t>
      </w:r>
      <w:r>
        <w:rPr>
          <w:color w:val="4E81BD"/>
        </w:rPr>
        <w:t>action plan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Heading5"/>
        <w:spacing w:before="1"/>
        <w:jc w:val="left"/>
      </w:pPr>
      <w:bookmarkStart w:name="Structure" w:id="81"/>
      <w:bookmarkEnd w:id="81"/>
      <w:r>
        <w:rPr>
          <w:b w:val="0"/>
          <w:i w:val="0"/>
        </w:rPr>
      </w:r>
      <w:r>
        <w:rPr/>
        <w:t>Structure</w:t>
      </w:r>
    </w:p>
    <w:p>
      <w:pPr>
        <w:pStyle w:val="BodyText"/>
        <w:spacing w:before="9"/>
        <w:rPr>
          <w:rFonts w:ascii="Arial"/>
          <w:b/>
          <w:i/>
          <w:sz w:val="18"/>
        </w:rPr>
      </w:pPr>
    </w:p>
    <w:p>
      <w:pPr>
        <w:pStyle w:val="BodyText"/>
        <w:spacing w:line="271" w:lineRule="auto" w:before="1"/>
        <w:ind w:left="183" w:right="301"/>
        <w:jc w:val="both"/>
      </w:pPr>
      <w:r>
        <w:rPr/>
        <w:t>This action plan includes ten policy actions across three areas of recommendations to be implemented</w:t>
      </w:r>
      <w:r>
        <w:rPr>
          <w:spacing w:val="1"/>
        </w:rPr>
        <w:t> </w:t>
      </w:r>
      <w:r>
        <w:rPr/>
        <w:t>between 2021 and 2024, and aims to provide a roadmap for the Slovak government to implement higher</w:t>
      </w:r>
      <w:r>
        <w:rPr>
          <w:spacing w:val="1"/>
        </w:rPr>
        <w:t> </w:t>
      </w:r>
      <w:r>
        <w:rPr/>
        <w:t>education reform</w:t>
      </w:r>
      <w:r>
        <w:rPr>
          <w:spacing w:val="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carefully</w:t>
      </w:r>
      <w:r>
        <w:rPr>
          <w:spacing w:val="-4"/>
        </w:rPr>
        <w:t> </w:t>
      </w:r>
      <w:r>
        <w:rPr/>
        <w:t>sequenced</w:t>
      </w:r>
      <w:r>
        <w:rPr>
          <w:spacing w:val="-2"/>
        </w:rPr>
        <w:t> </w:t>
      </w:r>
      <w:r>
        <w:rPr/>
        <w:t>manner.</w:t>
      </w:r>
    </w:p>
    <w:p>
      <w:pPr>
        <w:pStyle w:val="BodyText"/>
        <w:spacing w:before="120"/>
        <w:ind w:left="183"/>
        <w:jc w:val="both"/>
      </w:pPr>
      <w:r>
        <w:rPr/>
        <w:t>Each</w:t>
      </w:r>
      <w:r>
        <w:rPr>
          <w:spacing w:val="14"/>
        </w:rPr>
        <w:t> </w:t>
      </w:r>
      <w:r>
        <w:rPr/>
        <w:t>area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recommendation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regarded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8"/>
        </w:rPr>
        <w:t> </w:t>
      </w:r>
      <w:r>
        <w:rPr/>
        <w:t>step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reform</w:t>
      </w:r>
      <w:r>
        <w:rPr>
          <w:spacing w:val="17"/>
        </w:rPr>
        <w:t> </w:t>
      </w:r>
      <w:r>
        <w:rPr/>
        <w:t>process,</w:t>
      </w:r>
      <w:r>
        <w:rPr>
          <w:spacing w:val="12"/>
        </w:rPr>
        <w:t> </w:t>
      </w:r>
      <w:r>
        <w:rPr/>
        <w:t>although</w:t>
      </w:r>
      <w:r>
        <w:rPr>
          <w:spacing w:val="14"/>
        </w:rPr>
        <w:t> </w:t>
      </w:r>
      <w:r>
        <w:rPr/>
        <w:t>there</w:t>
      </w:r>
      <w:r>
        <w:rPr>
          <w:spacing w:val="18"/>
        </w:rPr>
        <w:t> </w:t>
      </w:r>
      <w:r>
        <w:rPr/>
        <w:t>will</w:t>
      </w:r>
      <w:r>
        <w:rPr>
          <w:spacing w:val="15"/>
        </w:rPr>
        <w:t> </w:t>
      </w:r>
      <w:r>
        <w:rPr/>
        <w:t>be</w:t>
      </w:r>
    </w:p>
    <w:p>
      <w:pPr>
        <w:pStyle w:val="BodyText"/>
        <w:spacing w:before="32"/>
        <w:ind w:left="183"/>
        <w:jc w:val="both"/>
      </w:pPr>
      <w:r>
        <w:rPr/>
        <w:t>some</w:t>
      </w:r>
      <w:r>
        <w:rPr>
          <w:spacing w:val="-4"/>
        </w:rPr>
        <w:t> </w:t>
      </w:r>
      <w:r>
        <w:rPr/>
        <w:t>timing</w:t>
      </w:r>
      <w:r>
        <w:rPr>
          <w:spacing w:val="-5"/>
        </w:rPr>
        <w:t> </w:t>
      </w:r>
      <w:r>
        <w:rPr/>
        <w:t>overlap,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noted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action</w:t>
      </w:r>
      <w:r>
        <w:rPr>
          <w:spacing w:val="-3"/>
        </w:rPr>
        <w:t> </w:t>
      </w:r>
      <w:r>
        <w:rPr/>
        <w:t>plan’s</w:t>
      </w:r>
      <w:r>
        <w:rPr>
          <w:spacing w:val="-3"/>
        </w:rPr>
        <w:t> </w:t>
      </w:r>
      <w:r>
        <w:rPr/>
        <w:t>summary</w:t>
      </w:r>
      <w:r>
        <w:rPr>
          <w:spacing w:val="-6"/>
        </w:rPr>
        <w:t> </w:t>
      </w:r>
      <w:r>
        <w:rPr/>
        <w:t>table</w:t>
      </w:r>
      <w:r>
        <w:rPr>
          <w:spacing w:val="-3"/>
        </w:rPr>
        <w:t> </w:t>
      </w:r>
      <w:r>
        <w:rPr/>
        <w:t>provided</w:t>
      </w:r>
      <w:r>
        <w:rPr>
          <w:spacing w:val="3"/>
        </w:rPr>
        <w:t> </w:t>
      </w:r>
      <w:r>
        <w:rPr/>
        <w:t>below:</w:t>
      </w:r>
    </w:p>
    <w:p>
      <w:pPr>
        <w:pStyle w:val="Heading8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128" w:after="0"/>
        <w:ind w:left="862" w:right="0" w:hanging="339"/>
        <w:jc w:val="left"/>
      </w:pPr>
      <w:r>
        <w:rPr/>
        <w:t>Action</w:t>
      </w:r>
      <w:r>
        <w:rPr>
          <w:spacing w:val="-3"/>
        </w:rPr>
        <w:t> </w:t>
      </w:r>
      <w:r>
        <w:rPr/>
        <w:t>Step</w:t>
      </w:r>
      <w:r>
        <w:rPr>
          <w:spacing w:val="-2"/>
        </w:rPr>
        <w:t> </w:t>
      </w:r>
      <w:r>
        <w:rPr/>
        <w:t>1:</w:t>
      </w:r>
      <w:r>
        <w:rPr>
          <w:spacing w:val="-4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implementing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co-ordinated</w:t>
      </w:r>
      <w:r>
        <w:rPr>
          <w:spacing w:val="-5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strategy</w:t>
      </w:r>
    </w:p>
    <w:p>
      <w:pPr>
        <w:pStyle w:val="BodyText"/>
        <w:spacing w:line="271" w:lineRule="auto" w:before="88"/>
        <w:ind w:left="862" w:right="301"/>
        <w:jc w:val="both"/>
      </w:pPr>
      <w:r>
        <w:rPr/>
        <w:t>The Government of the Slovak Republic has a key role to play in developing a higher education</w:t>
      </w:r>
      <w:r>
        <w:rPr>
          <w:spacing w:val="1"/>
        </w:rPr>
        <w:t> </w:t>
      </w:r>
      <w:r>
        <w:rPr/>
        <w:t>strategy in close collaboration with autonomous higher education institutions (HEIs). Such a</w:t>
      </w:r>
      <w:r>
        <w:rPr>
          <w:spacing w:val="1"/>
        </w:rPr>
        <w:t> </w:t>
      </w:r>
      <w:r>
        <w:rPr/>
        <w:t>strategy needs to be ambitious but realistic, well communicated, and supported by a large share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institutional</w:t>
      </w:r>
      <w:r>
        <w:rPr>
          <w:spacing w:val="-2"/>
        </w:rPr>
        <w:t> </w:t>
      </w:r>
      <w:r>
        <w:rPr/>
        <w:t>culture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practices.</w:t>
      </w:r>
    </w:p>
    <w:p>
      <w:pPr>
        <w:pStyle w:val="BodyText"/>
        <w:spacing w:line="271" w:lineRule="auto" w:before="63"/>
        <w:ind w:left="862" w:right="310"/>
        <w:jc w:val="both"/>
      </w:pPr>
      <w:r>
        <w:rPr/>
        <w:t>It needs to build on a shared, evidence-based understanding of higher education challenges,</w:t>
      </w:r>
      <w:r>
        <w:rPr>
          <w:spacing w:val="1"/>
        </w:rPr>
        <w:t> </w:t>
      </w:r>
      <w:r>
        <w:rPr>
          <w:spacing w:val="-1"/>
        </w:rPr>
        <w:t>identify</w:t>
      </w:r>
      <w:r>
        <w:rPr>
          <w:spacing w:val="-16"/>
        </w:rPr>
        <w:t> </w:t>
      </w:r>
      <w:r>
        <w:rPr>
          <w:spacing w:val="-1"/>
        </w:rPr>
        <w:t>clear</w:t>
      </w:r>
      <w:r>
        <w:rPr>
          <w:spacing w:val="-11"/>
        </w:rPr>
        <w:t> </w:t>
      </w:r>
      <w:r>
        <w:rPr>
          <w:spacing w:val="-1"/>
        </w:rPr>
        <w:t>objectives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public</w:t>
      </w:r>
      <w:r>
        <w:rPr>
          <w:spacing w:val="-8"/>
        </w:rPr>
        <w:t> </w:t>
      </w:r>
      <w:r>
        <w:rPr>
          <w:spacing w:val="-1"/>
        </w:rPr>
        <w:t>policy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institutional</w:t>
      </w:r>
      <w:r>
        <w:rPr>
          <w:spacing w:val="-11"/>
        </w:rPr>
        <w:t> </w:t>
      </w:r>
      <w:r>
        <w:rPr/>
        <w:t>actions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achieve</w:t>
      </w:r>
      <w:r>
        <w:rPr>
          <w:spacing w:val="-12"/>
        </w:rPr>
        <w:t> </w:t>
      </w:r>
      <w:r>
        <w:rPr/>
        <w:t>them.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also</w:t>
      </w:r>
      <w:r>
        <w:rPr>
          <w:spacing w:val="-10"/>
        </w:rPr>
        <w:t> </w:t>
      </w:r>
      <w:r>
        <w:rPr/>
        <w:t>needs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plan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implement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monitor</w:t>
      </w:r>
      <w:r>
        <w:rPr>
          <w:spacing w:val="-2"/>
        </w:rPr>
        <w:t> </w:t>
      </w:r>
      <w:r>
        <w:rPr/>
        <w:t>progress</w:t>
      </w:r>
      <w:r>
        <w:rPr>
          <w:spacing w:val="-2"/>
        </w:rPr>
        <w:t> </w:t>
      </w:r>
      <w:r>
        <w:rPr/>
        <w:t>towards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271" w:lineRule="auto" w:before="60"/>
        <w:ind w:left="862" w:right="304"/>
        <w:jc w:val="both"/>
      </w:pPr>
      <w:r>
        <w:rPr/>
        <w:t>Well-designed institutional contracts can help translate the strategy at the institutional level,</w:t>
      </w:r>
      <w:r>
        <w:rPr>
          <w:spacing w:val="1"/>
        </w:rPr>
        <w:t> </w:t>
      </w:r>
      <w:r>
        <w:rPr/>
        <w:t>provided government and</w:t>
      </w:r>
      <w:r>
        <w:rPr>
          <w:spacing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 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 such contracts</w:t>
      </w:r>
      <w:r>
        <w:rPr>
          <w:spacing w:val="1"/>
        </w:rPr>
        <w:t> </w:t>
      </w:r>
      <w:r>
        <w:rPr/>
        <w:t>effectively.</w:t>
      </w:r>
      <w:r>
        <w:rPr>
          <w:spacing w:val="-7"/>
        </w:rPr>
        <w:t> </w:t>
      </w:r>
      <w:r>
        <w:rPr/>
        <w:t>Collaboration</w:t>
      </w:r>
      <w:r>
        <w:rPr>
          <w:spacing w:val="-8"/>
        </w:rPr>
        <w:t> </w:t>
      </w:r>
      <w:r>
        <w:rPr/>
        <w:t>between</w:t>
      </w:r>
      <w:r>
        <w:rPr>
          <w:spacing w:val="-5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HEIs</w:t>
      </w:r>
      <w:r>
        <w:rPr>
          <w:spacing w:val="-6"/>
        </w:rPr>
        <w:t> </w:t>
      </w:r>
      <w:r>
        <w:rPr/>
        <w:t>needs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effective</w:t>
      </w:r>
      <w:r>
        <w:rPr>
          <w:spacing w:val="-54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institutional</w:t>
      </w:r>
      <w:r>
        <w:rPr>
          <w:spacing w:val="-7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key</w:t>
      </w:r>
      <w:r>
        <w:rPr>
          <w:spacing w:val="-10"/>
        </w:rPr>
        <w:t> </w:t>
      </w:r>
      <w:r>
        <w:rPr/>
        <w:t>tool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Slovak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education.</w:t>
      </w:r>
    </w:p>
    <w:p>
      <w:pPr>
        <w:pStyle w:val="Heading8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45" w:after="0"/>
        <w:ind w:left="862" w:right="0" w:hanging="339"/>
        <w:jc w:val="left"/>
      </w:pPr>
      <w:r>
        <w:rPr/>
        <w:t>Action</w:t>
      </w:r>
      <w:r>
        <w:rPr>
          <w:spacing w:val="-3"/>
        </w:rPr>
        <w:t> </w:t>
      </w:r>
      <w:r>
        <w:rPr/>
        <w:t>Step</w:t>
      </w:r>
      <w:r>
        <w:rPr>
          <w:spacing w:val="-2"/>
        </w:rPr>
        <w:t> </w:t>
      </w:r>
      <w:r>
        <w:rPr/>
        <w:t>2: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funding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enable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reward</w:t>
      </w:r>
      <w:r>
        <w:rPr>
          <w:spacing w:val="-3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performance</w:t>
      </w:r>
    </w:p>
    <w:p>
      <w:pPr>
        <w:pStyle w:val="BodyText"/>
        <w:spacing w:line="271" w:lineRule="auto" w:before="90"/>
        <w:ind w:left="862" w:right="305"/>
        <w:jc w:val="both"/>
      </w:pPr>
      <w:r>
        <w:rPr/>
        <w:t>The level of public funding and the method through which government allocates it to HEIs can,</w:t>
      </w:r>
      <w:r>
        <w:rPr>
          <w:spacing w:val="1"/>
        </w:rPr>
        <w:t> </w:t>
      </w:r>
      <w:r>
        <w:rPr/>
        <w:t>together, constitute powerful policy levers to shape institutional behaviours and improve quality in</w:t>
      </w:r>
      <w:r>
        <w:rPr>
          <w:spacing w:val="-53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levers,</w:t>
      </w:r>
      <w:r>
        <w:rPr>
          <w:spacing w:val="1"/>
        </w:rPr>
        <w:t> </w:t>
      </w:r>
      <w:r>
        <w:rPr/>
        <w:t>investments need to be designed to enable and incentivise an institutional culture focused on</w:t>
      </w:r>
      <w:r>
        <w:rPr>
          <w:spacing w:val="1"/>
        </w:rPr>
        <w:t> </w:t>
      </w:r>
      <w:r>
        <w:rPr/>
        <w:t>continuous improvement. This means that the actions of HEIs, as well as those of individual staff</w:t>
      </w:r>
      <w:r>
        <w:rPr>
          <w:spacing w:val="1"/>
        </w:rPr>
        <w:t> </w:t>
      </w:r>
      <w:r>
        <w:rPr/>
        <w:t>and students, need to collectively focus on the continuous improvement of teaching and learning,</w:t>
      </w:r>
      <w:r>
        <w:rPr>
          <w:spacing w:val="-5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engagement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wider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271" w:lineRule="auto" w:before="61"/>
        <w:ind w:left="862" w:right="303"/>
        <w:jc w:val="both"/>
      </w:pPr>
      <w:r>
        <w:rPr/>
        <w:t>This</w:t>
      </w:r>
      <w:r>
        <w:rPr>
          <w:spacing w:val="-5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detailed</w:t>
      </w:r>
      <w:r>
        <w:rPr>
          <w:spacing w:val="-5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current</w:t>
      </w:r>
      <w:r>
        <w:rPr>
          <w:spacing w:val="-4"/>
        </w:rPr>
        <w:t> </w:t>
      </w:r>
      <w:r>
        <w:rPr/>
        <w:t>barriers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quality</w:t>
      </w:r>
      <w:r>
        <w:rPr>
          <w:spacing w:val="-6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issues</w:t>
      </w:r>
      <w:r>
        <w:rPr>
          <w:spacing w:val="-53"/>
        </w:rPr>
        <w:t> </w:t>
      </w:r>
      <w:r>
        <w:rPr/>
        <w:t>that may be addressed through funding mechanisms and those that require other changes, such</w:t>
      </w:r>
      <w:r>
        <w:rPr>
          <w:spacing w:val="1"/>
        </w:rPr>
        <w:t> </w:t>
      </w:r>
      <w:r>
        <w:rPr/>
        <w:t>as changes to the legislative and policy framework. It also requires making budget provisions to</w:t>
      </w:r>
      <w:r>
        <w:rPr>
          <w:spacing w:val="1"/>
        </w:rPr>
        <w:t> </w:t>
      </w:r>
      <w:r>
        <w:rPr/>
        <w:t>help HEIs build professional teams to ensure transparent and effective use of funding and to help</w:t>
      </w:r>
      <w:r>
        <w:rPr>
          <w:spacing w:val="-53"/>
        </w:rPr>
        <w:t> </w:t>
      </w:r>
      <w:r>
        <w:rPr/>
        <w:t>public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institutional</w:t>
      </w:r>
      <w:r>
        <w:rPr>
          <w:spacing w:val="-3"/>
        </w:rPr>
        <w:t> </w:t>
      </w:r>
      <w:r>
        <w:rPr/>
        <w:t>contracts.</w:t>
      </w:r>
    </w:p>
    <w:p>
      <w:pPr>
        <w:pStyle w:val="Heading8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47" w:after="0"/>
        <w:ind w:left="862" w:right="0" w:hanging="339"/>
        <w:jc w:val="left"/>
      </w:pPr>
      <w:r>
        <w:rPr/>
        <w:t>Action</w:t>
      </w:r>
      <w:r>
        <w:rPr>
          <w:spacing w:val="-4"/>
        </w:rPr>
        <w:t> </w:t>
      </w:r>
      <w:r>
        <w:rPr/>
        <w:t>Step</w:t>
      </w:r>
      <w:r>
        <w:rPr>
          <w:spacing w:val="-4"/>
        </w:rPr>
        <w:t> </w:t>
      </w:r>
      <w:r>
        <w:rPr/>
        <w:t>3:</w:t>
      </w:r>
      <w:r>
        <w:rPr>
          <w:spacing w:val="-6"/>
        </w:rPr>
        <w:t> </w:t>
      </w:r>
      <w:r>
        <w:rPr/>
        <w:t>Enabling</w:t>
      </w:r>
      <w:r>
        <w:rPr>
          <w:spacing w:val="-4"/>
        </w:rPr>
        <w:t> </w:t>
      </w:r>
      <w:r>
        <w:rPr/>
        <w:t>responsive</w:t>
      </w:r>
      <w:r>
        <w:rPr>
          <w:spacing w:val="-6"/>
        </w:rPr>
        <w:t> </w:t>
      </w:r>
      <w:r>
        <w:rPr/>
        <w:t>institutional</w:t>
      </w:r>
      <w:r>
        <w:rPr>
          <w:spacing w:val="-7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management</w:t>
      </w:r>
    </w:p>
    <w:p>
      <w:pPr>
        <w:pStyle w:val="BodyText"/>
        <w:spacing w:line="271" w:lineRule="auto" w:before="88"/>
        <w:ind w:left="862" w:right="311"/>
        <w:jc w:val="both"/>
      </w:pPr>
      <w:r>
        <w:rPr/>
        <w:t>Successfully implementing higher education reform requires that HEIs have governance and</w:t>
      </w:r>
      <w:r>
        <w:rPr>
          <w:spacing w:val="1"/>
        </w:rPr>
        <w:t> </w:t>
      </w:r>
      <w:r>
        <w:rPr/>
        <w:t>management arrangements that permit them to make strategic use of public investments to</w:t>
      </w:r>
      <w:r>
        <w:rPr>
          <w:spacing w:val="1"/>
        </w:rPr>
        <w:t> </w:t>
      </w:r>
      <w:r>
        <w:rPr/>
        <w:t>advance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priorities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objectives.</w:t>
      </w:r>
    </w:p>
    <w:p>
      <w:pPr>
        <w:pStyle w:val="BodyText"/>
        <w:spacing w:line="271" w:lineRule="auto" w:before="61"/>
        <w:ind w:left="862" w:right="303"/>
        <w:jc w:val="both"/>
      </w:pPr>
      <w:r>
        <w:rPr/>
        <w:t>Governance and management arrangements must be designed in a way that strikes a balance</w:t>
      </w:r>
      <w:r>
        <w:rPr>
          <w:spacing w:val="1"/>
        </w:rPr>
        <w:t> </w:t>
      </w:r>
      <w:r>
        <w:rPr/>
        <w:t>between the legitimate interest of the government to ensure strategic, efficient and accountable</w:t>
      </w:r>
      <w:r>
        <w:rPr>
          <w:spacing w:val="1"/>
        </w:rPr>
        <w:t> </w:t>
      </w:r>
      <w:r>
        <w:rPr/>
        <w:t>use of public resources and the essential need for HEIs to function with full scientific and artistic</w:t>
      </w:r>
      <w:r>
        <w:rPr>
          <w:spacing w:val="1"/>
        </w:rPr>
        <w:t> </w:t>
      </w:r>
      <w:r>
        <w:rPr/>
        <w:t>autonomy</w:t>
      </w:r>
      <w:r>
        <w:rPr>
          <w:spacing w:val="-8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government.</w:t>
      </w:r>
    </w:p>
    <w:p>
      <w:pPr>
        <w:pStyle w:val="BodyText"/>
        <w:spacing w:line="271" w:lineRule="auto" w:before="62"/>
        <w:ind w:left="862" w:right="311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development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appropriate</w:t>
      </w:r>
      <w:r>
        <w:rPr>
          <w:spacing w:val="-10"/>
        </w:rPr>
        <w:t> </w:t>
      </w:r>
      <w:r>
        <w:rPr>
          <w:spacing w:val="-1"/>
        </w:rPr>
        <w:t>governance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arrangements</w:t>
      </w:r>
      <w:r>
        <w:rPr>
          <w:spacing w:val="-11"/>
        </w:rPr>
        <w:t> </w:t>
      </w:r>
      <w:r>
        <w:rPr/>
        <w:t>thus</w:t>
      </w:r>
      <w:r>
        <w:rPr>
          <w:spacing w:val="-9"/>
        </w:rPr>
        <w:t> </w:t>
      </w:r>
      <w:r>
        <w:rPr/>
        <w:t>requires</w:t>
      </w:r>
      <w:r>
        <w:rPr>
          <w:spacing w:val="-8"/>
        </w:rPr>
        <w:t> </w:t>
      </w:r>
      <w:r>
        <w:rPr/>
        <w:t>careful</w:t>
      </w:r>
      <w:r>
        <w:rPr>
          <w:spacing w:val="1"/>
        </w:rPr>
        <w:t> </w:t>
      </w:r>
      <w:r>
        <w:rPr/>
        <w:t>delineation</w:t>
      </w:r>
      <w:r>
        <w:rPr>
          <w:spacing w:val="11"/>
        </w:rPr>
        <w:t> </w:t>
      </w:r>
      <w:r>
        <w:rPr/>
        <w:t>between</w:t>
      </w:r>
      <w:r>
        <w:rPr>
          <w:spacing w:val="10"/>
        </w:rPr>
        <w:t> </w:t>
      </w:r>
      <w:r>
        <w:rPr/>
        <w:t>key</w:t>
      </w:r>
      <w:r>
        <w:rPr>
          <w:spacing w:val="8"/>
        </w:rPr>
        <w:t> </w:t>
      </w:r>
      <w:r>
        <w:rPr/>
        <w:t>principles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need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established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law,</w:t>
      </w:r>
      <w:r>
        <w:rPr>
          <w:spacing w:val="12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3"/>
        </w:rPr>
        <w:t> </w:t>
      </w:r>
      <w:r>
        <w:rPr/>
        <w:t>enabling</w:t>
      </w:r>
      <w:r>
        <w:rPr>
          <w:spacing w:val="10"/>
        </w:rPr>
        <w:t> </w:t>
      </w:r>
      <w:r>
        <w:rPr/>
        <w:t>HEIs</w:t>
      </w:r>
      <w:r>
        <w:rPr>
          <w:spacing w:val="11"/>
        </w:rPr>
        <w:t> </w:t>
      </w:r>
      <w:r>
        <w:rPr/>
        <w:t>to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line="271" w:lineRule="auto" w:before="185"/>
        <w:ind w:left="862" w:right="310"/>
        <w:jc w:val="both"/>
      </w:pPr>
      <w:r>
        <w:rPr/>
        <w:t>responsibly exercise their autonomy based on a clear profile and mission and organisational</w:t>
      </w:r>
      <w:r>
        <w:rPr>
          <w:spacing w:val="1"/>
        </w:rPr>
        <w:t> </w:t>
      </w:r>
      <w:r>
        <w:rPr/>
        <w:t>choices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HEIs</w:t>
      </w:r>
      <w:r>
        <w:rPr>
          <w:spacing w:val="-1"/>
        </w:rPr>
        <w:t> </w:t>
      </w:r>
      <w:r>
        <w:rPr/>
        <w:t>must</w:t>
      </w:r>
      <w:r>
        <w:rPr>
          <w:spacing w:val="-4"/>
        </w:rPr>
        <w:t> </w:t>
      </w:r>
      <w:r>
        <w:rPr/>
        <w:t>make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/>
        <w:t>upon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characteristics.</w:t>
      </w:r>
    </w:p>
    <w:p>
      <w:pPr>
        <w:pStyle w:val="BodyText"/>
        <w:spacing w:line="271" w:lineRule="auto" w:before="59"/>
        <w:ind w:left="862" w:right="301"/>
        <w:jc w:val="both"/>
      </w:pPr>
      <w:r>
        <w:rPr/>
        <w:t>Developing appropriate governance and management structures and processes is a challenging</w:t>
      </w:r>
      <w:r>
        <w:rPr>
          <w:spacing w:val="1"/>
        </w:rPr>
        <w:t> </w:t>
      </w:r>
      <w:r>
        <w:rPr/>
        <w:t>process. While it requires a legal framework that sets key parameters and provides sufficient</w:t>
      </w:r>
      <w:r>
        <w:rPr>
          <w:spacing w:val="1"/>
        </w:rPr>
        <w:t> </w:t>
      </w:r>
      <w:r>
        <w:rPr/>
        <w:t>flexibility for HEIs to manage their own affairs, such a process fundamentally requires committed</w:t>
      </w:r>
      <w:r>
        <w:rPr>
          <w:spacing w:val="1"/>
        </w:rPr>
        <w:t> </w:t>
      </w:r>
      <w:r>
        <w:rPr/>
        <w:t>individuals in institutional governing and management bodies who have appropriate supports and</w:t>
      </w:r>
      <w:r>
        <w:rPr>
          <w:spacing w:val="-53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shift</w:t>
      </w:r>
      <w:r>
        <w:rPr>
          <w:spacing w:val="55"/>
        </w:rPr>
        <w:t> </w:t>
      </w:r>
      <w:r>
        <w:rPr/>
        <w:t>institutional</w:t>
      </w:r>
      <w:r>
        <w:rPr>
          <w:spacing w:val="56"/>
        </w:rPr>
        <w:t> </w:t>
      </w:r>
      <w:r>
        <w:rPr/>
        <w:t>practices.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shift</w:t>
      </w:r>
      <w:r>
        <w:rPr>
          <w:spacing w:val="55"/>
        </w:rPr>
        <w:t> </w:t>
      </w:r>
      <w:r>
        <w:rPr/>
        <w:t>required</w:t>
      </w:r>
      <w:r>
        <w:rPr>
          <w:spacing w:val="56"/>
        </w:rPr>
        <w:t> </w:t>
      </w:r>
      <w:r>
        <w:rPr/>
        <w:t>is</w:t>
      </w:r>
      <w:r>
        <w:rPr>
          <w:spacing w:val="55"/>
        </w:rPr>
        <w:t> </w:t>
      </w:r>
      <w:r>
        <w:rPr/>
        <w:t>one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would</w:t>
      </w:r>
      <w:r>
        <w:rPr>
          <w:spacing w:val="55"/>
        </w:rPr>
        <w:t> </w:t>
      </w:r>
      <w:r>
        <w:rPr/>
        <w:t>take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 from a higher education model largely concerned with meeting the fast-growing</w:t>
      </w:r>
      <w:r>
        <w:rPr>
          <w:spacing w:val="1"/>
        </w:rPr>
        <w:t> </w:t>
      </w:r>
      <w:r>
        <w:rPr/>
        <w:t>student demand observed in the 1990s and 2000s to one where student enrolment is decreasing,</w:t>
      </w:r>
      <w:r>
        <w:rPr>
          <w:spacing w:val="-53"/>
        </w:rPr>
        <w:t> </w:t>
      </w:r>
      <w:r>
        <w:rPr/>
        <w:t>performance remains low, and where HEIs need to re-evaluate their role to best respond to a</w:t>
      </w:r>
      <w:r>
        <w:rPr>
          <w:spacing w:val="1"/>
        </w:rPr>
        <w:t> </w:t>
      </w:r>
      <w:r>
        <w:rPr/>
        <w:t>changing</w:t>
      </w:r>
      <w:r>
        <w:rPr>
          <w:spacing w:val="-2"/>
        </w:rPr>
        <w:t> </w:t>
      </w:r>
      <w:r>
        <w:rPr/>
        <w:t>global</w:t>
      </w:r>
      <w:r>
        <w:rPr>
          <w:spacing w:val="-3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needs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wider</w:t>
      </w:r>
      <w:r>
        <w:rPr>
          <w:spacing w:val="-2"/>
        </w:rPr>
        <w:t> </w:t>
      </w:r>
      <w:r>
        <w:rPr/>
        <w:t>Slovak economy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society.</w:t>
      </w:r>
    </w:p>
    <w:p>
      <w:pPr>
        <w:pStyle w:val="BodyText"/>
        <w:spacing w:line="273" w:lineRule="auto" w:before="128"/>
        <w:ind w:left="183" w:right="306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follow,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recommendation.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recommendation, we</w:t>
      </w:r>
      <w:r>
        <w:rPr>
          <w:spacing w:val="-1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sequence: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97" w:after="0"/>
        <w:ind w:left="862" w:right="0" w:hanging="339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current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policy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practice,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Challenges</w:t>
      </w:r>
      <w:r>
        <w:rPr>
          <w:spacing w:val="-3"/>
          <w:sz w:val="20"/>
        </w:rPr>
        <w:t> </w:t>
      </w:r>
      <w:r>
        <w:rPr>
          <w:sz w:val="20"/>
        </w:rPr>
        <w:t>limiting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adoption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effective</w:t>
      </w:r>
      <w:r>
        <w:rPr>
          <w:spacing w:val="-5"/>
          <w:sz w:val="20"/>
        </w:rPr>
        <w:t> </w:t>
      </w:r>
      <w:r>
        <w:rPr>
          <w:sz w:val="20"/>
        </w:rPr>
        <w:t>reforms,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7" w:after="0"/>
        <w:ind w:left="862" w:right="0" w:hanging="339"/>
        <w:jc w:val="left"/>
        <w:rPr>
          <w:sz w:val="20"/>
        </w:rPr>
      </w:pPr>
      <w:r>
        <w:rPr>
          <w:sz w:val="20"/>
        </w:rPr>
        <w:t>Relevant</w:t>
      </w:r>
      <w:r>
        <w:rPr>
          <w:spacing w:val="-3"/>
          <w:sz w:val="20"/>
        </w:rPr>
        <w:t> </w:t>
      </w:r>
      <w:r>
        <w:rPr>
          <w:sz w:val="20"/>
        </w:rPr>
        <w:t>international</w:t>
      </w:r>
      <w:r>
        <w:rPr>
          <w:spacing w:val="-4"/>
          <w:sz w:val="20"/>
        </w:rPr>
        <w:t> </w:t>
      </w:r>
      <w:r>
        <w:rPr>
          <w:sz w:val="20"/>
        </w:rPr>
        <w:t>experience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points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possible</w:t>
      </w:r>
      <w:r>
        <w:rPr>
          <w:spacing w:val="-5"/>
          <w:sz w:val="20"/>
        </w:rPr>
        <w:t> </w:t>
      </w:r>
      <w:r>
        <w:rPr>
          <w:sz w:val="20"/>
        </w:rPr>
        <w:t>policy</w:t>
      </w:r>
      <w:r>
        <w:rPr>
          <w:spacing w:val="-8"/>
          <w:sz w:val="20"/>
        </w:rPr>
        <w:t> </w:t>
      </w:r>
      <w:r>
        <w:rPr>
          <w:sz w:val="20"/>
        </w:rPr>
        <w:t>reforms,</w:t>
      </w:r>
      <w:r>
        <w:rPr>
          <w:spacing w:val="-2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Concrete</w:t>
      </w:r>
      <w:r>
        <w:rPr>
          <w:spacing w:val="-4"/>
          <w:sz w:val="20"/>
        </w:rPr>
        <w:t> </w:t>
      </w:r>
      <w:r>
        <w:rPr>
          <w:sz w:val="20"/>
        </w:rPr>
        <w:t>policy</w:t>
      </w:r>
      <w:r>
        <w:rPr>
          <w:spacing w:val="-5"/>
          <w:sz w:val="20"/>
        </w:rPr>
        <w:t> </w:t>
      </w:r>
      <w:r>
        <w:rPr>
          <w:sz w:val="20"/>
        </w:rPr>
        <w:t>actions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Slovak</w:t>
      </w:r>
      <w:r>
        <w:rPr>
          <w:spacing w:val="-1"/>
          <w:sz w:val="20"/>
        </w:rPr>
        <w:t> </w:t>
      </w:r>
      <w:r>
        <w:rPr>
          <w:sz w:val="20"/>
        </w:rPr>
        <w:t>government</w:t>
      </w:r>
      <w:r>
        <w:rPr>
          <w:spacing w:val="-4"/>
          <w:sz w:val="20"/>
        </w:rPr>
        <w:t> </w:t>
      </w:r>
      <w:r>
        <w:rPr>
          <w:sz w:val="20"/>
        </w:rPr>
        <w:t>may</w:t>
      </w:r>
      <w:r>
        <w:rPr>
          <w:spacing w:val="-5"/>
          <w:sz w:val="20"/>
        </w:rPr>
        <w:t> </w:t>
      </w:r>
      <w:r>
        <w:rPr>
          <w:sz w:val="20"/>
        </w:rPr>
        <w:t>wish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consider.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jc w:val="left"/>
      </w:pPr>
      <w:bookmarkStart w:name="Summary" w:id="82"/>
      <w:bookmarkEnd w:id="82"/>
      <w:r>
        <w:rPr>
          <w:b w:val="0"/>
          <w:i w:val="0"/>
        </w:rPr>
      </w:r>
      <w:r>
        <w:rPr/>
        <w:t>Summary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The</w:t>
      </w:r>
      <w:r>
        <w:rPr>
          <w:spacing w:val="-7"/>
        </w:rPr>
        <w:t> </w:t>
      </w:r>
      <w:r>
        <w:rPr/>
        <w:t>action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builds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advice</w:t>
      </w:r>
      <w:r>
        <w:rPr>
          <w:spacing w:val="-1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by</w:t>
      </w:r>
      <w:r>
        <w:rPr>
          <w:spacing w:val="-9"/>
        </w:rPr>
        <w:t> </w:t>
      </w:r>
      <w:r>
        <w:rPr/>
        <w:t>recent</w:t>
      </w:r>
      <w:r>
        <w:rPr>
          <w:spacing w:val="-2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projects,</w:t>
      </w:r>
      <w:r>
        <w:rPr>
          <w:spacing w:val="-6"/>
        </w:rPr>
        <w:t> </w:t>
      </w:r>
      <w:r>
        <w:rPr/>
        <w:t>input</w:t>
      </w:r>
      <w:r>
        <w:rPr>
          <w:spacing w:val="1"/>
        </w:rPr>
        <w:t> </w:t>
      </w:r>
      <w:r>
        <w:rPr>
          <w:spacing w:val="-1"/>
        </w:rPr>
        <w:t>provided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Slovak</w:t>
      </w:r>
      <w:r>
        <w:rPr>
          <w:spacing w:val="-10"/>
        </w:rPr>
        <w:t> </w:t>
      </w:r>
      <w:r>
        <w:rPr>
          <w:spacing w:val="-1"/>
        </w:rPr>
        <w:t>stakeholders</w:t>
      </w:r>
      <w:r>
        <w:rPr>
          <w:spacing w:val="-12"/>
        </w:rPr>
        <w:t> </w:t>
      </w:r>
      <w:r>
        <w:rPr>
          <w:spacing w:val="-1"/>
        </w:rPr>
        <w:t>throughout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project,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rich</w:t>
      </w:r>
      <w:r>
        <w:rPr>
          <w:spacing w:val="-11"/>
        </w:rPr>
        <w:t> </w:t>
      </w:r>
      <w:r>
        <w:rPr/>
        <w:t>body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policy</w:t>
      </w:r>
      <w:r>
        <w:rPr>
          <w:spacing w:val="-14"/>
        </w:rPr>
        <w:t> </w:t>
      </w:r>
      <w:r>
        <w:rPr/>
        <w:t>experience</w:t>
      </w:r>
      <w:r>
        <w:rPr>
          <w:spacing w:val="-10"/>
        </w:rPr>
        <w:t> </w:t>
      </w:r>
      <w:r>
        <w:rPr/>
        <w:t>across</w:t>
      </w:r>
      <w:r>
        <w:rPr>
          <w:spacing w:val="-12"/>
        </w:rPr>
        <w:t> </w:t>
      </w:r>
      <w:r>
        <w:rPr/>
        <w:t>OECD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The following Table lists the policy actions, suggested timeframes, and organisations that might take</w:t>
      </w:r>
      <w:r>
        <w:rPr>
          <w:spacing w:val="1"/>
        </w:rPr>
        <w:t> </w:t>
      </w:r>
      <w:r>
        <w:rPr/>
        <w:t>responsibility for implementing the actions. It also assigns a broad cost estimate to each action: “low”,</w:t>
      </w:r>
      <w:r>
        <w:rPr>
          <w:spacing w:val="1"/>
        </w:rPr>
        <w:t> </w:t>
      </w:r>
      <w:r>
        <w:rPr/>
        <w:t>“medium”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“high”.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indications should be</w:t>
      </w:r>
      <w:r>
        <w:rPr>
          <w:spacing w:val="-1"/>
        </w:rPr>
        <w:t> </w:t>
      </w:r>
      <w:r>
        <w:rPr/>
        <w:t>interpreted as follows: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66" w:lineRule="auto" w:before="100" w:after="0"/>
        <w:ind w:left="862" w:right="316" w:hanging="339"/>
        <w:jc w:val="left"/>
        <w:rPr>
          <w:sz w:val="20"/>
        </w:rPr>
      </w:pPr>
      <w:r>
        <w:rPr>
          <w:rFonts w:ascii="Arial" w:hAnsi="Arial"/>
          <w:b/>
          <w:sz w:val="20"/>
        </w:rPr>
        <w:t>Low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>
          <w:sz w:val="20"/>
        </w:rPr>
        <w:t>Actions</w:t>
      </w:r>
      <w:r>
        <w:rPr>
          <w:spacing w:val="3"/>
          <w:sz w:val="20"/>
        </w:rPr>
        <w:t> </w:t>
      </w:r>
      <w:r>
        <w:rPr>
          <w:sz w:val="20"/>
        </w:rPr>
        <w:t>that</w:t>
      </w:r>
      <w:r>
        <w:rPr>
          <w:spacing w:val="3"/>
          <w:sz w:val="20"/>
        </w:rPr>
        <w:t> </w:t>
      </w:r>
      <w:r>
        <w:rPr>
          <w:sz w:val="20"/>
        </w:rPr>
        <w:t>focus</w:t>
      </w:r>
      <w:r>
        <w:rPr>
          <w:spacing w:val="4"/>
          <w:sz w:val="20"/>
        </w:rPr>
        <w:t> </w:t>
      </w:r>
      <w:r>
        <w:rPr>
          <w:sz w:val="20"/>
        </w:rPr>
        <w:t>on</w:t>
      </w:r>
      <w:r>
        <w:rPr>
          <w:spacing w:val="2"/>
          <w:sz w:val="20"/>
        </w:rPr>
        <w:t> </w:t>
      </w:r>
      <w:r>
        <w:rPr>
          <w:sz w:val="20"/>
        </w:rPr>
        <w:t>policy processes</w:t>
      </w:r>
      <w:r>
        <w:rPr>
          <w:spacing w:val="4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can</w:t>
      </w:r>
      <w:r>
        <w:rPr>
          <w:spacing w:val="2"/>
          <w:sz w:val="20"/>
        </w:rPr>
        <w:t> </w:t>
      </w:r>
      <w:r>
        <w:rPr>
          <w:sz w:val="20"/>
        </w:rPr>
        <w:t>be</w:t>
      </w:r>
      <w:r>
        <w:rPr>
          <w:spacing w:val="3"/>
          <w:sz w:val="20"/>
        </w:rPr>
        <w:t> </w:t>
      </w:r>
      <w:r>
        <w:rPr>
          <w:sz w:val="20"/>
        </w:rPr>
        <w:t>undertaken</w:t>
      </w:r>
      <w:r>
        <w:rPr>
          <w:spacing w:val="2"/>
          <w:sz w:val="20"/>
        </w:rPr>
        <w:t> </w:t>
      </w:r>
      <w:r>
        <w:rPr>
          <w:sz w:val="20"/>
        </w:rPr>
        <w:t>by existing</w:t>
      </w:r>
      <w:r>
        <w:rPr>
          <w:spacing w:val="2"/>
          <w:sz w:val="20"/>
        </w:rPr>
        <w:t> </w:t>
      </w:r>
      <w:r>
        <w:rPr>
          <w:sz w:val="20"/>
        </w:rPr>
        <w:t>bodies</w:t>
      </w:r>
      <w:r>
        <w:rPr>
          <w:spacing w:val="4"/>
          <w:sz w:val="20"/>
        </w:rPr>
        <w:t> </w:t>
      </w:r>
      <w:r>
        <w:rPr>
          <w:sz w:val="20"/>
        </w:rPr>
        <w:t>or</w:t>
      </w:r>
      <w:r>
        <w:rPr>
          <w:spacing w:val="4"/>
          <w:sz w:val="20"/>
        </w:rPr>
        <w:t> </w:t>
      </w:r>
      <w:r>
        <w:rPr>
          <w:sz w:val="20"/>
        </w:rPr>
        <w:t>bodies</w:t>
      </w:r>
      <w:r>
        <w:rPr>
          <w:spacing w:val="-52"/>
          <w:sz w:val="20"/>
        </w:rPr>
        <w:t> </w:t>
      </w:r>
      <w:r>
        <w:rPr>
          <w:sz w:val="20"/>
        </w:rPr>
        <w:t>funded</w:t>
      </w:r>
      <w:r>
        <w:rPr>
          <w:spacing w:val="-2"/>
          <w:sz w:val="20"/>
        </w:rPr>
        <w:t> </w:t>
      </w:r>
      <w:r>
        <w:rPr>
          <w:sz w:val="20"/>
        </w:rPr>
        <w:t>through</w:t>
      </w:r>
      <w:r>
        <w:rPr>
          <w:spacing w:val="-1"/>
          <w:sz w:val="20"/>
        </w:rPr>
        <w:t> </w:t>
      </w:r>
      <w:r>
        <w:rPr>
          <w:sz w:val="20"/>
        </w:rPr>
        <w:t>other actions.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68" w:lineRule="auto" w:before="51" w:after="0"/>
        <w:ind w:left="862" w:right="308" w:hanging="339"/>
        <w:jc w:val="left"/>
        <w:rPr>
          <w:sz w:val="20"/>
        </w:rPr>
      </w:pPr>
      <w:r>
        <w:rPr>
          <w:rFonts w:ascii="Arial" w:hAnsi="Arial"/>
          <w:b/>
          <w:sz w:val="20"/>
        </w:rPr>
        <w:t>Medium</w:t>
      </w:r>
      <w:r>
        <w:rPr>
          <w:sz w:val="20"/>
        </w:rPr>
        <w:t>:</w:t>
      </w:r>
      <w:r>
        <w:rPr>
          <w:spacing w:val="7"/>
          <w:sz w:val="20"/>
        </w:rPr>
        <w:t> </w:t>
      </w:r>
      <w:r>
        <w:rPr>
          <w:sz w:val="20"/>
        </w:rPr>
        <w:t>Actions</w:t>
      </w:r>
      <w:r>
        <w:rPr>
          <w:spacing w:val="8"/>
          <w:sz w:val="20"/>
        </w:rPr>
        <w:t> </w:t>
      </w:r>
      <w:r>
        <w:rPr>
          <w:sz w:val="20"/>
        </w:rPr>
        <w:t>that</w:t>
      </w:r>
      <w:r>
        <w:rPr>
          <w:spacing w:val="7"/>
          <w:sz w:val="20"/>
        </w:rPr>
        <w:t> </w:t>
      </w:r>
      <w:r>
        <w:rPr>
          <w:sz w:val="20"/>
        </w:rPr>
        <w:t>focus</w:t>
      </w:r>
      <w:r>
        <w:rPr>
          <w:spacing w:val="7"/>
          <w:sz w:val="20"/>
        </w:rPr>
        <w:t> </w:t>
      </w:r>
      <w:r>
        <w:rPr>
          <w:sz w:val="20"/>
        </w:rPr>
        <w:t>on</w:t>
      </w:r>
      <w:r>
        <w:rPr>
          <w:spacing w:val="6"/>
          <w:sz w:val="20"/>
        </w:rPr>
        <w:t> </w:t>
      </w:r>
      <w:r>
        <w:rPr>
          <w:sz w:val="20"/>
        </w:rPr>
        <w:t>policy</w:t>
      </w:r>
      <w:r>
        <w:rPr>
          <w:spacing w:val="3"/>
          <w:sz w:val="20"/>
        </w:rPr>
        <w:t> </w:t>
      </w:r>
      <w:r>
        <w:rPr>
          <w:sz w:val="20"/>
        </w:rPr>
        <w:t>processes</w:t>
      </w:r>
      <w:r>
        <w:rPr>
          <w:spacing w:val="8"/>
          <w:sz w:val="20"/>
        </w:rPr>
        <w:t> </w:t>
      </w:r>
      <w:r>
        <w:rPr>
          <w:sz w:val="20"/>
        </w:rPr>
        <w:t>or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provision</w:t>
      </w:r>
      <w:r>
        <w:rPr>
          <w:spacing w:val="7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financial</w:t>
      </w:r>
      <w:r>
        <w:rPr>
          <w:spacing w:val="6"/>
          <w:sz w:val="20"/>
        </w:rPr>
        <w:t> </w:t>
      </w:r>
      <w:r>
        <w:rPr>
          <w:sz w:val="20"/>
        </w:rPr>
        <w:t>incentives</w:t>
      </w:r>
      <w:r>
        <w:rPr>
          <w:spacing w:val="7"/>
          <w:sz w:val="20"/>
        </w:rPr>
        <w:t> </w:t>
      </w:r>
      <w:r>
        <w:rPr>
          <w:sz w:val="20"/>
        </w:rPr>
        <w:t>requiring</w:t>
      </w:r>
      <w:r>
        <w:rPr>
          <w:spacing w:val="1"/>
          <w:sz w:val="20"/>
        </w:rPr>
        <w:t> </w:t>
      </w:r>
      <w:r>
        <w:rPr>
          <w:sz w:val="20"/>
        </w:rPr>
        <w:t>investment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limited</w:t>
      </w:r>
      <w:r>
        <w:rPr>
          <w:spacing w:val="-1"/>
          <w:sz w:val="20"/>
        </w:rPr>
        <w:t> </w:t>
      </w:r>
      <w:r>
        <w:rPr>
          <w:sz w:val="20"/>
        </w:rPr>
        <w:t>scale.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49" w:after="0"/>
        <w:ind w:left="862" w:right="0" w:hanging="339"/>
        <w:jc w:val="left"/>
        <w:rPr>
          <w:sz w:val="20"/>
        </w:rPr>
      </w:pPr>
      <w:r>
        <w:rPr>
          <w:rFonts w:ascii="Arial" w:hAnsi="Arial"/>
          <w:b/>
          <w:sz w:val="20"/>
        </w:rPr>
        <w:t>High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Actions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require</w:t>
      </w:r>
      <w:r>
        <w:rPr>
          <w:spacing w:val="-3"/>
          <w:sz w:val="20"/>
        </w:rPr>
        <w:t> </w:t>
      </w:r>
      <w:r>
        <w:rPr>
          <w:sz w:val="20"/>
        </w:rPr>
        <w:t>substantial</w:t>
      </w:r>
      <w:r>
        <w:rPr>
          <w:spacing w:val="-5"/>
          <w:sz w:val="20"/>
        </w:rPr>
        <w:t> </w:t>
      </w:r>
      <w:r>
        <w:rPr>
          <w:sz w:val="20"/>
        </w:rPr>
        <w:t>new</w:t>
      </w:r>
      <w:r>
        <w:rPr>
          <w:spacing w:val="-6"/>
          <w:sz w:val="20"/>
        </w:rPr>
        <w:t> </w:t>
      </w:r>
      <w:r>
        <w:rPr>
          <w:sz w:val="20"/>
        </w:rPr>
        <w:t>investments.</w:t>
      </w:r>
    </w:p>
    <w:p>
      <w:pPr>
        <w:pStyle w:val="BodyText"/>
        <w:spacing w:line="271" w:lineRule="auto" w:before="155"/>
        <w:ind w:left="183" w:right="301"/>
        <w:jc w:val="both"/>
      </w:pPr>
      <w:r>
        <w:rPr/>
        <w:t>The</w:t>
      </w:r>
      <w:r>
        <w:rPr>
          <w:spacing w:val="-9"/>
        </w:rPr>
        <w:t> </w:t>
      </w:r>
      <w:r>
        <w:rPr/>
        <w:t>Table</w:t>
      </w:r>
      <w:r>
        <w:rPr>
          <w:spacing w:val="-6"/>
        </w:rPr>
        <w:t> </w:t>
      </w:r>
      <w:r>
        <w:rPr/>
        <w:t>aims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starting</w:t>
      </w:r>
      <w:r>
        <w:rPr>
          <w:spacing w:val="-6"/>
        </w:rPr>
        <w:t> </w:t>
      </w:r>
      <w:r>
        <w:rPr/>
        <w:t>point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ten</w:t>
      </w:r>
      <w:r>
        <w:rPr>
          <w:spacing w:val="-7"/>
        </w:rPr>
        <w:t> </w:t>
      </w:r>
      <w:r>
        <w:rPr/>
        <w:t>policy</w:t>
      </w:r>
      <w:r>
        <w:rPr>
          <w:spacing w:val="-6"/>
        </w:rPr>
        <w:t> </w:t>
      </w:r>
      <w:r>
        <w:rPr/>
        <w:t>actions,</w:t>
      </w:r>
      <w:r>
        <w:rPr>
          <w:spacing w:val="-4"/>
        </w:rPr>
        <w:t> </w:t>
      </w:r>
      <w:r>
        <w:rPr/>
        <w:t>based</w:t>
      </w:r>
      <w:r>
        <w:rPr>
          <w:spacing w:val="-5"/>
        </w:rPr>
        <w:t> </w:t>
      </w:r>
      <w:r>
        <w:rPr/>
        <w:t>upon</w:t>
      </w:r>
      <w:r>
        <w:rPr>
          <w:spacing w:val="-6"/>
        </w:rPr>
        <w:t> </w:t>
      </w:r>
      <w:r>
        <w:rPr/>
        <w:t>the</w:t>
      </w:r>
      <w:r>
        <w:rPr>
          <w:spacing w:val="-53"/>
        </w:rPr>
        <w:t> </w:t>
      </w:r>
      <w:r>
        <w:rPr/>
        <w:t>OECD’s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Republic.</w:t>
      </w:r>
      <w:r>
        <w:rPr>
          <w:spacing w:val="1"/>
        </w:rPr>
        <w:t> </w:t>
      </w:r>
      <w:r>
        <w:rPr/>
        <w:t>Timeframes,</w:t>
      </w:r>
      <w:r>
        <w:rPr>
          <w:spacing w:val="1"/>
        </w:rPr>
        <w:t> </w:t>
      </w:r>
      <w:r>
        <w:rPr/>
        <w:t>responsibilities and costs will need to be discussed and refined by the Slovak authorities in close</w:t>
      </w:r>
      <w:r>
        <w:rPr>
          <w:spacing w:val="1"/>
        </w:rPr>
        <w:t> </w:t>
      </w:r>
      <w:r>
        <w:rPr/>
        <w:t>collaboration with</w:t>
      </w:r>
      <w:r>
        <w:rPr>
          <w:spacing w:val="-1"/>
        </w:rPr>
        <w:t> </w:t>
      </w:r>
      <w:r>
        <w:rPr/>
        <w:t>higher education</w:t>
      </w:r>
      <w:r>
        <w:rPr>
          <w:spacing w:val="-2"/>
        </w:rPr>
        <w:t> </w:t>
      </w:r>
      <w:r>
        <w:rPr/>
        <w:t>stakeholders.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191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2203"/>
        <w:gridCol w:w="2616"/>
        <w:gridCol w:w="1216"/>
      </w:tblGrid>
      <w:tr>
        <w:trPr>
          <w:trHeight w:val="323" w:hRule="atLeast"/>
        </w:trPr>
        <w:tc>
          <w:tcPr>
            <w:tcW w:w="3262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1203" w:right="11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Policy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action</w:t>
            </w:r>
          </w:p>
        </w:tc>
        <w:tc>
          <w:tcPr>
            <w:tcW w:w="2203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59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timing</w:t>
            </w:r>
          </w:p>
        </w:tc>
        <w:tc>
          <w:tcPr>
            <w:tcW w:w="2616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4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lead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organisation</w:t>
            </w:r>
          </w:p>
        </w:tc>
        <w:tc>
          <w:tcPr>
            <w:tcW w:w="1216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before="73"/>
              <w:ind w:left="15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cost</w:t>
            </w:r>
          </w:p>
        </w:tc>
      </w:tr>
    </w:tbl>
    <w:p>
      <w:pPr>
        <w:spacing w:before="31" w:after="5"/>
        <w:ind w:left="0" w:right="1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Developing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and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implementing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co-ordinated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higher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education</w:t>
      </w:r>
      <w:r>
        <w:rPr>
          <w:rFonts w:ascii="Arial"/>
          <w:b/>
          <w:spacing w:val="12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strategy</w:t>
      </w:r>
    </w:p>
    <w:tbl>
      <w:tblPr>
        <w:tblW w:w="0" w:type="auto"/>
        <w:jc w:val="left"/>
        <w:tblInd w:w="176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1564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2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1.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Establish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small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multi-stakeholder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responsible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co-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ordinating the development and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implementation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reforms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Q4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2021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14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Established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by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and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accountable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to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the</w:t>
            </w:r>
            <w:r>
              <w:rPr>
                <w:rFonts w:ascii="Microsoft Sans Serif" w:hAnsi="Microsoft Sans Serif"/>
                <w:spacing w:val="-5"/>
                <w:w w:val="85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Prime</w:t>
            </w:r>
            <w:r>
              <w:rPr>
                <w:rFonts w:ascii="Microsoft Sans Serif" w:hAnsi="Microsoft Sans Serif"/>
                <w:spacing w:val="-3"/>
                <w:w w:val="85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Minister’s</w:t>
            </w:r>
            <w:r>
              <w:rPr>
                <w:rFonts w:ascii="Microsoft Sans Serif" w:hAns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 w:hAnsi="Microsoft Sans Serif"/>
                <w:w w:val="85"/>
                <w:sz w:val="18"/>
              </w:rPr>
              <w:t>Office</w:t>
            </w:r>
          </w:p>
          <w:p>
            <w:pPr>
              <w:pStyle w:val="TableParagraph"/>
              <w:spacing w:line="244" w:lineRule="auto" w:before="40"/>
              <w:ind w:left="99" w:right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Membership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identified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by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Ministry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Education,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Science,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Research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Sport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(MoE)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</w:t>
            </w:r>
            <w:r>
              <w:rPr>
                <w:rFonts w:ascii="Microsoft Sans Serif"/>
                <w:spacing w:val="28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collaboration</w:t>
            </w:r>
            <w:r>
              <w:rPr>
                <w:rFonts w:ascii="Microsoft Sans Serif"/>
                <w:spacing w:val="29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with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key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agencies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organisations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  <w:tr>
        <w:trPr>
          <w:trHeight w:val="702" w:hRule="atLeast"/>
        </w:trPr>
        <w:tc>
          <w:tcPr>
            <w:tcW w:w="3277" w:type="dxa"/>
            <w:tcBorders>
              <w:left w:val="nil"/>
              <w:bottom w:val="single" w:sz="12" w:space="0" w:color="4E81BD"/>
            </w:tcBorders>
          </w:tcPr>
          <w:p>
            <w:pPr>
              <w:pStyle w:val="TableParagraph"/>
              <w:spacing w:line="242" w:lineRule="auto" w:before="42"/>
              <w:ind w:left="122"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2.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Develop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mid-term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vision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strategy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articulating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linkages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between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goals,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actions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monitoring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results</w:t>
            </w:r>
          </w:p>
        </w:tc>
        <w:tc>
          <w:tcPr>
            <w:tcW w:w="2204" w:type="dxa"/>
            <w:tcBorders>
              <w:bottom w:val="single" w:sz="12" w:space="0" w:color="4E81BD"/>
            </w:tcBorders>
          </w:tcPr>
          <w:p>
            <w:pPr>
              <w:pStyle w:val="TableParagraph"/>
              <w:spacing w:line="242" w:lineRule="auto"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Q1-Q2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engagement</w:t>
            </w:r>
          </w:p>
          <w:p>
            <w:pPr>
              <w:pStyle w:val="TableParagraph"/>
              <w:spacing w:line="186" w:lineRule="exact"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Q3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Strategy</w:t>
            </w:r>
          </w:p>
        </w:tc>
        <w:tc>
          <w:tcPr>
            <w:tcW w:w="2617" w:type="dxa"/>
            <w:tcBorders>
              <w:bottom w:val="single" w:sz="12" w:space="0" w:color="4E81BD"/>
            </w:tcBorders>
          </w:tcPr>
          <w:p>
            <w:pPr>
              <w:pStyle w:val="TableParagraph"/>
              <w:spacing w:line="242" w:lineRule="auto" w:before="42"/>
              <w:ind w:left="99" w:right="41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Higher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Education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Task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Force,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reporting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to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the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Prime</w:t>
            </w:r>
            <w:r>
              <w:rPr>
                <w:rFonts w:ascii="Microsoft Sans Serif" w:hAns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80"/>
                <w:sz w:val="18"/>
              </w:rPr>
              <w:t>Minister’s</w:t>
            </w:r>
            <w:r>
              <w:rPr>
                <w:rFonts w:ascii="Microsoft Sans Serif" w:hAns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 w:hAnsi="Microsoft Sans Serif"/>
                <w:w w:val="90"/>
                <w:sz w:val="18"/>
              </w:rPr>
              <w:t>Office</w:t>
            </w:r>
          </w:p>
        </w:tc>
        <w:tc>
          <w:tcPr>
            <w:tcW w:w="1217" w:type="dxa"/>
            <w:tcBorders>
              <w:bottom w:val="single" w:sz="12" w:space="0" w:color="4E81BD"/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</w:tbl>
    <w:p>
      <w:pPr>
        <w:spacing w:after="0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tbl>
      <w:tblPr>
        <w:tblW w:w="0" w:type="auto"/>
        <w:jc w:val="left"/>
        <w:tblInd w:w="176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323" w:hRule="atLeast"/>
        </w:trPr>
        <w:tc>
          <w:tcPr>
            <w:tcW w:w="3277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1217" w:right="119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Policy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action</w:t>
            </w:r>
          </w:p>
        </w:tc>
        <w:tc>
          <w:tcPr>
            <w:tcW w:w="2204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58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timing</w:t>
            </w:r>
          </w:p>
        </w:tc>
        <w:tc>
          <w:tcPr>
            <w:tcW w:w="2617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73"/>
              <w:ind w:left="4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lead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organisation</w:t>
            </w:r>
          </w:p>
        </w:tc>
        <w:tc>
          <w:tcPr>
            <w:tcW w:w="1217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before="73"/>
              <w:ind w:left="15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Potential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cost</w:t>
            </w:r>
          </w:p>
        </w:tc>
      </w:tr>
      <w:tr>
        <w:trPr>
          <w:trHeight w:val="263" w:hRule="atLeast"/>
        </w:trPr>
        <w:tc>
          <w:tcPr>
            <w:tcW w:w="3277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204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presentation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adoption</w:t>
            </w:r>
          </w:p>
        </w:tc>
        <w:tc>
          <w:tcPr>
            <w:tcW w:w="261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491" w:hRule="atLeast"/>
        </w:trPr>
        <w:tc>
          <w:tcPr>
            <w:tcW w:w="3277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2" w:lineRule="auto" w:before="42"/>
              <w:ind w:left="122" w:righ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3.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Develop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indicators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quality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teaching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research,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strengthen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data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collection</w:t>
            </w:r>
          </w:p>
        </w:tc>
        <w:tc>
          <w:tcPr>
            <w:tcW w:w="220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2" w:lineRule="auto" w:before="42"/>
              <w:ind w:left="99" w:right="5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Expert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Group,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reporting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to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the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</w:p>
        </w:tc>
        <w:tc>
          <w:tcPr>
            <w:tcW w:w="121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</w:tbl>
    <w:p>
      <w:pPr>
        <w:spacing w:before="30" w:after="5"/>
        <w:ind w:left="0" w:right="12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Using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funding</w:t>
      </w:r>
      <w:r>
        <w:rPr>
          <w:rFonts w:ascii="Arial"/>
          <w:b/>
          <w:spacing w:val="10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to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support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and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reward</w:t>
      </w:r>
      <w:r>
        <w:rPr>
          <w:rFonts w:ascii="Arial"/>
          <w:b/>
          <w:spacing w:val="11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higher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education</w:t>
      </w:r>
      <w:r>
        <w:rPr>
          <w:rFonts w:ascii="Arial"/>
          <w:b/>
          <w:spacing w:val="9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performance</w:t>
      </w:r>
    </w:p>
    <w:tbl>
      <w:tblPr>
        <w:tblW w:w="0" w:type="auto"/>
        <w:jc w:val="left"/>
        <w:tblInd w:w="176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1110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4" w:lineRule="auto" w:before="40"/>
              <w:ind w:left="122" w:right="10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4. Map out</w:t>
            </w:r>
            <w:r>
              <w:rPr>
                <w:rFonts w:ascii="Microsoft Sans Serif"/>
                <w:spacing w:val="28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investments</w:t>
            </w:r>
            <w:r>
              <w:rPr>
                <w:rFonts w:ascii="Microsoft Sans Serif"/>
                <w:spacing w:val="29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required to implement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 mid-term higher education strategy, new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funding sources and options for enhancing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higher education funding levels (the funding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envelope)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</w:tcPr>
          <w:p>
            <w:pPr>
              <w:pStyle w:val="TableParagraph"/>
              <w:spacing w:line="244" w:lineRule="auto" w:before="40"/>
              <w:ind w:left="99" w:right="269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MoE, supported by the Ministry of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Finance and the Higher Education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Task</w:t>
            </w:r>
            <w:r>
              <w:rPr>
                <w:rFonts w:ascii="Microsoft Sans Serif"/>
                <w:spacing w:val="-5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Force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  <w:tr>
        <w:trPr>
          <w:trHeight w:val="700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103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5. Establish an approach and process for the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development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of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institutional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contracts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and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possible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performance</w:t>
            </w:r>
            <w:r>
              <w:rPr>
                <w:rFonts w:ascii="Microsoft Sans Serif"/>
                <w:spacing w:val="-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parameters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Q1-Q2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Force,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reporting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to</w:t>
            </w:r>
            <w:r>
              <w:rPr>
                <w:rFonts w:ascii="Microsoft Sans Serif"/>
                <w:spacing w:val="-3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the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MoE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line="242" w:lineRule="auto" w:before="42"/>
              <w:ind w:left="99" w:right="41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Medium to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High</w:t>
            </w:r>
          </w:p>
        </w:tc>
      </w:tr>
      <w:tr>
        <w:trPr>
          <w:trHeight w:val="1140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98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6. Use the institutional contracts to allocate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targeted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funding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to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enhance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teaching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and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research</w:t>
            </w:r>
            <w:r>
              <w:rPr>
                <w:rFonts w:ascii="Microsoft Sans Serif"/>
                <w:spacing w:val="-4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quality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Q2-Q3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</w:t>
            </w:r>
          </w:p>
        </w:tc>
        <w:tc>
          <w:tcPr>
            <w:tcW w:w="2617" w:type="dxa"/>
          </w:tcPr>
          <w:p>
            <w:pPr>
              <w:pStyle w:val="TableParagraph"/>
              <w:spacing w:line="235" w:lineRule="auto" w:before="38"/>
              <w:ind w:left="99" w:right="3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Expert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Group,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reporting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to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Education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Task</w:t>
            </w:r>
            <w:r>
              <w:rPr>
                <w:rFonts w:ascii="Microsoft Sans Serif"/>
                <w:spacing w:val="-2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Force</w:t>
            </w:r>
          </w:p>
          <w:p>
            <w:pPr>
              <w:pStyle w:val="TableParagraph"/>
              <w:spacing w:line="244" w:lineRule="auto" w:before="45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implementing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revisions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recommended by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Higher Education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Task</w:t>
            </w:r>
            <w:r>
              <w:rPr>
                <w:rFonts w:ascii="Microsoft Sans Serif"/>
                <w:spacing w:val="-4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Force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High</w:t>
            </w:r>
          </w:p>
        </w:tc>
      </w:tr>
      <w:tr>
        <w:trPr>
          <w:trHeight w:val="1153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274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7. Consider revisions to the funding formula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 higher education and research allocation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mechanisms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0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Recommendations</w:t>
            </w:r>
          </w:p>
          <w:p>
            <w:pPr>
              <w:pStyle w:val="TableParagraph"/>
              <w:spacing w:line="242" w:lineRule="auto" w:before="46"/>
              <w:ind w:left="102" w:right="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Q4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Implementation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revisions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to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funding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formula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research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allocation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mechanisms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32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Expert Group, reporting to Higher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Education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Task</w:t>
            </w:r>
            <w:r>
              <w:rPr>
                <w:rFonts w:ascii="Microsoft Sans Serif"/>
                <w:spacing w:val="-2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Force</w:t>
            </w:r>
          </w:p>
          <w:p>
            <w:pPr>
              <w:pStyle w:val="TableParagraph"/>
              <w:spacing w:line="242" w:lineRule="auto" w:before="42"/>
              <w:ind w:left="99" w:right="639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 implementing revisions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recommended by the Higher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</w:tbl>
    <w:p>
      <w:pPr>
        <w:spacing w:before="28" w:after="5"/>
        <w:ind w:left="0" w:right="12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Enabling</w:t>
      </w:r>
      <w:r>
        <w:rPr>
          <w:rFonts w:ascii="Arial"/>
          <w:b/>
          <w:spacing w:val="14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responsive</w:t>
      </w:r>
      <w:r>
        <w:rPr>
          <w:rFonts w:ascii="Arial"/>
          <w:b/>
          <w:spacing w:val="14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institutional</w:t>
      </w:r>
      <w:r>
        <w:rPr>
          <w:rFonts w:ascii="Arial"/>
          <w:b/>
          <w:spacing w:val="13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governance</w:t>
      </w:r>
      <w:r>
        <w:rPr>
          <w:rFonts w:ascii="Arial"/>
          <w:b/>
          <w:spacing w:val="13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and</w:t>
      </w:r>
      <w:r>
        <w:rPr>
          <w:rFonts w:ascii="Arial"/>
          <w:b/>
          <w:spacing w:val="16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management</w:t>
      </w:r>
    </w:p>
    <w:tbl>
      <w:tblPr>
        <w:tblW w:w="0" w:type="auto"/>
        <w:jc w:val="left"/>
        <w:tblInd w:w="176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204"/>
        <w:gridCol w:w="2617"/>
        <w:gridCol w:w="1217"/>
      </w:tblGrid>
      <w:tr>
        <w:trPr>
          <w:trHeight w:val="1192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2"/>
              <w:ind w:left="122" w:right="10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8. Reduce the level of prescription of the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legislation and introduce a small number of key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requirements supporting HEI effectiveness and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openness</w:t>
            </w:r>
          </w:p>
        </w:tc>
        <w:tc>
          <w:tcPr>
            <w:tcW w:w="2204" w:type="dxa"/>
          </w:tcPr>
          <w:p>
            <w:pPr>
              <w:pStyle w:val="TableParagraph"/>
              <w:spacing w:line="242" w:lineRule="auto"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Q1-Q3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engagement</w:t>
            </w:r>
          </w:p>
          <w:p>
            <w:pPr>
              <w:pStyle w:val="TableParagraph"/>
              <w:spacing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Q4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Legislation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passed</w:t>
            </w:r>
          </w:p>
          <w:p>
            <w:pPr>
              <w:pStyle w:val="TableParagraph"/>
              <w:spacing w:line="244" w:lineRule="auto" w:before="41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2024: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New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governance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arrangements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place</w:t>
            </w:r>
          </w:p>
        </w:tc>
        <w:tc>
          <w:tcPr>
            <w:tcW w:w="2617" w:type="dxa"/>
          </w:tcPr>
          <w:p>
            <w:pPr>
              <w:pStyle w:val="TableParagraph"/>
              <w:spacing w:line="242" w:lineRule="auto" w:before="42"/>
              <w:ind w:left="99" w:right="37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stakeholder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engagement</w:t>
            </w:r>
          </w:p>
          <w:p>
            <w:pPr>
              <w:pStyle w:val="TableParagraph"/>
              <w:spacing w:before="42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MoE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legislation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drafting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Low</w:t>
            </w:r>
          </w:p>
        </w:tc>
      </w:tr>
      <w:tr>
        <w:trPr>
          <w:trHeight w:val="741" w:hRule="atLeast"/>
        </w:trPr>
        <w:tc>
          <w:tcPr>
            <w:tcW w:w="3277" w:type="dxa"/>
            <w:tcBorders>
              <w:left w:val="nil"/>
            </w:tcBorders>
          </w:tcPr>
          <w:p>
            <w:pPr>
              <w:pStyle w:val="TableParagraph"/>
              <w:spacing w:line="242" w:lineRule="auto" w:before="43"/>
              <w:ind w:left="122" w:right="103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9. Create incentives for public HEIs to adopt a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new governance </w:t>
            </w:r>
            <w:r>
              <w:rPr>
                <w:rFonts w:ascii="Microsoft Sans Serif"/>
                <w:w w:val="85"/>
                <w:sz w:val="18"/>
              </w:rPr>
              <w:t>structure on an accelerated,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pilot</w:t>
            </w:r>
            <w:r>
              <w:rPr>
                <w:rFonts w:ascii="Microsoft Sans Serif"/>
                <w:spacing w:val="-5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basis</w:t>
            </w:r>
          </w:p>
        </w:tc>
        <w:tc>
          <w:tcPr>
            <w:tcW w:w="2204" w:type="dxa"/>
          </w:tcPr>
          <w:p>
            <w:pPr>
              <w:pStyle w:val="TableParagraph"/>
              <w:spacing w:before="43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Q2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Incentives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designed</w:t>
            </w:r>
          </w:p>
          <w:p>
            <w:pPr>
              <w:pStyle w:val="TableParagraph"/>
              <w:spacing w:line="242" w:lineRule="auto" w:before="43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Q1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2023: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New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governance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adopted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by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pilot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HEIs</w:t>
            </w:r>
          </w:p>
        </w:tc>
        <w:tc>
          <w:tcPr>
            <w:tcW w:w="2617" w:type="dxa"/>
          </w:tcPr>
          <w:p>
            <w:pPr>
              <w:pStyle w:val="TableParagraph"/>
              <w:spacing w:before="43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MoE</w:t>
            </w:r>
          </w:p>
        </w:tc>
        <w:tc>
          <w:tcPr>
            <w:tcW w:w="1217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  <w:tr>
        <w:trPr>
          <w:trHeight w:val="493" w:hRule="atLeast"/>
        </w:trPr>
        <w:tc>
          <w:tcPr>
            <w:tcW w:w="3277" w:type="dxa"/>
            <w:tcBorders>
              <w:left w:val="nil"/>
              <w:bottom w:val="single" w:sz="12" w:space="0" w:color="4E81BD"/>
            </w:tcBorders>
          </w:tcPr>
          <w:p>
            <w:pPr>
              <w:pStyle w:val="TableParagraph"/>
              <w:spacing w:line="242" w:lineRule="auto" w:before="42"/>
              <w:ind w:left="122"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10.</w:t>
            </w:r>
            <w:r>
              <w:rPr>
                <w:rFonts w:ascii="Microsoft Sans Serif"/>
                <w:spacing w:val="2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Establish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appropriate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supports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to</w:t>
            </w:r>
            <w:r>
              <w:rPr>
                <w:rFonts w:ascii="Microsoft Sans Serif"/>
                <w:spacing w:val="2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foster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best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practice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HEI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governing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bodies</w:t>
            </w:r>
          </w:p>
        </w:tc>
        <w:tc>
          <w:tcPr>
            <w:tcW w:w="2204" w:type="dxa"/>
            <w:tcBorders>
              <w:bottom w:val="single" w:sz="12" w:space="0" w:color="4E81BD"/>
            </w:tcBorders>
          </w:tcPr>
          <w:p>
            <w:pPr>
              <w:pStyle w:val="TableParagraph"/>
              <w:spacing w:line="242" w:lineRule="auto" w:before="42"/>
              <w:ind w:lef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Q3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2022: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Guidance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on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institutional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governance</w:t>
            </w:r>
          </w:p>
        </w:tc>
        <w:tc>
          <w:tcPr>
            <w:tcW w:w="2617" w:type="dxa"/>
            <w:tcBorders>
              <w:bottom w:val="single" w:sz="12" w:space="0" w:color="4E81BD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Higher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Task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Force,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MoE</w:t>
            </w:r>
          </w:p>
        </w:tc>
        <w:tc>
          <w:tcPr>
            <w:tcW w:w="1217" w:type="dxa"/>
            <w:tcBorders>
              <w:bottom w:val="single" w:sz="12" w:space="0" w:color="4E81BD"/>
              <w:right w:val="nil"/>
            </w:tcBorders>
          </w:tcPr>
          <w:p>
            <w:pPr>
              <w:pStyle w:val="TableParagraph"/>
              <w:spacing w:before="40"/>
              <w:ind w:left="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Medium</w:t>
            </w:r>
          </w:p>
        </w:tc>
      </w:tr>
    </w:tbl>
    <w:p>
      <w:pPr>
        <w:spacing w:after="0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rFonts w:ascii="Arial"/>
          <w:b/>
          <w:sz w:val="9"/>
        </w:rPr>
      </w:pPr>
    </w:p>
    <w:p>
      <w:pPr>
        <w:pStyle w:val="Heading2"/>
        <w:numPr>
          <w:ilvl w:val="1"/>
          <w:numId w:val="12"/>
        </w:numPr>
        <w:tabs>
          <w:tab w:pos="652" w:val="left" w:leader="none"/>
        </w:tabs>
        <w:spacing w:line="278" w:lineRule="auto" w:before="92" w:after="0"/>
        <w:ind w:left="183" w:right="314" w:firstLine="0"/>
        <w:jc w:val="left"/>
      </w:pPr>
      <w:bookmarkStart w:name="3.2. Action Step 1: Developing and imple" w:id="83"/>
      <w:bookmarkEnd w:id="83"/>
      <w:r>
        <w:rPr>
          <w:b w:val="0"/>
        </w:rPr>
      </w:r>
      <w:bookmarkStart w:name="_bookmark35" w:id="84"/>
      <w:bookmarkEnd w:id="84"/>
      <w:r>
        <w:rPr>
          <w:b w:val="0"/>
        </w:rPr>
      </w:r>
      <w:bookmarkStart w:name="_bookmark35" w:id="85"/>
      <w:bookmarkEnd w:id="85"/>
      <w:r>
        <w:rPr>
          <w:color w:val="4E81BD"/>
        </w:rPr>
        <w:t>A</w:t>
      </w:r>
      <w:r>
        <w:rPr>
          <w:color w:val="4E81BD"/>
        </w:rPr>
        <w:t>ction Step 1: Developing and implementing a co-ordinated higher education</w:t>
      </w:r>
      <w:r>
        <w:rPr>
          <w:color w:val="4E81BD"/>
          <w:spacing w:val="-64"/>
        </w:rPr>
        <w:t> </w:t>
      </w:r>
      <w:r>
        <w:rPr>
          <w:color w:val="4E81BD"/>
        </w:rPr>
        <w:t>strategy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Heading5"/>
      </w:pPr>
      <w:bookmarkStart w:name="Current state of policy and practice" w:id="86"/>
      <w:bookmarkEnd w:id="86"/>
      <w:r>
        <w:rPr>
          <w:b w:val="0"/>
          <w:i w:val="0"/>
        </w:rPr>
      </w:r>
      <w:r>
        <w:rPr/>
        <w:t>Current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policy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The Slovak higher education system has transformed in major ways since the country's transition to an</w:t>
      </w:r>
      <w:r>
        <w:rPr>
          <w:spacing w:val="1"/>
        </w:rPr>
        <w:t> </w:t>
      </w:r>
      <w:r>
        <w:rPr/>
        <w:t>independent, democratic state in the early 1990s. Changes were driven partly by legislation and policy,</w:t>
      </w:r>
      <w:r>
        <w:rPr>
          <w:spacing w:val="1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bringing</w:t>
      </w:r>
      <w:r>
        <w:rPr>
          <w:spacing w:val="-4"/>
        </w:rPr>
        <w:t> </w:t>
      </w:r>
      <w:r>
        <w:rPr/>
        <w:t>academic</w:t>
      </w:r>
      <w:r>
        <w:rPr>
          <w:spacing w:val="-4"/>
        </w:rPr>
        <w:t> </w:t>
      </w:r>
      <w:r>
        <w:rPr/>
        <w:t>freedom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legal</w:t>
      </w:r>
      <w:r>
        <w:rPr>
          <w:spacing w:val="-6"/>
        </w:rPr>
        <w:t> </w:t>
      </w:r>
      <w:r>
        <w:rPr/>
        <w:t>independence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HEIs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3"/>
        </w:rPr>
        <w:t> </w:t>
      </w:r>
      <w:r>
        <w:rPr/>
        <w:t>Republic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>
          <w:position w:val="1"/>
        </w:rPr>
        <w:t>the</w:t>
      </w:r>
      <w:r>
        <w:rPr>
          <w:spacing w:val="-1"/>
          <w:position w:val="1"/>
        </w:rPr>
        <w:t> </w:t>
      </w:r>
      <w:r>
        <w:rPr>
          <w:position w:val="1"/>
        </w:rPr>
        <w:t>Bologna</w:t>
      </w:r>
      <w:r>
        <w:rPr>
          <w:spacing w:val="-1"/>
          <w:position w:val="1"/>
        </w:rPr>
        <w:t> </w:t>
      </w:r>
      <w:r>
        <w:rPr>
          <w:position w:val="1"/>
        </w:rPr>
        <w:t>Process,</w:t>
      </w:r>
      <w:r>
        <w:rPr>
          <w:spacing w:val="-2"/>
          <w:position w:val="1"/>
        </w:rPr>
        <w:t> </w:t>
      </w:r>
      <w:r>
        <w:rPr>
          <w:position w:val="1"/>
        </w:rPr>
        <w:t>and</w:t>
      </w:r>
      <w:r>
        <w:rPr>
          <w:spacing w:val="2"/>
          <w:position w:val="1"/>
        </w:rPr>
        <w:t> </w:t>
      </w:r>
      <w:r>
        <w:rPr>
          <w:position w:val="1"/>
        </w:rPr>
        <w:t>by</w:t>
      </w:r>
      <w:r>
        <w:rPr>
          <w:spacing w:val="-6"/>
          <w:position w:val="1"/>
        </w:rPr>
        <w:t> </w:t>
      </w:r>
      <w:r>
        <w:rPr>
          <w:position w:val="1"/>
        </w:rPr>
        <w:t>massive</w:t>
      </w:r>
      <w:r>
        <w:rPr>
          <w:spacing w:val="-2"/>
          <w:position w:val="1"/>
        </w:rPr>
        <w:t> </w:t>
      </w:r>
      <w:r>
        <w:rPr>
          <w:position w:val="1"/>
        </w:rPr>
        <w:t>increases</w:t>
      </w:r>
      <w:r>
        <w:rPr>
          <w:spacing w:val="-1"/>
          <w:position w:val="1"/>
        </w:rPr>
        <w:t> </w:t>
      </w:r>
      <w:r>
        <w:rPr>
          <w:position w:val="1"/>
        </w:rPr>
        <w:t>in</w:t>
      </w:r>
      <w:r>
        <w:rPr>
          <w:spacing w:val="-2"/>
          <w:position w:val="1"/>
        </w:rPr>
        <w:t> </w:t>
      </w:r>
      <w:r>
        <w:rPr>
          <w:position w:val="1"/>
        </w:rPr>
        <w:t>student enrolment</w:t>
      </w:r>
      <w:r>
        <w:rPr>
          <w:spacing w:val="5"/>
          <w:position w:val="1"/>
        </w:rPr>
        <w:t> </w:t>
      </w:r>
      <w:r>
        <w:rPr>
          <w:position w:val="1"/>
        </w:rPr>
        <w:t>(Reichert, 2009</w:t>
      </w:r>
      <w:r>
        <w:rPr>
          <w:sz w:val="13"/>
        </w:rPr>
        <w:t>[1]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Over the past 15 years, Slovak have sought to anchor the Slovak higher education system more firmly</w:t>
      </w:r>
      <w:r>
        <w:rPr>
          <w:spacing w:val="1"/>
        </w:rPr>
        <w:t> </w:t>
      </w:r>
      <w:r>
        <w:rPr/>
        <w:t>within the European Union, to promote modernised and labour-market-relevant educational programmes,</w:t>
      </w:r>
      <w:r>
        <w:rPr>
          <w:spacing w:val="-53"/>
        </w:rPr>
        <w:t> </w:t>
      </w:r>
      <w:r>
        <w:rPr/>
        <w:t>high-quality,</w:t>
      </w:r>
      <w:r>
        <w:rPr>
          <w:spacing w:val="-8"/>
        </w:rPr>
        <w:t> </w:t>
      </w:r>
      <w:r>
        <w:rPr/>
        <w:t>internationally</w:t>
      </w:r>
      <w:r>
        <w:rPr>
          <w:spacing w:val="-12"/>
        </w:rPr>
        <w:t> </w:t>
      </w:r>
      <w:r>
        <w:rPr/>
        <w:t>competitive</w:t>
      </w:r>
      <w:r>
        <w:rPr>
          <w:spacing w:val="-6"/>
        </w:rPr>
        <w:t> </w:t>
      </w:r>
      <w:r>
        <w:rPr/>
        <w:t>research,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greater</w:t>
      </w:r>
      <w:r>
        <w:rPr>
          <w:spacing w:val="-9"/>
        </w:rPr>
        <w:t> </w:t>
      </w:r>
      <w:r>
        <w:rPr/>
        <w:t>engagement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supporting</w:t>
      </w:r>
      <w:r>
        <w:rPr>
          <w:spacing w:val="-1"/>
        </w:rPr>
        <w:t> </w:t>
      </w:r>
      <w:r>
        <w:rPr/>
        <w:t>the economic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 the Slovak</w:t>
      </w:r>
      <w:r>
        <w:rPr>
          <w:spacing w:val="-1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regions.</w:t>
      </w:r>
    </w:p>
    <w:p>
      <w:pPr>
        <w:pStyle w:val="BodyText"/>
        <w:spacing w:line="271" w:lineRule="auto" w:before="120"/>
        <w:ind w:left="183" w:right="307"/>
        <w:jc w:val="both"/>
      </w:pP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pursued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transformation, others with a targeted focus. The sections that follow review these strategies, namely (i)</w:t>
      </w:r>
      <w:r>
        <w:rPr>
          <w:spacing w:val="1"/>
        </w:rPr>
        <w:t> </w:t>
      </w:r>
      <w:r>
        <w:rPr/>
        <w:t>an attempt at comprehensive higher education reform, (ii) reforms of</w:t>
      </w:r>
      <w:r>
        <w:rPr>
          <w:spacing w:val="1"/>
        </w:rPr>
        <w:t> </w:t>
      </w:r>
      <w:r>
        <w:rPr/>
        <w:t>system structure and quality</w:t>
      </w:r>
      <w:r>
        <w:rPr>
          <w:spacing w:val="1"/>
        </w:rPr>
        <w:t> </w:t>
      </w:r>
      <w:r>
        <w:rPr/>
        <w:t>assurance, (iii) plans for reforming institutional governance, and (iv) new investments and funding reform</w:t>
      </w:r>
      <w:r>
        <w:rPr>
          <w:spacing w:val="1"/>
        </w:rPr>
        <w:t> </w:t>
      </w:r>
      <w:r>
        <w:rPr/>
        <w:t>plans.</w:t>
      </w:r>
    </w:p>
    <w:p>
      <w:pPr>
        <w:pStyle w:val="BodyText"/>
        <w:spacing w:before="2"/>
      </w:pPr>
    </w:p>
    <w:p>
      <w:pPr>
        <w:pStyle w:val="Heading7"/>
      </w:pPr>
      <w:bookmarkStart w:name="An attempt at comprehensive higher educa" w:id="87"/>
      <w:bookmarkEnd w:id="87"/>
      <w:r>
        <w:rPr>
          <w:i w:val="0"/>
        </w:rPr>
      </w:r>
      <w:r>
        <w:rPr>
          <w:color w:val="616161"/>
        </w:rPr>
        <w:t>An</w:t>
      </w:r>
      <w:r>
        <w:rPr>
          <w:color w:val="616161"/>
          <w:spacing w:val="-6"/>
        </w:rPr>
        <w:t> </w:t>
      </w:r>
      <w:r>
        <w:rPr>
          <w:color w:val="616161"/>
        </w:rPr>
        <w:t>attempt</w:t>
      </w:r>
      <w:r>
        <w:rPr>
          <w:color w:val="616161"/>
          <w:spacing w:val="-3"/>
        </w:rPr>
        <w:t> </w:t>
      </w:r>
      <w:r>
        <w:rPr>
          <w:color w:val="616161"/>
        </w:rPr>
        <w:t>at</w:t>
      </w:r>
      <w:r>
        <w:rPr>
          <w:color w:val="616161"/>
          <w:spacing w:val="-3"/>
        </w:rPr>
        <w:t> </w:t>
      </w:r>
      <w:r>
        <w:rPr>
          <w:color w:val="616161"/>
        </w:rPr>
        <w:t>comprehensive</w:t>
      </w:r>
      <w:r>
        <w:rPr>
          <w:color w:val="616161"/>
          <w:spacing w:val="-5"/>
        </w:rPr>
        <w:t> </w:t>
      </w:r>
      <w:r>
        <w:rPr>
          <w:color w:val="616161"/>
        </w:rPr>
        <w:t>higher</w:t>
      </w:r>
      <w:r>
        <w:rPr>
          <w:color w:val="616161"/>
          <w:spacing w:val="-5"/>
        </w:rPr>
        <w:t> </w:t>
      </w:r>
      <w:r>
        <w:rPr>
          <w:color w:val="616161"/>
        </w:rPr>
        <w:t>education</w:t>
      </w:r>
      <w:r>
        <w:rPr>
          <w:color w:val="616161"/>
          <w:spacing w:val="-7"/>
        </w:rPr>
        <w:t> </w:t>
      </w:r>
      <w:r>
        <w:rPr>
          <w:color w:val="616161"/>
        </w:rPr>
        <w:t>reform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2"/>
        <w:jc w:val="both"/>
      </w:pPr>
      <w:r>
        <w:rPr/>
        <w:t>One of the most comprehensive higher education reform plans developed in recent years was part of the</w:t>
      </w:r>
      <w:r>
        <w:rPr>
          <w:spacing w:val="-53"/>
        </w:rPr>
        <w:t> </w:t>
      </w:r>
      <w:r>
        <w:rPr/>
        <w:t>2016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Programme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(“Learning</w:t>
      </w:r>
      <w:r>
        <w:rPr>
          <w:spacing w:val="-2"/>
        </w:rPr>
        <w:t> </w:t>
      </w:r>
      <w:r>
        <w:rPr/>
        <w:t>Slovakia”),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aimed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reform</w:t>
      </w:r>
      <w:r>
        <w:rPr>
          <w:spacing w:val="1"/>
        </w:rPr>
        <w:t> </w:t>
      </w:r>
      <w:r>
        <w:rPr>
          <w:position w:val="1"/>
        </w:rPr>
        <w:t>the entire education system in the Slovak Republic (MoE, 2016</w:t>
      </w:r>
      <w:r>
        <w:rPr>
          <w:sz w:val="13"/>
        </w:rPr>
        <w:t>[2]</w:t>
      </w:r>
      <w:r>
        <w:rPr>
          <w:position w:val="1"/>
        </w:rPr>
        <w:t>). This plan included four strategic</w:t>
      </w:r>
      <w:r>
        <w:rPr>
          <w:spacing w:val="1"/>
          <w:position w:val="1"/>
        </w:rPr>
        <w:t> </w:t>
      </w:r>
      <w:r>
        <w:rPr/>
        <w:t>objectives for higher education, namely improving the quality of educational programmes, fostering high-</w:t>
      </w:r>
      <w:r>
        <w:rPr>
          <w:spacing w:val="1"/>
        </w:rPr>
        <w:t> </w:t>
      </w:r>
      <w:r>
        <w:rPr/>
        <w:t>quality research, supporting greater involvement of HEIs in regional development and improving the</w:t>
      </w:r>
      <w:r>
        <w:rPr>
          <w:spacing w:val="1"/>
        </w:rPr>
        <w:t> </w:t>
      </w:r>
      <w:r>
        <w:rPr/>
        <w:t>effectiveness of HEIs through funding and governance reforms. The plan encompasses a range of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these</w:t>
      </w:r>
      <w:r>
        <w:rPr>
          <w:spacing w:val="1"/>
        </w:rPr>
        <w:t> </w:t>
      </w:r>
      <w:r>
        <w:rPr/>
        <w:t>objectives,</w:t>
      </w:r>
      <w:r>
        <w:rPr>
          <w:spacing w:val="-2"/>
        </w:rPr>
        <w:t> </w:t>
      </w:r>
      <w:r>
        <w:rPr/>
        <w:t>as</w:t>
      </w:r>
      <w:r>
        <w:rPr>
          <w:spacing w:val="4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36">
        <w:r>
          <w:rPr/>
          <w:t>Box 3.1.</w:t>
        </w:r>
      </w:hyperlink>
    </w:p>
    <w:p>
      <w:pPr>
        <w:pStyle w:val="BodyText"/>
        <w:spacing w:line="271" w:lineRule="auto" w:before="121"/>
        <w:ind w:left="183" w:right="302"/>
        <w:jc w:val="both"/>
      </w:pPr>
      <w:r>
        <w:rPr/>
        <w:t>According to the 2018 European Commission’s peer counselling on the governance of higher education</w:t>
      </w:r>
      <w:r>
        <w:rPr>
          <w:spacing w:val="1"/>
        </w:rPr>
        <w:t> </w:t>
      </w:r>
      <w:r>
        <w:rPr/>
        <w:t>institutions in the Slovak Republic (see </w:t>
      </w:r>
      <w:hyperlink w:history="true" w:anchor="_bookmark39">
        <w:r>
          <w:rPr/>
          <w:t>Box 3.4 </w:t>
        </w:r>
      </w:hyperlink>
      <w:r>
        <w:rPr/>
        <w:t>for details), the Learning Slovakia plan was based upon</w:t>
      </w:r>
      <w:r>
        <w:rPr>
          <w:spacing w:val="1"/>
        </w:rPr>
        <w:t> </w:t>
      </w:r>
      <w:r>
        <w:rPr/>
        <w:t>the work of a task force of independent experts, who produced a 226-page long discussion document</w:t>
      </w:r>
      <w:r>
        <w:rPr>
          <w:spacing w:val="1"/>
        </w:rPr>
        <w:t> </w:t>
      </w:r>
      <w:r>
        <w:rPr/>
        <w:t>made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comment,</w:t>
      </w:r>
      <w:r>
        <w:rPr>
          <w:spacing w:val="-2"/>
        </w:rPr>
        <w:t> </w:t>
      </w:r>
      <w:r>
        <w:rPr/>
        <w:t>generating almost</w:t>
      </w:r>
      <w:r>
        <w:rPr>
          <w:spacing w:val="-2"/>
        </w:rPr>
        <w:t> </w:t>
      </w:r>
      <w:r>
        <w:rPr/>
        <w:t>4</w:t>
      </w:r>
      <w:r>
        <w:rPr>
          <w:spacing w:val="2"/>
        </w:rPr>
        <w:t> </w:t>
      </w:r>
      <w:r>
        <w:rPr/>
        <w:t>000</w:t>
      </w:r>
      <w:r>
        <w:rPr>
          <w:spacing w:val="-1"/>
        </w:rPr>
        <w:t> </w:t>
      </w:r>
      <w:r>
        <w:rPr/>
        <w:t>contributions.</w:t>
      </w:r>
    </w:p>
    <w:p>
      <w:pPr>
        <w:pStyle w:val="BodyText"/>
        <w:spacing w:line="273" w:lineRule="auto" w:before="119"/>
        <w:ind w:left="183" w:right="308"/>
        <w:jc w:val="both"/>
      </w:pPr>
      <w:r>
        <w:rPr/>
        <w:t>While this plan was not implemented in its entirety, it generated significant debate and led to smaller</w:t>
      </w:r>
      <w:r>
        <w:rPr>
          <w:spacing w:val="1"/>
        </w:rPr>
        <w:t> </w:t>
      </w:r>
      <w:r>
        <w:rPr/>
        <w:t>reforms,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notably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area of quality</w:t>
      </w:r>
      <w:r>
        <w:rPr>
          <w:spacing w:val="-2"/>
        </w:rPr>
        <w:t> </w:t>
      </w:r>
      <w:r>
        <w:rPr/>
        <w:t>assurance as</w:t>
      </w:r>
      <w:r>
        <w:rPr>
          <w:spacing w:val="-1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64.944pt;margin-top:10.749316pt;width:465.6pt;height:174.3pt;mso-position-horizontal-relative:page;mso-position-vertical-relative:paragraph;z-index:-15708672;mso-wrap-distance-left:0;mso-wrap-distance-right:0" type="#_x0000_t202" filled="true" fillcolor="#eeece1" stroked="true" strokeweight=".48004pt" strokecolor="#4e81bd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1"/>
                    </w:rPr>
                  </w:pPr>
                </w:p>
                <w:p>
                  <w:pPr>
                    <w:spacing w:before="0"/>
                    <w:ind w:left="136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_bookmark36" w:id="88"/>
                  <w:bookmarkEnd w:id="88"/>
                  <w:r>
                    <w:rPr/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Box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3.1.</w:t>
                  </w:r>
                  <w:r>
                    <w:rPr>
                      <w:rFonts w:ascii="Arial"/>
                      <w:b/>
                      <w:color w:val="4E81BD"/>
                      <w:spacing w:val="13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Objectives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the</w:t>
                  </w:r>
                  <w:r>
                    <w:rPr>
                      <w:rFonts w:ascii="Arial"/>
                      <w:b/>
                      <w:color w:val="4E81BD"/>
                      <w:spacing w:val="13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proposed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Learning</w:t>
                  </w:r>
                  <w:r>
                    <w:rPr>
                      <w:rFonts w:ascii="Arial"/>
                      <w:b/>
                      <w:color w:val="4E81BD"/>
                      <w:spacing w:val="14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Slovakia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Strategy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(2016)</w:t>
                  </w:r>
                </w:p>
                <w:p>
                  <w:pPr>
                    <w:spacing w:before="179"/>
                    <w:ind w:left="136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80"/>
                      <w:sz w:val="22"/>
                    </w:rPr>
                    <w:t>Objective</w:t>
                  </w:r>
                  <w:r>
                    <w:rPr>
                      <w:rFonts w:ascii="Arial"/>
                      <w:b/>
                      <w:spacing w:val="13"/>
                      <w:w w:val="8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2"/>
                    </w:rPr>
                    <w:t>1:</w:t>
                  </w:r>
                  <w:r>
                    <w:rPr>
                      <w:rFonts w:ascii="Arial"/>
                      <w:b/>
                      <w:spacing w:val="13"/>
                      <w:w w:val="8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2"/>
                    </w:rPr>
                    <w:t>Quality</w:t>
                  </w:r>
                  <w:r>
                    <w:rPr>
                      <w:rFonts w:ascii="Arial"/>
                      <w:b/>
                      <w:spacing w:val="14"/>
                      <w:w w:val="8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2"/>
                    </w:rPr>
                    <w:t>higher</w:t>
                  </w:r>
                  <w:r>
                    <w:rPr>
                      <w:rFonts w:ascii="Arial"/>
                      <w:b/>
                      <w:spacing w:val="12"/>
                      <w:w w:val="8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2"/>
                    </w:rPr>
                    <w:t>education</w:t>
                  </w:r>
                </w:p>
                <w:p>
                  <w:pPr>
                    <w:pStyle w:val="BodyText"/>
                    <w:spacing w:line="271" w:lineRule="auto" w:before="146"/>
                    <w:ind w:left="136" w:right="142"/>
                    <w:jc w:val="both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strategy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proposed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reforming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internal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quality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assurance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processes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conducted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HEIs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(1.1)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3"/>
                    </w:rPr>
                    <w:t> </w:t>
                  </w:r>
                  <w:r>
                    <w:rPr>
                      <w:spacing w:val="-1"/>
                    </w:rPr>
                    <w:t>external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quality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assurance,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which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would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managed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new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Accreditation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Commission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guaranteeing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quality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assurance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systems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effectively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implemented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(1.2),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thereby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meeting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European Association for Quality Assurance in Higher Education (ENQA) and the European Quality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Assurance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Register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Higher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(EQAR)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standards (1.3).</w:t>
                  </w:r>
                </w:p>
                <w:p>
                  <w:pPr>
                    <w:pStyle w:val="BodyText"/>
                    <w:spacing w:line="271" w:lineRule="auto" w:before="59"/>
                    <w:ind w:left="136" w:right="137"/>
                    <w:jc w:val="both"/>
                  </w:pPr>
                  <w:r>
                    <w:rPr/>
                    <w:t>Additionally, the strategy advocated for improved teacher quality by promoting their work (1.4)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reforming candidates’ selection procedures, thereby making teaching positions available to a larger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number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professional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international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experts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(1.5).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 shift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would be operated towards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64.704002pt;margin-top:65.228004pt;width:466.05pt;height:661.05pt;mso-position-horizontal-relative:page;mso-position-vertical-relative:page;z-index:-19710464" coordorigin="1294,1305" coordsize="9321,13221">
            <v:rect style="position:absolute;left:1303;top:1314;width:9302;height:13202" filled="true" fillcolor="#eeece1" stroked="false">
              <v:fill type="solid"/>
            </v:rect>
            <v:shape style="position:absolute;left:1294;top:1304;width:9321;height:13221" coordorigin="1294,1305" coordsize="9321,13221" path="m1304,1314l1294,1314,1294,14516,1304,14516,1304,1314xm10605,14516l1304,14516,1304,14516,1294,14516,1294,14525,1304,14525,1304,14525,10605,14525,10605,14516xm10605,1305l1304,1305,1304,1305,1294,1305,1294,1314,1304,1314,1304,1314,10605,1314,10605,1305xm10615,14516l10605,14516,10605,14525,10615,14525,10615,14516xm10615,1314l10605,1314,10605,14516,10615,14516,10615,1314xm10615,1305l10605,1305,10605,1314,10615,1314,10615,1305xe" filled="true" fillcolor="#4e81b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71" w:lineRule="auto" w:before="93"/>
        <w:ind w:left="320" w:right="449"/>
        <w:jc w:val="both"/>
      </w:pPr>
      <w:r>
        <w:rPr/>
        <w:t>study fields focused on educational results, connections to practical requirements and linked to the</w:t>
      </w:r>
      <w:r>
        <w:rPr>
          <w:spacing w:val="1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qualifications framework</w:t>
      </w:r>
      <w:r>
        <w:rPr>
          <w:spacing w:val="3"/>
        </w:rPr>
        <w:t> </w:t>
      </w:r>
      <w:r>
        <w:rPr/>
        <w:t>(1.6).</w:t>
      </w:r>
    </w:p>
    <w:p>
      <w:pPr>
        <w:pStyle w:val="BodyText"/>
        <w:spacing w:line="271" w:lineRule="auto" w:before="61"/>
        <w:ind w:left="320" w:right="439"/>
        <w:jc w:val="both"/>
      </w:pPr>
      <w:r>
        <w:rPr/>
        <w:t>Creating partnerships with employers to foster professional programmes and on-site training would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(1.7)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mobility opportunities (1.8).</w:t>
      </w:r>
      <w:r>
        <w:rPr>
          <w:spacing w:val="1"/>
        </w:rPr>
        <w:t> </w:t>
      </w:r>
      <w:r>
        <w:rPr/>
        <w:t>Bachelor’s degree studies would be allowed to be carried out according to a more flexible structure (a</w:t>
      </w:r>
      <w:r>
        <w:rPr>
          <w:spacing w:val="1"/>
        </w:rPr>
        <w:t> </w:t>
      </w:r>
      <w:r>
        <w:rPr/>
        <w:t>“liberal studies” model) where students have more options to shape their programme and choose</w:t>
      </w:r>
      <w:r>
        <w:rPr>
          <w:spacing w:val="1"/>
        </w:rPr>
        <w:t> </w:t>
      </w:r>
      <w:r>
        <w:rPr/>
        <w:t>courses</w:t>
      </w:r>
      <w:r>
        <w:rPr>
          <w:spacing w:val="-1"/>
        </w:rPr>
        <w:t> </w:t>
      </w:r>
      <w:r>
        <w:rPr/>
        <w:t>from</w:t>
      </w:r>
      <w:r>
        <w:rPr>
          <w:spacing w:val="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departments</w:t>
      </w:r>
      <w:r>
        <w:rPr>
          <w:spacing w:val="5"/>
        </w:rPr>
        <w:t> </w:t>
      </w:r>
      <w:r>
        <w:rPr/>
        <w:t>(1.9).</w:t>
      </w:r>
    </w:p>
    <w:p>
      <w:pPr>
        <w:pStyle w:val="BodyText"/>
        <w:spacing w:line="271" w:lineRule="auto" w:before="61"/>
        <w:ind w:left="320" w:right="438"/>
        <w:jc w:val="both"/>
      </w:pPr>
      <w:r>
        <w:rPr/>
        <w:t>Links between HEIs and secondary schools would be tightened by ensuring that HEIs co-operate in</w:t>
      </w:r>
      <w:r>
        <w:rPr>
          <w:spacing w:val="1"/>
        </w:rPr>
        <w:t> </w:t>
      </w:r>
      <w:r>
        <w:rPr/>
        <w:t>setting minimum exit standards in secondary schools (1.10) and by guaranteeing that discriminatory</w:t>
      </w:r>
      <w:r>
        <w:rPr>
          <w:spacing w:val="1"/>
        </w:rPr>
        <w:t> </w:t>
      </w:r>
      <w:r>
        <w:rPr/>
        <w:t>barriers hindering access to higher education are lifted (1.12), notably by developing new forms and</w:t>
      </w:r>
      <w:r>
        <w:rPr>
          <w:spacing w:val="1"/>
        </w:rPr>
        <w:t> </w:t>
      </w:r>
      <w:r>
        <w:rPr/>
        <w:t>methods of teaching, such as external or distance education (1.13). HEIs would finally have the</w:t>
      </w:r>
      <w:r>
        <w:rPr>
          <w:spacing w:val="1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specialise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choose</w:t>
      </w:r>
      <w:r>
        <w:rPr>
          <w:spacing w:val="1"/>
        </w:rPr>
        <w:t> </w:t>
      </w:r>
      <w:r>
        <w:rPr/>
        <w:t>their mission</w:t>
      </w:r>
      <w:r>
        <w:rPr>
          <w:spacing w:val="-3"/>
        </w:rPr>
        <w:t> </w:t>
      </w:r>
      <w:r>
        <w:rPr/>
        <w:t>(1.11).</w:t>
      </w:r>
    </w:p>
    <w:p>
      <w:pPr>
        <w:pStyle w:val="Heading4"/>
        <w:spacing w:before="156"/>
      </w:pPr>
      <w:r>
        <w:rPr>
          <w:w w:val="80"/>
        </w:rPr>
        <w:t>Objective</w:t>
      </w:r>
      <w:r>
        <w:rPr>
          <w:spacing w:val="13"/>
          <w:w w:val="80"/>
        </w:rPr>
        <w:t> </w:t>
      </w:r>
      <w:r>
        <w:rPr>
          <w:w w:val="80"/>
        </w:rPr>
        <w:t>2:</w:t>
      </w:r>
      <w:r>
        <w:rPr>
          <w:spacing w:val="14"/>
          <w:w w:val="80"/>
        </w:rPr>
        <w:t> </w:t>
      </w:r>
      <w:r>
        <w:rPr>
          <w:w w:val="80"/>
        </w:rPr>
        <w:t>Quality</w:t>
      </w:r>
      <w:r>
        <w:rPr>
          <w:spacing w:val="13"/>
          <w:w w:val="80"/>
        </w:rPr>
        <w:t> </w:t>
      </w:r>
      <w:r>
        <w:rPr>
          <w:w w:val="80"/>
        </w:rPr>
        <w:t>higher</w:t>
      </w:r>
      <w:r>
        <w:rPr>
          <w:spacing w:val="12"/>
          <w:w w:val="80"/>
        </w:rPr>
        <w:t> </w:t>
      </w:r>
      <w:r>
        <w:rPr>
          <w:w w:val="80"/>
        </w:rPr>
        <w:t>education</w:t>
      </w:r>
      <w:r>
        <w:rPr>
          <w:spacing w:val="13"/>
          <w:w w:val="80"/>
        </w:rPr>
        <w:t> </w:t>
      </w:r>
      <w:r>
        <w:rPr>
          <w:w w:val="80"/>
        </w:rPr>
        <w:t>research</w:t>
      </w:r>
    </w:p>
    <w:p>
      <w:pPr>
        <w:pStyle w:val="BodyText"/>
        <w:spacing w:line="271" w:lineRule="auto" w:before="145"/>
        <w:ind w:left="320" w:right="441"/>
        <w:jc w:val="both"/>
      </w:pPr>
      <w:r>
        <w:rPr/>
        <w:t>Improving the quality of higher education research</w:t>
      </w:r>
      <w:r>
        <w:rPr>
          <w:spacing w:val="1"/>
        </w:rPr>
        <w:t> </w:t>
      </w:r>
      <w:r>
        <w:rPr/>
        <w:t>would be achieved</w:t>
      </w:r>
      <w:r>
        <w:rPr>
          <w:spacing w:val="1"/>
        </w:rPr>
        <w:t> </w:t>
      </w:r>
      <w:r>
        <w:rPr/>
        <w:t>by creating a favourable</w:t>
      </w:r>
      <w:r>
        <w:rPr>
          <w:spacing w:val="1"/>
        </w:rPr>
        <w:t> </w:t>
      </w:r>
      <w:r>
        <w:rPr/>
        <w:t>environment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research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development   (R&amp;D)   through   increased   co-operation.   The</w:t>
      </w:r>
      <w:r>
        <w:rPr>
          <w:spacing w:val="1"/>
        </w:rPr>
        <w:t> </w:t>
      </w:r>
      <w:r>
        <w:rPr/>
        <w:t>Slovak Republic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notably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doctoral</w:t>
      </w:r>
      <w:r>
        <w:rPr>
          <w:spacing w:val="-2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post-doctoral</w:t>
      </w:r>
      <w:r>
        <w:rPr>
          <w:spacing w:val="-4"/>
        </w:rPr>
        <w:t> </w:t>
      </w:r>
      <w:r>
        <w:rPr/>
        <w:t>positions (</w:t>
      </w:r>
      <w:r>
        <w:rPr>
          <w:spacing w:val="-2"/>
        </w:rPr>
        <w:t> </w:t>
      </w:r>
      <w:r>
        <w:rPr/>
        <w:t>2.1).</w:t>
      </w:r>
    </w:p>
    <w:p>
      <w:pPr>
        <w:pStyle w:val="BodyText"/>
        <w:spacing w:line="271" w:lineRule="auto" w:before="60"/>
        <w:ind w:left="320" w:right="446"/>
        <w:jc w:val="both"/>
      </w:pPr>
      <w:r>
        <w:rPr/>
        <w:t>A more effective system of R&amp;D and other creative activities would be implemented to offer more</w:t>
      </w:r>
      <w:r>
        <w:rPr>
          <w:spacing w:val="1"/>
        </w:rPr>
        <w:t> </w:t>
      </w:r>
      <w:r>
        <w:rPr/>
        <w:t>institutional</w:t>
      </w:r>
      <w:r>
        <w:rPr>
          <w:spacing w:val="-9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HEIs</w:t>
      </w:r>
      <w:r>
        <w:rPr>
          <w:spacing w:val="-7"/>
        </w:rPr>
        <w:t> </w:t>
      </w:r>
      <w:r>
        <w:rPr/>
        <w:t>(2.2)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promote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acquisition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knowledge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areas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reach</w:t>
      </w:r>
      <w:r>
        <w:rPr>
          <w:spacing w:val="-3"/>
        </w:rPr>
        <w:t> </w:t>
      </w:r>
      <w:r>
        <w:rPr/>
        <w:t>an international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 creative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(2.3).</w:t>
      </w:r>
    </w:p>
    <w:p>
      <w:pPr>
        <w:pStyle w:val="BodyText"/>
        <w:spacing w:line="271" w:lineRule="auto" w:before="60"/>
        <w:ind w:left="320" w:right="449"/>
        <w:jc w:val="both"/>
      </w:pPr>
      <w:r>
        <w:rPr/>
        <w:t>Additionally, support would be given for solving specific problems in Slovak society that cannot be</w:t>
      </w:r>
      <w:r>
        <w:rPr>
          <w:spacing w:val="1"/>
        </w:rPr>
        <w:t> </w:t>
      </w:r>
      <w:r>
        <w:rPr/>
        <w:t>addressed in other ways (2.4). Ensuring that grant agencies operate in a transparent manner to foster</w:t>
      </w:r>
      <w:r>
        <w:rPr>
          <w:spacing w:val="-53"/>
        </w:rPr>
        <w:t> </w:t>
      </w:r>
      <w:r>
        <w:rPr/>
        <w:t>competition (2.5), as well as developing consortia of universities and enterprises and support for</w:t>
      </w:r>
      <w:r>
        <w:rPr>
          <w:spacing w:val="1"/>
        </w:rPr>
        <w:t> </w:t>
      </w:r>
      <w:r>
        <w:rPr>
          <w:spacing w:val="-1"/>
        </w:rPr>
        <w:t>infrastructure</w:t>
      </w:r>
      <w:r>
        <w:rPr>
          <w:spacing w:val="-12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particular</w:t>
      </w:r>
      <w:r>
        <w:rPr>
          <w:spacing w:val="-10"/>
        </w:rPr>
        <w:t> </w:t>
      </w:r>
      <w:r>
        <w:rPr>
          <w:spacing w:val="-1"/>
        </w:rPr>
        <w:t>university</w:t>
      </w:r>
      <w:r>
        <w:rPr>
          <w:spacing w:val="-15"/>
        </w:rPr>
        <w:t> </w:t>
      </w:r>
      <w:r>
        <w:rPr>
          <w:spacing w:val="-1"/>
        </w:rPr>
        <w:t>science</w:t>
      </w:r>
      <w:r>
        <w:rPr>
          <w:spacing w:val="-11"/>
        </w:rPr>
        <w:t> </w:t>
      </w:r>
      <w:r>
        <w:rPr>
          <w:spacing w:val="-1"/>
        </w:rPr>
        <w:t>parks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research</w:t>
      </w:r>
      <w:r>
        <w:rPr>
          <w:spacing w:val="-11"/>
        </w:rPr>
        <w:t> </w:t>
      </w:r>
      <w:r>
        <w:rPr/>
        <w:t>centres</w:t>
      </w:r>
      <w:r>
        <w:rPr>
          <w:spacing w:val="-9"/>
        </w:rPr>
        <w:t> </w:t>
      </w:r>
      <w:r>
        <w:rPr/>
        <w:t>built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European</w:t>
      </w:r>
      <w:r>
        <w:rPr>
          <w:spacing w:val="-11"/>
        </w:rPr>
        <w:t> </w:t>
      </w:r>
      <w:r>
        <w:rPr/>
        <w:t>funds</w:t>
      </w:r>
      <w:r>
        <w:rPr>
          <w:spacing w:val="-11"/>
        </w:rPr>
        <w:t> </w:t>
      </w:r>
      <w:r>
        <w:rPr/>
        <w:t>(2.6)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priorities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2"/>
        </w:rPr>
        <w:t> </w:t>
      </w:r>
      <w:r>
        <w:rPr/>
        <w:t>government.</w:t>
      </w:r>
    </w:p>
    <w:p>
      <w:pPr>
        <w:pStyle w:val="Heading4"/>
        <w:spacing w:before="158"/>
      </w:pPr>
      <w:r>
        <w:rPr>
          <w:w w:val="80"/>
        </w:rPr>
        <w:t>Objective</w:t>
      </w:r>
      <w:r>
        <w:rPr>
          <w:spacing w:val="13"/>
          <w:w w:val="80"/>
        </w:rPr>
        <w:t> </w:t>
      </w:r>
      <w:r>
        <w:rPr>
          <w:w w:val="80"/>
        </w:rPr>
        <w:t>3:</w:t>
      </w:r>
      <w:r>
        <w:rPr>
          <w:spacing w:val="13"/>
          <w:w w:val="80"/>
        </w:rPr>
        <w:t> </w:t>
      </w:r>
      <w:r>
        <w:rPr>
          <w:w w:val="80"/>
        </w:rPr>
        <w:t>HEI</w:t>
      </w:r>
      <w:r>
        <w:rPr>
          <w:spacing w:val="13"/>
          <w:w w:val="80"/>
        </w:rPr>
        <w:t> </w:t>
      </w:r>
      <w:r>
        <w:rPr>
          <w:w w:val="80"/>
        </w:rPr>
        <w:t>support</w:t>
      </w:r>
      <w:r>
        <w:rPr>
          <w:spacing w:val="13"/>
          <w:w w:val="80"/>
        </w:rPr>
        <w:t> </w:t>
      </w:r>
      <w:r>
        <w:rPr>
          <w:w w:val="80"/>
        </w:rPr>
        <w:t>for</w:t>
      </w:r>
      <w:r>
        <w:rPr>
          <w:spacing w:val="8"/>
          <w:w w:val="80"/>
        </w:rPr>
        <w:t> </w:t>
      </w:r>
      <w:r>
        <w:rPr>
          <w:w w:val="80"/>
        </w:rPr>
        <w:t>regional</w:t>
      </w:r>
      <w:r>
        <w:rPr>
          <w:spacing w:val="13"/>
          <w:w w:val="80"/>
        </w:rPr>
        <w:t> </w:t>
      </w:r>
      <w:r>
        <w:rPr>
          <w:w w:val="80"/>
        </w:rPr>
        <w:t>development</w:t>
      </w:r>
    </w:p>
    <w:p>
      <w:pPr>
        <w:pStyle w:val="BodyText"/>
        <w:spacing w:line="271" w:lineRule="auto" w:before="143"/>
        <w:ind w:left="320" w:right="444"/>
        <w:jc w:val="both"/>
      </w:pPr>
      <w:r>
        <w:rPr/>
        <w:t>The creation of flexible schemes between HEIs and private companies would support innovation</w:t>
      </w:r>
      <w:r>
        <w:rPr>
          <w:spacing w:val="1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addressing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needs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Slovak</w:t>
      </w:r>
      <w:r>
        <w:rPr>
          <w:spacing w:val="-2"/>
        </w:rPr>
        <w:t> </w:t>
      </w:r>
      <w:r>
        <w:rPr/>
        <w:t>businesses</w:t>
      </w:r>
      <w:r>
        <w:rPr>
          <w:spacing w:val="-5"/>
        </w:rPr>
        <w:t> </w:t>
      </w:r>
      <w:r>
        <w:rPr/>
        <w:t>(3.1),</w:t>
      </w:r>
      <w:r>
        <w:rPr>
          <w:spacing w:val="-3"/>
        </w:rPr>
        <w:t> </w:t>
      </w:r>
      <w:r>
        <w:rPr/>
        <w:t>while</w:t>
      </w:r>
      <w:r>
        <w:rPr>
          <w:spacing w:val="-6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grant</w:t>
      </w:r>
      <w:r>
        <w:rPr>
          <w:spacing w:val="-7"/>
        </w:rPr>
        <w:t> </w:t>
      </w:r>
      <w:r>
        <w:rPr/>
        <w:t>schemes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support</w:t>
      </w:r>
      <w:r>
        <w:rPr>
          <w:spacing w:val="1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focused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HEIs’</w:t>
      </w:r>
      <w:r>
        <w:rPr>
          <w:spacing w:val="-8"/>
        </w:rPr>
        <w:t> </w:t>
      </w:r>
      <w:r>
        <w:rPr/>
        <w:t>cultural,</w:t>
      </w:r>
      <w:r>
        <w:rPr>
          <w:spacing w:val="-7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sporting</w:t>
      </w:r>
      <w:r>
        <w:rPr>
          <w:spacing w:val="-3"/>
        </w:rPr>
        <w:t> </w:t>
      </w:r>
      <w:r>
        <w:rPr/>
        <w:t>activities,</w:t>
      </w:r>
      <w:r>
        <w:rPr>
          <w:spacing w:val="-7"/>
        </w:rPr>
        <w:t> </w:t>
      </w:r>
      <w:r>
        <w:rPr/>
        <w:t>thereby</w:t>
      </w:r>
      <w:r>
        <w:rPr>
          <w:spacing w:val="-7"/>
        </w:rPr>
        <w:t> </w:t>
      </w:r>
      <w:r>
        <w:rPr/>
        <w:t>increasing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share</w:t>
      </w:r>
      <w:r>
        <w:rPr>
          <w:spacing w:val="-53"/>
        </w:rPr>
        <w:t> </w:t>
      </w:r>
      <w:r>
        <w:rPr/>
        <w:t>in regional and social development (3.2). HEIs would further contribute to their community and social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providing various other services</w:t>
      </w:r>
      <w:r>
        <w:rPr>
          <w:spacing w:val="-1"/>
        </w:rPr>
        <w:t> </w:t>
      </w:r>
      <w:r>
        <w:rPr/>
        <w:t>(3.3).</w:t>
      </w:r>
    </w:p>
    <w:p>
      <w:pPr>
        <w:pStyle w:val="Heading4"/>
        <w:spacing w:before="155"/>
      </w:pPr>
      <w:r>
        <w:rPr>
          <w:w w:val="80"/>
        </w:rPr>
        <w:t>Objective</w:t>
      </w:r>
      <w:r>
        <w:rPr>
          <w:spacing w:val="15"/>
          <w:w w:val="80"/>
        </w:rPr>
        <w:t> </w:t>
      </w:r>
      <w:r>
        <w:rPr>
          <w:w w:val="80"/>
        </w:rPr>
        <w:t>4:</w:t>
      </w:r>
      <w:r>
        <w:rPr>
          <w:spacing w:val="15"/>
          <w:w w:val="80"/>
        </w:rPr>
        <w:t> </w:t>
      </w:r>
      <w:r>
        <w:rPr>
          <w:w w:val="80"/>
        </w:rPr>
        <w:t>Improving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effectiveness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5"/>
          <w:w w:val="80"/>
        </w:rPr>
        <w:t> </w:t>
      </w:r>
      <w:r>
        <w:rPr>
          <w:w w:val="80"/>
        </w:rPr>
        <w:t>higher</w:t>
      </w:r>
      <w:r>
        <w:rPr>
          <w:spacing w:val="14"/>
          <w:w w:val="80"/>
        </w:rPr>
        <w:t> </w:t>
      </w:r>
      <w:r>
        <w:rPr>
          <w:w w:val="80"/>
        </w:rPr>
        <w:t>education</w:t>
      </w:r>
    </w:p>
    <w:p>
      <w:pPr>
        <w:pStyle w:val="BodyText"/>
        <w:spacing w:line="271" w:lineRule="auto" w:before="145"/>
        <w:ind w:left="320" w:right="441"/>
        <w:jc w:val="both"/>
      </w:pPr>
      <w:r>
        <w:rPr/>
        <w:t>The strategy proposed reforms of the financing and governance of higher education to improve the</w:t>
      </w:r>
      <w:r>
        <w:rPr>
          <w:spacing w:val="1"/>
        </w:rPr>
        <w:t> </w:t>
      </w:r>
      <w:r>
        <w:rPr/>
        <w:t>system’s effectiveness. Increasing the volume of public resources allocated to HEIs on the basis of a</w:t>
      </w:r>
      <w:r>
        <w:rPr>
          <w:spacing w:val="1"/>
        </w:rPr>
        <w:t> </w:t>
      </w:r>
      <w:r>
        <w:rPr/>
        <w:t>contract between the Ministry of Education, Science, Research and Sport and HEIs over a period of</w:t>
      </w:r>
      <w:r>
        <w:rPr>
          <w:spacing w:val="1"/>
        </w:rPr>
        <w:t> </w:t>
      </w:r>
      <w:r>
        <w:rPr/>
        <w:t>three years (4.2) and allowing HEIs to secure their own resources would increase the total volume of</w:t>
      </w:r>
      <w:r>
        <w:rPr>
          <w:spacing w:val="1"/>
        </w:rPr>
        <w:t> </w:t>
      </w:r>
      <w:r>
        <w:rPr/>
        <w:t>HEI</w:t>
      </w:r>
      <w:r>
        <w:rPr>
          <w:spacing w:val="-2"/>
        </w:rPr>
        <w:t> </w:t>
      </w:r>
      <w:r>
        <w:rPr/>
        <w:t>resources (4.1).</w:t>
      </w:r>
    </w:p>
    <w:p>
      <w:pPr>
        <w:pStyle w:val="BodyText"/>
        <w:spacing w:line="271" w:lineRule="auto" w:before="60"/>
        <w:ind w:left="320" w:right="438"/>
        <w:jc w:val="both"/>
      </w:pPr>
      <w:r>
        <w:rPr/>
        <w:t>The internal management system of HEIs would support the internal integrity of higher education</w:t>
      </w:r>
      <w:r>
        <w:rPr>
          <w:spacing w:val="1"/>
        </w:rPr>
        <w:t> </w:t>
      </w:r>
      <w:r>
        <w:rPr/>
        <w:t>institutions and ensure an appropriate balance between the competencies and responsibilities of its</w:t>
      </w:r>
      <w:r>
        <w:rPr>
          <w:spacing w:val="1"/>
        </w:rPr>
        <w:t> </w:t>
      </w:r>
      <w:r>
        <w:rPr/>
        <w:t>individual parts (4.3). Additionally, higher education legislation would be simplified to strengthen the</w:t>
      </w:r>
      <w:r>
        <w:rPr>
          <w:spacing w:val="1"/>
        </w:rPr>
        <w:t> </w:t>
      </w:r>
      <w:r>
        <w:rPr>
          <w:spacing w:val="-1"/>
        </w:rPr>
        <w:t>autonomy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HEIs</w:t>
      </w:r>
      <w:r>
        <w:rPr>
          <w:spacing w:val="-10"/>
        </w:rPr>
        <w:t> </w:t>
      </w:r>
      <w:r>
        <w:rPr>
          <w:spacing w:val="-1"/>
        </w:rPr>
        <w:t>(4.4).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systematic</w:t>
      </w:r>
      <w:r>
        <w:rPr>
          <w:spacing w:val="-9"/>
        </w:rPr>
        <w:t> </w:t>
      </w:r>
      <w:r>
        <w:rPr>
          <w:spacing w:val="-1"/>
        </w:rPr>
        <w:t>computerisation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processes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burden</w:t>
      </w:r>
      <w:r>
        <w:rPr>
          <w:spacing w:val="-1"/>
        </w:rPr>
        <w:t> </w:t>
      </w:r>
      <w:r>
        <w:rPr/>
        <w:t>of HEIs (4.5).</w:t>
      </w:r>
    </w:p>
    <w:p>
      <w:pPr>
        <w:spacing w:before="108"/>
        <w:ind w:left="32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Source:</w:t>
      </w:r>
      <w:r>
        <w:rPr>
          <w:rFonts w:ascii="Microsoft Sans Serif" w:hAns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MoE</w:t>
      </w:r>
      <w:r>
        <w:rPr>
          <w:rFonts w:ascii="Microsoft Sans Serif" w:hAnsi="Microsoft Sans Serif"/>
          <w:spacing w:val="16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(2016</w:t>
      </w:r>
      <w:r>
        <w:rPr>
          <w:rFonts w:ascii="Microsoft Sans Serif" w:hAnsi="Microsoft Sans Serif"/>
          <w:w w:val="80"/>
          <w:sz w:val="12"/>
        </w:rPr>
        <w:t>[2]</w:t>
      </w:r>
      <w:r>
        <w:rPr>
          <w:rFonts w:ascii="Microsoft Sans Serif" w:hAnsi="Microsoft Sans Serif"/>
          <w:w w:val="80"/>
          <w:position w:val="1"/>
          <w:sz w:val="18"/>
        </w:rPr>
        <w:t>),</w:t>
      </w:r>
      <w:r>
        <w:rPr>
          <w:rFonts w:ascii="Microsoft Sans Serif" w:hAnsi="Microsoft Sans Serif"/>
          <w:spacing w:val="20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Učiace</w:t>
      </w:r>
      <w:r>
        <w:rPr>
          <w:rFonts w:ascii="Arial" w:hAnsi="Arial"/>
          <w:i/>
          <w:spacing w:val="14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sa</w:t>
      </w:r>
      <w:r>
        <w:rPr>
          <w:rFonts w:ascii="Arial" w:hAnsi="Arial"/>
          <w:i/>
          <w:spacing w:val="14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Slovensko</w:t>
      </w:r>
      <w:r>
        <w:rPr>
          <w:rFonts w:ascii="Arial" w:hAnsi="Arial"/>
          <w:i/>
          <w:spacing w:val="14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[Learning</w:t>
      </w:r>
      <w:r>
        <w:rPr>
          <w:rFonts w:ascii="Arial" w:hAnsi="Arial"/>
          <w:i/>
          <w:spacing w:val="17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Slovakia],</w:t>
      </w:r>
      <w:r>
        <w:rPr>
          <w:rFonts w:ascii="Arial" w:hAnsi="Arial"/>
          <w:i/>
          <w:spacing w:val="17"/>
          <w:w w:val="80"/>
          <w:position w:val="1"/>
          <w:sz w:val="18"/>
        </w:rPr>
        <w:t> </w:t>
      </w:r>
      <w:hyperlink r:id="rId124">
        <w:r>
          <w:rPr>
            <w:rFonts w:ascii="Microsoft Sans Serif" w:hAnsi="Microsoft Sans Serif"/>
            <w:color w:val="0000FF"/>
            <w:w w:val="80"/>
            <w:position w:val="1"/>
            <w:sz w:val="18"/>
            <w:u w:val="single" w:color="0000FF"/>
          </w:rPr>
          <w:t>https://www.minedu.sk/data/att/10640.pdf</w:t>
        </w:r>
        <w:r>
          <w:rPr>
            <w:rFonts w:ascii="Microsoft Sans Serif" w:hAnsi="Microsoft Sans Serif"/>
            <w:w w:val="80"/>
            <w:position w:val="1"/>
            <w:sz w:val="18"/>
          </w:rPr>
          <w:t>.</w:t>
        </w:r>
      </w:hyperlink>
    </w:p>
    <w:p>
      <w:pPr>
        <w:spacing w:after="0"/>
        <w:jc w:val="left"/>
        <w:rPr>
          <w:rFonts w:ascii="Microsoft Sans Serif" w:hAns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Heading7"/>
        <w:spacing w:before="184"/>
      </w:pPr>
      <w:bookmarkStart w:name="Reforms of system structure and quality " w:id="89"/>
      <w:bookmarkEnd w:id="89"/>
      <w:r>
        <w:rPr>
          <w:i w:val="0"/>
        </w:rPr>
      </w:r>
      <w:r>
        <w:rPr>
          <w:color w:val="616161"/>
        </w:rPr>
        <w:t>Reforms</w:t>
      </w:r>
      <w:r>
        <w:rPr>
          <w:color w:val="616161"/>
          <w:spacing w:val="-4"/>
        </w:rPr>
        <w:t> </w:t>
      </w:r>
      <w:r>
        <w:rPr>
          <w:color w:val="616161"/>
        </w:rPr>
        <w:t>of</w:t>
      </w:r>
      <w:r>
        <w:rPr>
          <w:color w:val="616161"/>
          <w:spacing w:val="-3"/>
        </w:rPr>
        <w:t> </w:t>
      </w:r>
      <w:r>
        <w:rPr>
          <w:color w:val="616161"/>
        </w:rPr>
        <w:t>system</w:t>
      </w:r>
      <w:r>
        <w:rPr>
          <w:color w:val="616161"/>
          <w:spacing w:val="-6"/>
        </w:rPr>
        <w:t> </w:t>
      </w:r>
      <w:r>
        <w:rPr>
          <w:color w:val="616161"/>
        </w:rPr>
        <w:t>structure</w:t>
      </w:r>
      <w:r>
        <w:rPr>
          <w:color w:val="616161"/>
          <w:spacing w:val="-3"/>
        </w:rPr>
        <w:t> </w:t>
      </w:r>
      <w:r>
        <w:rPr>
          <w:color w:val="616161"/>
        </w:rPr>
        <w:t>and</w:t>
      </w:r>
      <w:r>
        <w:rPr>
          <w:color w:val="616161"/>
          <w:spacing w:val="-7"/>
        </w:rPr>
        <w:t> </w:t>
      </w:r>
      <w:r>
        <w:rPr>
          <w:color w:val="616161"/>
        </w:rPr>
        <w:t>quality</w:t>
      </w:r>
      <w:r>
        <w:rPr>
          <w:color w:val="616161"/>
          <w:spacing w:val="-4"/>
        </w:rPr>
        <w:t> </w:t>
      </w:r>
      <w:r>
        <w:rPr>
          <w:color w:val="616161"/>
        </w:rPr>
        <w:t>assurance</w:t>
      </w:r>
    </w:p>
    <w:p>
      <w:pPr>
        <w:pStyle w:val="BodyText"/>
        <w:spacing w:line="271" w:lineRule="auto" w:before="214"/>
        <w:ind w:left="183" w:right="309"/>
        <w:jc w:val="both"/>
      </w:pPr>
      <w:r>
        <w:rPr/>
        <w:t>After limited government steering during the period of fast enrolment growth until the early 2000s,</w:t>
      </w:r>
      <w:r>
        <w:rPr>
          <w:spacing w:val="1"/>
        </w:rPr>
        <w:t> </w:t>
      </w:r>
      <w:r>
        <w:rPr/>
        <w:t>governments have attempted to steer HEIs towards greater quality in two ways: by introducing different</w:t>
      </w:r>
      <w:r>
        <w:rPr>
          <w:spacing w:val="1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profiles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concentrate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excellence</w:t>
      </w:r>
      <w:r>
        <w:rPr>
          <w:spacing w:val="-3"/>
        </w:rPr>
        <w:t> </w:t>
      </w:r>
      <w:r>
        <w:rPr/>
        <w:t>among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small</w:t>
      </w:r>
      <w:r>
        <w:rPr>
          <w:spacing w:val="-5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HEIs,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creating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-6"/>
        </w:rPr>
        <w:t> </w:t>
      </w:r>
      <w:r>
        <w:rPr/>
        <w:t>regime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assurance</w:t>
      </w:r>
      <w:r>
        <w:rPr>
          <w:spacing w:val="-4"/>
        </w:rPr>
        <w:t> </w:t>
      </w:r>
      <w:r>
        <w:rPr/>
        <w:t>promoting</w:t>
      </w:r>
      <w:r>
        <w:rPr>
          <w:spacing w:val="-1"/>
        </w:rPr>
        <w:t> </w:t>
      </w:r>
      <w:r>
        <w:rPr/>
        <w:t>rigorous</w:t>
      </w:r>
      <w:r>
        <w:rPr>
          <w:spacing w:val="-3"/>
        </w:rPr>
        <w:t> </w:t>
      </w:r>
      <w:r>
        <w:rPr/>
        <w:t>standards</w:t>
      </w:r>
      <w:r>
        <w:rPr>
          <w:spacing w:val="-3"/>
        </w:rPr>
        <w:t> </w:t>
      </w:r>
      <w:r>
        <w:rPr/>
        <w:t>controlled</w:t>
      </w:r>
      <w:r>
        <w:rPr>
          <w:spacing w:val="-3"/>
        </w:rPr>
        <w:t> </w:t>
      </w:r>
      <w:r>
        <w:rPr/>
        <w:t>by an</w:t>
      </w:r>
      <w:r>
        <w:rPr>
          <w:spacing w:val="-4"/>
        </w:rPr>
        <w:t> </w:t>
      </w:r>
      <w:r>
        <w:rPr/>
        <w:t>independent</w:t>
      </w:r>
      <w:r>
        <w:rPr>
          <w:spacing w:val="-5"/>
        </w:rPr>
        <w:t> </w:t>
      </w:r>
      <w:r>
        <w:rPr/>
        <w:t>agency.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After a change of government in 2006, an amendment to the Act on Higher Education No. 131/2002</w:t>
      </w:r>
      <w:r>
        <w:rPr>
          <w:spacing w:val="1"/>
        </w:rPr>
        <w:t> </w:t>
      </w:r>
      <w:r>
        <w:rPr/>
        <w:t>(hereafter “HE Act”) introduced three types of institutions differentiated according to their mission, namely</w:t>
      </w:r>
      <w:r>
        <w:rPr>
          <w:spacing w:val="-53"/>
        </w:rPr>
        <w:t> </w:t>
      </w:r>
      <w:r>
        <w:rPr/>
        <w:t>“universities”, “professional HEIs” and “HEIs”. “Research universities” were no longer identified (Reichert,</w:t>
      </w:r>
      <w:r>
        <w:rPr>
          <w:spacing w:val="-53"/>
        </w:rPr>
        <w:t> </w:t>
      </w:r>
      <w:r>
        <w:rPr>
          <w:position w:val="1"/>
        </w:rPr>
        <w:t>2009</w:t>
      </w:r>
      <w:r>
        <w:rPr>
          <w:sz w:val="13"/>
        </w:rPr>
        <w:t>[1]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intention</w:t>
      </w:r>
      <w:r>
        <w:rPr>
          <w:spacing w:val="1"/>
          <w:position w:val="1"/>
        </w:rPr>
        <w:t> </w:t>
      </w:r>
      <w:r>
        <w:rPr>
          <w:position w:val="1"/>
        </w:rPr>
        <w:t>was</w:t>
      </w:r>
      <w:r>
        <w:rPr>
          <w:spacing w:val="1"/>
          <w:position w:val="1"/>
        </w:rPr>
        <w:t> </w:t>
      </w:r>
      <w:r>
        <w:rPr>
          <w:position w:val="1"/>
        </w:rPr>
        <w:t>to</w:t>
      </w:r>
      <w:r>
        <w:rPr>
          <w:spacing w:val="1"/>
          <w:position w:val="1"/>
        </w:rPr>
        <w:t> </w:t>
      </w:r>
      <w:r>
        <w:rPr>
          <w:position w:val="1"/>
        </w:rPr>
        <w:t>pursue</w:t>
      </w:r>
      <w:r>
        <w:rPr>
          <w:spacing w:val="1"/>
          <w:position w:val="1"/>
        </w:rPr>
        <w:t> </w:t>
      </w:r>
      <w:r>
        <w:rPr>
          <w:position w:val="1"/>
        </w:rPr>
        <w:t>differentiation</w:t>
      </w:r>
      <w:r>
        <w:rPr>
          <w:spacing w:val="1"/>
          <w:position w:val="1"/>
        </w:rPr>
        <w:t> </w:t>
      </w:r>
      <w:r>
        <w:rPr>
          <w:position w:val="1"/>
        </w:rPr>
        <w:t>between</w:t>
      </w:r>
      <w:r>
        <w:rPr>
          <w:spacing w:val="1"/>
          <w:position w:val="1"/>
        </w:rPr>
        <w:t> </w:t>
      </w:r>
      <w:r>
        <w:rPr>
          <w:position w:val="1"/>
        </w:rPr>
        <w:t>research</w:t>
      </w:r>
      <w:r>
        <w:rPr>
          <w:spacing w:val="1"/>
          <w:position w:val="1"/>
        </w:rPr>
        <w:t> </w:t>
      </w:r>
      <w:r>
        <w:rPr>
          <w:position w:val="1"/>
        </w:rPr>
        <w:t>and</w:t>
      </w:r>
      <w:r>
        <w:rPr>
          <w:spacing w:val="1"/>
          <w:position w:val="1"/>
        </w:rPr>
        <w:t> </w:t>
      </w:r>
      <w:r>
        <w:rPr>
          <w:position w:val="1"/>
        </w:rPr>
        <w:t>professionally</w:t>
      </w:r>
      <w:r>
        <w:rPr>
          <w:spacing w:val="1"/>
          <w:position w:val="1"/>
        </w:rPr>
        <w:t> </w:t>
      </w:r>
      <w:r>
        <w:rPr>
          <w:position w:val="1"/>
        </w:rPr>
        <w:t>focused</w:t>
      </w:r>
      <w:r>
        <w:rPr>
          <w:spacing w:val="1"/>
          <w:position w:val="1"/>
        </w:rPr>
        <w:t> </w:t>
      </w:r>
      <w:r>
        <w:rPr/>
        <w:t>institutions along a single criterion of evaluation: research intensity. The amendment’s classification</w:t>
      </w:r>
      <w:r>
        <w:rPr>
          <w:spacing w:val="1"/>
        </w:rPr>
        <w:t> </w:t>
      </w:r>
      <w:r>
        <w:rPr/>
        <w:t>scheme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tanligbly</w:t>
      </w:r>
      <w:r>
        <w:rPr>
          <w:spacing w:val="-3"/>
        </w:rPr>
        <w:t> </w:t>
      </w:r>
      <w:r>
        <w:rPr/>
        <w:t>implemented</w:t>
      </w:r>
      <w:r>
        <w:rPr>
          <w:spacing w:val="-2"/>
        </w:rPr>
        <w:t> </w:t>
      </w:r>
      <w:r>
        <w:rPr/>
        <w:t>through a</w:t>
      </w:r>
      <w:r>
        <w:rPr>
          <w:spacing w:val="-2"/>
        </w:rPr>
        <w:t> </w:t>
      </w:r>
      <w:r>
        <w:rPr/>
        <w:t>differentiated</w:t>
      </w:r>
      <w:r>
        <w:rPr>
          <w:spacing w:val="-2"/>
        </w:rPr>
        <w:t> </w:t>
      </w:r>
      <w:r>
        <w:rPr/>
        <w:t>funding</w:t>
      </w:r>
      <w:r>
        <w:rPr>
          <w:spacing w:val="-3"/>
        </w:rPr>
        <w:t> </w:t>
      </w:r>
      <w:r>
        <w:rPr/>
        <w:t>formula.</w:t>
      </w:r>
    </w:p>
    <w:p>
      <w:pPr>
        <w:pStyle w:val="BodyText"/>
        <w:spacing w:line="271" w:lineRule="auto" w:before="121"/>
        <w:ind w:left="183" w:right="308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amendment</w:t>
      </w:r>
      <w:r>
        <w:rPr>
          <w:spacing w:val="-13"/>
        </w:rPr>
        <w:t> </w:t>
      </w:r>
      <w:r>
        <w:rPr>
          <w:spacing w:val="-1"/>
        </w:rPr>
        <w:t>introduced</w:t>
      </w:r>
      <w:r>
        <w:rPr>
          <w:spacing w:val="-11"/>
        </w:rPr>
        <w:t> </w:t>
      </w:r>
      <w:r>
        <w:rPr>
          <w:spacing w:val="-1"/>
        </w:rPr>
        <w:t>threshold</w:t>
      </w:r>
      <w:r>
        <w:rPr>
          <w:spacing w:val="-12"/>
        </w:rPr>
        <w:t> </w:t>
      </w:r>
      <w:r>
        <w:rPr/>
        <w:t>levels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areas</w:t>
      </w:r>
      <w:r>
        <w:rPr>
          <w:spacing w:val="-12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per</w:t>
      </w:r>
      <w:r>
        <w:rPr>
          <w:spacing w:val="-12"/>
        </w:rPr>
        <w:t> </w:t>
      </w:r>
      <w:r>
        <w:rPr/>
        <w:t>level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 per head of staff, research performance and third-party grant income to determine the institutional</w:t>
      </w:r>
      <w:r>
        <w:rPr>
          <w:spacing w:val="1"/>
        </w:rPr>
        <w:t> </w:t>
      </w:r>
      <w:r>
        <w:rPr/>
        <w:t>type.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obtain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title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university,</w:t>
      </w:r>
      <w:r>
        <w:rPr>
          <w:spacing w:val="-13"/>
        </w:rPr>
        <w:t> </w:t>
      </w:r>
      <w:r>
        <w:rPr/>
        <w:t>HEIs</w:t>
      </w:r>
      <w:r>
        <w:rPr>
          <w:spacing w:val="-10"/>
        </w:rPr>
        <w:t> </w:t>
      </w:r>
      <w:r>
        <w:rPr/>
        <w:t>were</w:t>
      </w:r>
      <w:r>
        <w:rPr>
          <w:spacing w:val="-13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reach</w:t>
      </w:r>
      <w:r>
        <w:rPr>
          <w:spacing w:val="-11"/>
        </w:rPr>
        <w:t> </w:t>
      </w:r>
      <w:r>
        <w:rPr/>
        <w:t>threshold</w:t>
      </w:r>
      <w:r>
        <w:rPr>
          <w:spacing w:val="-11"/>
        </w:rPr>
        <w:t> </w:t>
      </w:r>
      <w:r>
        <w:rPr/>
        <w:t>levels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six</w:t>
      </w:r>
      <w:r>
        <w:rPr>
          <w:spacing w:val="-12"/>
        </w:rPr>
        <w:t> </w:t>
      </w:r>
      <w:r>
        <w:rPr/>
        <w:t>areas,</w:t>
      </w:r>
      <w:r>
        <w:rPr>
          <w:spacing w:val="-13"/>
        </w:rPr>
        <w:t> </w:t>
      </w:r>
      <w:r>
        <w:rPr/>
        <w:t>five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which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research-related,</w:t>
      </w:r>
      <w:r>
        <w:rPr>
          <w:spacing w:val="-11"/>
        </w:rPr>
        <w:t> </w:t>
      </w:r>
      <w:r>
        <w:rPr>
          <w:spacing w:val="-1"/>
        </w:rPr>
        <w:t>namely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number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doctoral</w:t>
      </w:r>
      <w:r>
        <w:rPr>
          <w:spacing w:val="-12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per</w:t>
      </w:r>
      <w:r>
        <w:rPr>
          <w:spacing w:val="-12"/>
        </w:rPr>
        <w:t> </w:t>
      </w:r>
      <w:r>
        <w:rPr/>
        <w:t>staff,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doctoral</w:t>
      </w:r>
      <w:r>
        <w:rPr>
          <w:spacing w:val="-12"/>
        </w:rPr>
        <w:t> </w:t>
      </w:r>
      <w:r>
        <w:rPr/>
        <w:t>graduates,</w:t>
      </w:r>
      <w:r>
        <w:rPr>
          <w:spacing w:val="-53"/>
        </w:rPr>
        <w:t> </w:t>
      </w:r>
      <w:r>
        <w:rPr/>
        <w:t>the research results of their theses, the average grant income per professor and overall research</w:t>
      </w:r>
      <w:r>
        <w:rPr>
          <w:spacing w:val="1"/>
        </w:rPr>
        <w:t> </w:t>
      </w:r>
      <w:r>
        <w:rPr>
          <w:position w:val="1"/>
        </w:rPr>
        <w:t>performance</w:t>
      </w:r>
      <w:r>
        <w:rPr>
          <w:spacing w:val="-1"/>
          <w:position w:val="1"/>
        </w:rPr>
        <w:t> </w:t>
      </w:r>
      <w:r>
        <w:rPr>
          <w:position w:val="1"/>
        </w:rPr>
        <w:t>(Reichert,</w:t>
      </w:r>
      <w:r>
        <w:rPr>
          <w:spacing w:val="1"/>
          <w:position w:val="1"/>
        </w:rPr>
        <w:t> </w:t>
      </w:r>
      <w:r>
        <w:rPr>
          <w:position w:val="1"/>
        </w:rPr>
        <w:t>2009</w:t>
      </w:r>
      <w:r>
        <w:rPr>
          <w:sz w:val="13"/>
        </w:rPr>
        <w:t>[1]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In the area of quality assurance, the 2018 Act on Quality Assurance in Higher Education introduced a</w:t>
      </w:r>
      <w:r>
        <w:rPr>
          <w:spacing w:val="1"/>
        </w:rPr>
        <w:t> </w:t>
      </w:r>
      <w:r>
        <w:rPr/>
        <w:t>critical policy shift ending a model that had been criticised as ineffective as described in Chapter 2</w:t>
      </w:r>
      <w:r>
        <w:rPr>
          <w:spacing w:val="1"/>
        </w:rPr>
        <w:t> </w:t>
      </w:r>
      <w:r>
        <w:rPr>
          <w:position w:val="1"/>
        </w:rPr>
        <w:t>(Machlica et al., 2017</w:t>
      </w:r>
      <w:r>
        <w:rPr>
          <w:sz w:val="13"/>
        </w:rPr>
        <w:t>[3]</w:t>
      </w:r>
      <w:r>
        <w:rPr>
          <w:position w:val="1"/>
        </w:rPr>
        <w:t>). The new model involves an independent agency, the Slovak Accreditation</w:t>
      </w:r>
      <w:r>
        <w:rPr>
          <w:spacing w:val="1"/>
          <w:position w:val="1"/>
        </w:rPr>
        <w:t> </w:t>
      </w:r>
      <w:r>
        <w:rPr/>
        <w:t>Agency for Higher Education (SAAHE), which is responsible for formulating standards for HEIs’ internal</w:t>
      </w:r>
      <w:r>
        <w:rPr>
          <w:spacing w:val="1"/>
        </w:rPr>
        <w:t> </w:t>
      </w:r>
      <w:r>
        <w:rPr/>
        <w:t>quality assurance processes and criteria that will be used in the external quality assurance activities it will</w:t>
      </w:r>
      <w:r>
        <w:rPr>
          <w:spacing w:val="-53"/>
        </w:rPr>
        <w:t> </w:t>
      </w:r>
      <w:r>
        <w:rPr/>
        <w:t>undertake. Among other areas, the new model focuses explicitly on strengthening the labour market</w:t>
      </w:r>
      <w:r>
        <w:rPr>
          <w:spacing w:val="1"/>
        </w:rPr>
        <w:t> </w:t>
      </w:r>
      <w:r>
        <w:rPr/>
        <w:t>relevance of higher education. In particular, it requires each HEI to regularly monitor and evaluate study</w:t>
      </w:r>
      <w:r>
        <w:rPr>
          <w:spacing w:val="1"/>
        </w:rPr>
        <w:t> </w:t>
      </w:r>
      <w:r>
        <w:rPr>
          <w:position w:val="1"/>
        </w:rPr>
        <w:t>programmes</w:t>
      </w:r>
      <w:r>
        <w:rPr>
          <w:spacing w:val="-11"/>
          <w:position w:val="1"/>
        </w:rPr>
        <w:t> </w:t>
      </w:r>
      <w:r>
        <w:rPr>
          <w:position w:val="1"/>
        </w:rPr>
        <w:t>in</w:t>
      </w:r>
      <w:r>
        <w:rPr>
          <w:spacing w:val="-13"/>
          <w:position w:val="1"/>
        </w:rPr>
        <w:t> </w:t>
      </w:r>
      <w:r>
        <w:rPr>
          <w:position w:val="1"/>
        </w:rPr>
        <w:t>co-operation</w:t>
      </w:r>
      <w:r>
        <w:rPr>
          <w:spacing w:val="-10"/>
          <w:position w:val="1"/>
        </w:rPr>
        <w:t> </w:t>
      </w:r>
      <w:r>
        <w:rPr>
          <w:position w:val="1"/>
        </w:rPr>
        <w:t>with</w:t>
      </w:r>
      <w:r>
        <w:rPr>
          <w:spacing w:val="-12"/>
          <w:position w:val="1"/>
        </w:rPr>
        <w:t> </w:t>
      </w:r>
      <w:r>
        <w:rPr>
          <w:position w:val="1"/>
        </w:rPr>
        <w:t>relevant</w:t>
      </w:r>
      <w:r>
        <w:rPr>
          <w:spacing w:val="-10"/>
          <w:position w:val="1"/>
        </w:rPr>
        <w:t> </w:t>
      </w:r>
      <w:r>
        <w:rPr>
          <w:position w:val="1"/>
        </w:rPr>
        <w:t>employers</w:t>
      </w:r>
      <w:r>
        <w:rPr>
          <w:spacing w:val="-8"/>
          <w:position w:val="1"/>
        </w:rPr>
        <w:t> </w:t>
      </w:r>
      <w:r>
        <w:rPr>
          <w:position w:val="1"/>
        </w:rPr>
        <w:t>and</w:t>
      </w:r>
      <w:r>
        <w:rPr>
          <w:spacing w:val="-12"/>
          <w:position w:val="1"/>
        </w:rPr>
        <w:t> </w:t>
      </w:r>
      <w:r>
        <w:rPr>
          <w:position w:val="1"/>
        </w:rPr>
        <w:t>other</w:t>
      </w:r>
      <w:r>
        <w:rPr>
          <w:spacing w:val="-9"/>
          <w:position w:val="1"/>
        </w:rPr>
        <w:t> </w:t>
      </w:r>
      <w:r>
        <w:rPr>
          <w:position w:val="1"/>
        </w:rPr>
        <w:t>stakeholders</w:t>
      </w:r>
      <w:r>
        <w:rPr>
          <w:spacing w:val="-6"/>
          <w:position w:val="1"/>
        </w:rPr>
        <w:t> </w:t>
      </w:r>
      <w:r>
        <w:rPr>
          <w:position w:val="1"/>
        </w:rPr>
        <w:t>(OECD,</w:t>
      </w:r>
      <w:r>
        <w:rPr>
          <w:spacing w:val="-12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[4]</w:t>
      </w:r>
      <w:r>
        <w:rPr>
          <w:position w:val="1"/>
        </w:rPr>
        <w:t>).</w:t>
      </w:r>
      <w:r>
        <w:rPr>
          <w:spacing w:val="-12"/>
          <w:position w:val="1"/>
        </w:rPr>
        <w:t> </w:t>
      </w:r>
      <w:r>
        <w:rPr>
          <w:position w:val="1"/>
        </w:rPr>
        <w:t>In</w:t>
      </w:r>
      <w:r>
        <w:rPr>
          <w:spacing w:val="-9"/>
          <w:position w:val="1"/>
        </w:rPr>
        <w:t> </w:t>
      </w:r>
      <w:r>
        <w:rPr>
          <w:position w:val="1"/>
        </w:rPr>
        <w:t>2021,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/>
        <w:t>SAAHE and the Ministry of Education, Science, Research and Sport (MoE) took a number of steps to</w:t>
      </w:r>
      <w:r>
        <w:rPr>
          <w:spacing w:val="1"/>
        </w:rPr>
        <w:t> </w:t>
      </w:r>
      <w:r>
        <w:rPr/>
        <w:t>support</w:t>
      </w:r>
      <w:r>
        <w:rPr>
          <w:spacing w:val="-8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new</w:t>
      </w:r>
      <w:r>
        <w:rPr>
          <w:spacing w:val="-9"/>
        </w:rPr>
        <w:t> </w:t>
      </w:r>
      <w:r>
        <w:rPr/>
        <w:t>quality</w:t>
      </w:r>
      <w:r>
        <w:rPr>
          <w:spacing w:val="-7"/>
        </w:rPr>
        <w:t> </w:t>
      </w:r>
      <w:r>
        <w:rPr/>
        <w:t>assurance</w:t>
      </w:r>
      <w:r>
        <w:rPr>
          <w:spacing w:val="-9"/>
        </w:rPr>
        <w:t> </w:t>
      </w:r>
      <w:r>
        <w:rPr/>
        <w:t>model,</w:t>
      </w:r>
      <w:r>
        <w:rPr>
          <w:spacing w:val="-7"/>
        </w:rPr>
        <w:t> </w:t>
      </w:r>
      <w:r>
        <w:rPr/>
        <w:t>publishing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action</w:t>
      </w:r>
      <w:r>
        <w:rPr>
          <w:spacing w:val="-8"/>
        </w:rPr>
        <w:t> </w:t>
      </w:r>
      <w:r>
        <w:rPr/>
        <w:t>plan</w:t>
      </w:r>
      <w:r>
        <w:rPr>
          <w:spacing w:val="-9"/>
        </w:rPr>
        <w:t> </w:t>
      </w:r>
      <w:r>
        <w:rPr/>
        <w:t>outlined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37">
        <w:r>
          <w:rPr/>
          <w:t>Box</w:t>
        </w:r>
        <w:r>
          <w:rPr>
            <w:spacing w:val="-1"/>
          </w:rPr>
          <w:t> </w:t>
        </w:r>
        <w:r>
          <w:rPr/>
          <w:t>3.2.</w:t>
        </w:r>
      </w:hyperlink>
    </w:p>
    <w:p>
      <w:pPr>
        <w:pStyle w:val="BodyText"/>
        <w:spacing w:line="271" w:lineRule="auto" w:before="120"/>
        <w:ind w:left="183" w:right="304"/>
        <w:jc w:val="both"/>
      </w:pPr>
      <w:r>
        <w:rPr>
          <w:spacing w:val="-1"/>
        </w:rPr>
        <w:t>It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yet</w:t>
      </w:r>
      <w:r>
        <w:rPr>
          <w:spacing w:val="-11"/>
        </w:rPr>
        <w:t> </w:t>
      </w:r>
      <w:r>
        <w:rPr>
          <w:spacing w:val="-1"/>
        </w:rPr>
        <w:t>possible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assess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types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changes</w:t>
      </w:r>
      <w:r>
        <w:rPr>
          <w:spacing w:val="-8"/>
        </w:rPr>
        <w:t> </w:t>
      </w:r>
      <w:r>
        <w:rPr/>
        <w:t>Slovak</w:t>
      </w:r>
      <w:r>
        <w:rPr>
          <w:spacing w:val="-9"/>
        </w:rPr>
        <w:t> </w:t>
      </w:r>
      <w:r>
        <w:rPr/>
        <w:t>HEIs</w:t>
      </w:r>
      <w:r>
        <w:rPr>
          <w:spacing w:val="-9"/>
        </w:rPr>
        <w:t> </w:t>
      </w:r>
      <w:r>
        <w:rPr/>
        <w:t>will</w:t>
      </w:r>
      <w:r>
        <w:rPr>
          <w:spacing w:val="-11"/>
        </w:rPr>
        <w:t> </w:t>
      </w:r>
      <w:r>
        <w:rPr/>
        <w:t>pursue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meet</w:t>
      </w:r>
      <w:r>
        <w:rPr>
          <w:spacing w:val="-13"/>
        </w:rPr>
        <w:t> </w:t>
      </w:r>
      <w:r>
        <w:rPr/>
        <w:t>new</w:t>
      </w:r>
      <w:r>
        <w:rPr>
          <w:spacing w:val="-10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standards and the extent to which implementation will vary across HEIs, since implementation is ongoing</w:t>
      </w:r>
      <w:r>
        <w:rPr>
          <w:spacing w:val="-53"/>
        </w:rPr>
        <w:t> </w:t>
      </w:r>
      <w:r>
        <w:rPr/>
        <w:t>until 2022. However, several institutional stakeholders interviewed by the OECD team expressed hopes</w:t>
      </w:r>
      <w:r>
        <w:rPr>
          <w:spacing w:val="1"/>
        </w:rPr>
        <w:t> </w:t>
      </w:r>
      <w:r>
        <w:rPr/>
        <w:t>that the system would strengthen HEIs’ focus on quality, noting in particular the value of re-thinking long</w:t>
      </w:r>
      <w:r>
        <w:rPr>
          <w:spacing w:val="1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processes in</w:t>
      </w:r>
      <w:r>
        <w:rPr>
          <w:spacing w:val="-1"/>
        </w:rPr>
        <w:t> </w:t>
      </w:r>
      <w:r>
        <w:rPr/>
        <w:t>light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-3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quality.</w:t>
      </w:r>
    </w:p>
    <w:p>
      <w:pPr>
        <w:pStyle w:val="BodyText"/>
        <w:spacing w:line="271" w:lineRule="auto" w:before="122"/>
        <w:ind w:left="183" w:right="305"/>
        <w:jc w:val="both"/>
      </w:pPr>
      <w:r>
        <w:rPr/>
        <w:t>At the same time, other higher education stakeholders suggested potential limitations of the new model.</w:t>
      </w:r>
      <w:r>
        <w:rPr>
          <w:spacing w:val="1"/>
        </w:rPr>
        <w:t> </w:t>
      </w:r>
      <w:r>
        <w:rPr/>
        <w:t>For instance, a few higher education stakeholders noted that the new list of evaluators published by the</w:t>
      </w:r>
      <w:r>
        <w:rPr>
          <w:spacing w:val="1"/>
        </w:rPr>
        <w:t> </w:t>
      </w:r>
      <w:r>
        <w:rPr/>
        <w:t>SAAHE, in charge of assessing HEIs’ internal quality assurance systems, would have benefitted from a</w:t>
      </w:r>
      <w:r>
        <w:rPr>
          <w:spacing w:val="1"/>
        </w:rPr>
        <w:t> </w:t>
      </w:r>
      <w:r>
        <w:rPr/>
        <w:t>greater diversity of profiles, rather than continued reliance on established Slovak and Czech academic</w:t>
      </w:r>
      <w:r>
        <w:rPr>
          <w:spacing w:val="1"/>
        </w:rPr>
        <w:t> </w:t>
      </w:r>
      <w:r>
        <w:rPr/>
        <w:t>networks.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before="100"/>
        <w:ind w:left="320" w:right="0" w:firstLine="0"/>
        <w:jc w:val="both"/>
        <w:rPr>
          <w:rFonts w:ascii="Arial"/>
          <w:b/>
          <w:sz w:val="24"/>
        </w:rPr>
      </w:pPr>
      <w:r>
        <w:rPr/>
        <w:pict>
          <v:group style="position:absolute;margin-left:64.704002pt;margin-top:-13.504169pt;width:466.05pt;height:548.25pt;mso-position-horizontal-relative:page;mso-position-vertical-relative:paragraph;z-index:-19709952" coordorigin="1294,-270" coordsize="9321,10965">
            <v:rect style="position:absolute;left:1303;top:-261;width:9302;height:10943" filled="true" fillcolor="#eeece1" stroked="false">
              <v:fill type="solid"/>
            </v:rect>
            <v:shape style="position:absolute;left:1294;top:-271;width:9321;height:10965" coordorigin="1294,-270" coordsize="9321,10965" path="m10605,10685l1304,10685,1304,-260,1294,-260,1294,10685,1294,10695,1304,10695,1304,10695,10605,10695,10605,10685xm10605,-270l1304,-270,1304,-270,1294,-270,1294,-260,1304,-260,1304,-260,10605,-260,10605,-270xm10615,-260l10605,-260,10605,10685,10605,10695,10615,10695,10615,10685,10615,-260xm10615,-270l10605,-270,10605,-260,10615,-260,10615,-270xe" filled="true" fillcolor="#4e81bd" stroked="false">
              <v:path arrowok="t"/>
              <v:fill type="solid"/>
            </v:shape>
            <w10:wrap type="none"/>
          </v:group>
        </w:pict>
      </w:r>
      <w:bookmarkStart w:name="_bookmark37" w:id="90"/>
      <w:bookmarkEnd w:id="90"/>
      <w:r>
        <w:rPr/>
      </w:r>
      <w:r>
        <w:rPr>
          <w:rFonts w:ascii="Arial"/>
          <w:b/>
          <w:color w:val="4E81BD"/>
          <w:w w:val="80"/>
          <w:sz w:val="24"/>
        </w:rPr>
        <w:t>Box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3.2.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National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Action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Plan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for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External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Quality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Assurance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(2021)</w:t>
      </w:r>
    </w:p>
    <w:p>
      <w:pPr>
        <w:pStyle w:val="BodyText"/>
        <w:spacing w:line="271" w:lineRule="auto" w:before="213"/>
        <w:ind w:left="320" w:right="439"/>
        <w:jc w:val="both"/>
      </w:pPr>
      <w:r>
        <w:rPr/>
        <w:t>The National Action Plan for External Quality Assurance of HEIs in the Slovak Republic was set up</w:t>
      </w:r>
      <w:r>
        <w:rPr>
          <w:spacing w:val="1"/>
        </w:rPr>
        <w:t> </w:t>
      </w:r>
      <w:r>
        <w:rPr/>
        <w:t>jointly by the SAAHE and the MoE and carried out within the scope of the international project,</w:t>
      </w:r>
      <w:r>
        <w:rPr>
          <w:spacing w:val="1"/>
        </w:rPr>
        <w:t> </w:t>
      </w:r>
      <w:r>
        <w:rPr>
          <w:spacing w:val="-1"/>
        </w:rPr>
        <w:t>“Supporting</w:t>
      </w:r>
      <w:r>
        <w:rPr>
          <w:spacing w:val="-11"/>
        </w:rPr>
        <w:t> </w:t>
      </w:r>
      <w:r>
        <w:rPr>
          <w:spacing w:val="-1"/>
        </w:rPr>
        <w:t>European</w:t>
      </w:r>
      <w:r>
        <w:rPr>
          <w:spacing w:val="-13"/>
        </w:rPr>
        <w:t> </w:t>
      </w:r>
      <w:r>
        <w:rPr>
          <w:spacing w:val="-1"/>
        </w:rPr>
        <w:t>QA</w:t>
      </w:r>
      <w:r>
        <w:rPr>
          <w:spacing w:val="-9"/>
        </w:rPr>
        <w:t> </w:t>
      </w:r>
      <w:r>
        <w:rPr>
          <w:spacing w:val="-1"/>
        </w:rPr>
        <w:t>Agencies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Meeting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European</w:t>
      </w:r>
      <w:r>
        <w:rPr>
          <w:spacing w:val="-12"/>
        </w:rPr>
        <w:t> </w:t>
      </w:r>
      <w:r>
        <w:rPr/>
        <w:t>Standards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Guidelines</w:t>
      </w:r>
      <w:r>
        <w:rPr>
          <w:spacing w:val="-9"/>
        </w:rPr>
        <w:t> </w:t>
      </w:r>
      <w:r>
        <w:rPr/>
        <w:t>(SEQA-ESG)”.</w:t>
      </w:r>
      <w:r>
        <w:rPr>
          <w:spacing w:val="-54"/>
        </w:rPr>
        <w:t> </w:t>
      </w:r>
      <w:r>
        <w:rPr/>
        <w:t>This action plan focuses on increasing the efficiency of the SAAHE’s activities and on improving its</w:t>
      </w:r>
      <w:r>
        <w:rPr>
          <w:spacing w:val="1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level</w:t>
      </w:r>
      <w:r>
        <w:rPr>
          <w:spacing w:val="-1"/>
        </w:rPr>
        <w:t> </w:t>
      </w:r>
      <w:r>
        <w:rPr/>
        <w:t>necessary</w:t>
      </w:r>
      <w:r>
        <w:rPr>
          <w:spacing w:val="-9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4"/>
        </w:rPr>
        <w:t> </w:t>
      </w:r>
      <w:r>
        <w:rPr/>
        <w:t>well-functioning external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assurance system.</w:t>
      </w:r>
    </w:p>
    <w:p>
      <w:pPr>
        <w:pStyle w:val="BodyText"/>
        <w:spacing w:line="271" w:lineRule="auto" w:before="121"/>
        <w:ind w:left="320" w:right="441"/>
        <w:jc w:val="both"/>
      </w:pPr>
      <w:r>
        <w:rPr/>
        <w:t>In 2021 and 2022, MoE and, in particular, the SAAHE are expected to implement several important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</w:t>
      </w:r>
      <w:r>
        <w:rPr/>
        <w:t>areas:</w:t>
      </w:r>
    </w:p>
    <w:p>
      <w:pPr>
        <w:pStyle w:val="ListParagraph"/>
        <w:numPr>
          <w:ilvl w:val="0"/>
          <w:numId w:val="13"/>
        </w:numPr>
        <w:tabs>
          <w:tab w:pos="1000" w:val="left" w:leader="none"/>
        </w:tabs>
        <w:spacing w:line="271" w:lineRule="auto" w:before="98" w:after="0"/>
        <w:ind w:left="999" w:right="440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Explaining the principles and strengthening the internal quality assurance systems at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HEIs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Slovak Republic</w:t>
      </w:r>
      <w:r>
        <w:rPr>
          <w:rFonts w:ascii="Arial" w:hAnsi="Arial"/>
          <w:b/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providing</w:t>
      </w:r>
      <w:r>
        <w:rPr>
          <w:spacing w:val="1"/>
          <w:sz w:val="20"/>
        </w:rPr>
        <w:t> </w:t>
      </w:r>
      <w:r>
        <w:rPr>
          <w:sz w:val="20"/>
        </w:rPr>
        <w:t>thematic</w:t>
      </w:r>
      <w:r>
        <w:rPr>
          <w:spacing w:val="1"/>
          <w:sz w:val="20"/>
        </w:rPr>
        <w:t> </w:t>
      </w:r>
      <w:r>
        <w:rPr>
          <w:sz w:val="20"/>
        </w:rPr>
        <w:t>consultations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guidelines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interpretation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standards,</w:t>
      </w:r>
      <w:r>
        <w:rPr>
          <w:spacing w:val="-7"/>
          <w:sz w:val="20"/>
        </w:rPr>
        <w:t> </w:t>
      </w:r>
      <w:r>
        <w:rPr>
          <w:sz w:val="20"/>
        </w:rPr>
        <w:t>technical</w:t>
      </w:r>
      <w:r>
        <w:rPr>
          <w:spacing w:val="-9"/>
          <w:sz w:val="20"/>
        </w:rPr>
        <w:t> </w:t>
      </w:r>
      <w:r>
        <w:rPr>
          <w:sz w:val="20"/>
        </w:rPr>
        <w:t>support</w:t>
      </w:r>
      <w:r>
        <w:rPr>
          <w:spacing w:val="-7"/>
          <w:sz w:val="20"/>
        </w:rPr>
        <w:t> </w:t>
      </w:r>
      <w:r>
        <w:rPr>
          <w:sz w:val="20"/>
        </w:rPr>
        <w:t>throughout</w:t>
      </w:r>
      <w:r>
        <w:rPr>
          <w:spacing w:val="-9"/>
          <w:sz w:val="20"/>
        </w:rPr>
        <w:t> </w:t>
      </w:r>
      <w:r>
        <w:rPr>
          <w:sz w:val="20"/>
        </w:rPr>
        <w:t>their</w:t>
      </w:r>
      <w:r>
        <w:rPr>
          <w:spacing w:val="-6"/>
          <w:sz w:val="20"/>
        </w:rPr>
        <w:t> </w:t>
      </w:r>
      <w:r>
        <w:rPr>
          <w:sz w:val="20"/>
        </w:rPr>
        <w:t>application</w:t>
      </w:r>
      <w:r>
        <w:rPr>
          <w:spacing w:val="-8"/>
          <w:sz w:val="20"/>
        </w:rPr>
        <w:t> </w:t>
      </w:r>
      <w:r>
        <w:rPr>
          <w:sz w:val="20"/>
        </w:rPr>
        <w:t>process,</w:t>
      </w:r>
      <w:r>
        <w:rPr>
          <w:spacing w:val="-9"/>
          <w:sz w:val="20"/>
        </w:rPr>
        <w:t> </w:t>
      </w:r>
      <w:r>
        <w:rPr>
          <w:sz w:val="20"/>
        </w:rPr>
        <w:t>professional</w:t>
      </w:r>
      <w:r>
        <w:rPr>
          <w:spacing w:val="1"/>
          <w:sz w:val="20"/>
        </w:rPr>
        <w:t> </w:t>
      </w:r>
      <w:r>
        <w:rPr>
          <w:sz w:val="20"/>
        </w:rPr>
        <w:t>events,</w:t>
      </w:r>
      <w:r>
        <w:rPr>
          <w:spacing w:val="-2"/>
          <w:sz w:val="20"/>
        </w:rPr>
        <w:t> </w:t>
      </w:r>
      <w:r>
        <w:rPr>
          <w:sz w:val="20"/>
        </w:rPr>
        <w:t>frequently</w:t>
      </w:r>
      <w:r>
        <w:rPr>
          <w:spacing w:val="-5"/>
          <w:sz w:val="20"/>
        </w:rPr>
        <w:t> </w:t>
      </w:r>
      <w:r>
        <w:rPr>
          <w:sz w:val="20"/>
        </w:rPr>
        <w:t>asked</w:t>
      </w:r>
      <w:r>
        <w:rPr>
          <w:spacing w:val="-3"/>
          <w:sz w:val="20"/>
        </w:rPr>
        <w:t> </w:t>
      </w:r>
      <w:r>
        <w:rPr>
          <w:sz w:val="20"/>
        </w:rPr>
        <w:t>questions</w:t>
      </w:r>
      <w:r>
        <w:rPr>
          <w:spacing w:val="1"/>
          <w:sz w:val="20"/>
        </w:rPr>
        <w:t> </w:t>
      </w:r>
      <w:r>
        <w:rPr>
          <w:sz w:val="20"/>
        </w:rPr>
        <w:t>and answers and</w:t>
      </w:r>
      <w:r>
        <w:rPr>
          <w:spacing w:val="-3"/>
          <w:sz w:val="20"/>
        </w:rPr>
        <w:t> </w:t>
      </w:r>
      <w:r>
        <w:rPr>
          <w:sz w:val="20"/>
        </w:rPr>
        <w:t>financial</w:t>
      </w:r>
      <w:r>
        <w:rPr>
          <w:spacing w:val="-3"/>
          <w:sz w:val="20"/>
        </w:rPr>
        <w:t> </w:t>
      </w:r>
      <w:r>
        <w:rPr>
          <w:sz w:val="20"/>
        </w:rPr>
        <w:t>support.</w:t>
      </w:r>
    </w:p>
    <w:p>
      <w:pPr>
        <w:pStyle w:val="ListParagraph"/>
        <w:numPr>
          <w:ilvl w:val="0"/>
          <w:numId w:val="13"/>
        </w:numPr>
        <w:tabs>
          <w:tab w:pos="1000" w:val="left" w:leader="none"/>
        </w:tabs>
        <w:spacing w:line="271" w:lineRule="auto" w:before="46" w:after="0"/>
        <w:ind w:left="999" w:right="439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Improving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level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stakeholder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involvement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quality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assurance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at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HEIs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11"/>
          <w:sz w:val="20"/>
        </w:rPr>
        <w:t> </w:t>
      </w:r>
      <w:r>
        <w:rPr>
          <w:sz w:val="20"/>
        </w:rPr>
        <w:t>increasing</w:t>
      </w:r>
      <w:r>
        <w:rPr>
          <w:spacing w:val="-53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involvement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employers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quality</w:t>
      </w:r>
      <w:r>
        <w:rPr>
          <w:spacing w:val="-12"/>
          <w:sz w:val="20"/>
        </w:rPr>
        <w:t> </w:t>
      </w:r>
      <w:r>
        <w:rPr>
          <w:sz w:val="20"/>
        </w:rPr>
        <w:t>assurance</w:t>
      </w:r>
      <w:r>
        <w:rPr>
          <w:spacing w:val="-7"/>
          <w:sz w:val="20"/>
        </w:rPr>
        <w:t> </w:t>
      </w:r>
      <w:r>
        <w:rPr>
          <w:sz w:val="20"/>
        </w:rPr>
        <w:t>system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9"/>
          <w:sz w:val="20"/>
        </w:rPr>
        <w:t> </w:t>
      </w:r>
      <w:r>
        <w:rPr>
          <w:sz w:val="20"/>
        </w:rPr>
        <w:t>HEIs</w:t>
      </w:r>
      <w:r>
        <w:rPr>
          <w:spacing w:val="-5"/>
          <w:sz w:val="20"/>
        </w:rPr>
        <w:t> </w:t>
      </w:r>
      <w:r>
        <w:rPr>
          <w:sz w:val="20"/>
        </w:rPr>
        <w:t>along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number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students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involved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quality</w:t>
      </w:r>
      <w:r>
        <w:rPr>
          <w:spacing w:val="-14"/>
          <w:sz w:val="20"/>
        </w:rPr>
        <w:t> </w:t>
      </w:r>
      <w:r>
        <w:rPr>
          <w:sz w:val="20"/>
        </w:rPr>
        <w:t>assurance</w:t>
      </w:r>
      <w:r>
        <w:rPr>
          <w:spacing w:val="-13"/>
          <w:sz w:val="20"/>
        </w:rPr>
        <w:t> </w:t>
      </w:r>
      <w:r>
        <w:rPr>
          <w:sz w:val="20"/>
        </w:rPr>
        <w:t>systems,</w:t>
      </w:r>
      <w:r>
        <w:rPr>
          <w:spacing w:val="-13"/>
          <w:sz w:val="20"/>
        </w:rPr>
        <w:t> </w:t>
      </w:r>
      <w:r>
        <w:rPr>
          <w:sz w:val="20"/>
        </w:rPr>
        <w:t>notably</w:t>
      </w:r>
      <w:r>
        <w:rPr>
          <w:spacing w:val="-13"/>
          <w:sz w:val="20"/>
        </w:rPr>
        <w:t> </w:t>
      </w:r>
      <w:r>
        <w:rPr>
          <w:sz w:val="20"/>
        </w:rPr>
        <w:t>through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student</w:t>
      </w:r>
      <w:r>
        <w:rPr>
          <w:spacing w:val="-13"/>
          <w:sz w:val="20"/>
        </w:rPr>
        <w:t> </w:t>
      </w:r>
      <w:r>
        <w:rPr>
          <w:sz w:val="20"/>
        </w:rPr>
        <w:t>satisfaction</w:t>
      </w:r>
      <w:r>
        <w:rPr>
          <w:spacing w:val="-13"/>
          <w:sz w:val="20"/>
        </w:rPr>
        <w:t> </w:t>
      </w:r>
      <w:r>
        <w:rPr>
          <w:sz w:val="20"/>
        </w:rPr>
        <w:t>survey.</w:t>
      </w:r>
      <w:r>
        <w:rPr>
          <w:spacing w:val="-53"/>
          <w:sz w:val="20"/>
        </w:rPr>
        <w:t> </w:t>
      </w:r>
      <w:r>
        <w:rPr>
          <w:sz w:val="20"/>
        </w:rPr>
        <w:t>The SAAHE conducted the first </w:t>
      </w:r>
      <w:r>
        <w:rPr>
          <w:rFonts w:ascii="Arial" w:hAnsi="Arial"/>
          <w:b/>
          <w:sz w:val="20"/>
        </w:rPr>
        <w:t>student survey </w:t>
      </w:r>
      <w:r>
        <w:rPr>
          <w:sz w:val="20"/>
        </w:rPr>
        <w:t>regarding students’ perceptions of the quality</w:t>
      </w:r>
      <w:r>
        <w:rPr>
          <w:spacing w:val="1"/>
          <w:sz w:val="20"/>
        </w:rPr>
        <w:t> </w:t>
      </w:r>
      <w:r>
        <w:rPr>
          <w:sz w:val="20"/>
        </w:rPr>
        <w:t>of Slovak HEIs in 2021. The survey is expected to be repeated every year to assess HEIs’</w:t>
      </w:r>
      <w:r>
        <w:rPr>
          <w:spacing w:val="1"/>
          <w:sz w:val="20"/>
        </w:rPr>
        <w:t> </w:t>
      </w:r>
      <w:r>
        <w:rPr>
          <w:sz w:val="20"/>
        </w:rPr>
        <w:t>improvements</w:t>
      </w:r>
      <w:r>
        <w:rPr>
          <w:spacing w:val="-11"/>
          <w:sz w:val="20"/>
        </w:rPr>
        <w:t> </w:t>
      </w:r>
      <w:r>
        <w:rPr>
          <w:sz w:val="20"/>
        </w:rPr>
        <w:t>based</w:t>
      </w:r>
      <w:r>
        <w:rPr>
          <w:spacing w:val="-13"/>
          <w:sz w:val="20"/>
        </w:rPr>
        <w:t> </w:t>
      </w:r>
      <w:r>
        <w:rPr>
          <w:sz w:val="20"/>
        </w:rPr>
        <w:t>on</w:t>
      </w:r>
      <w:r>
        <w:rPr>
          <w:spacing w:val="-13"/>
          <w:sz w:val="20"/>
        </w:rPr>
        <w:t> </w:t>
      </w:r>
      <w:r>
        <w:rPr>
          <w:sz w:val="20"/>
        </w:rPr>
        <w:t>student</w:t>
      </w:r>
      <w:r>
        <w:rPr>
          <w:spacing w:val="-13"/>
          <w:sz w:val="20"/>
        </w:rPr>
        <w:t> </w:t>
      </w:r>
      <w:r>
        <w:rPr>
          <w:sz w:val="20"/>
        </w:rPr>
        <w:t>feedback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13"/>
          <w:sz w:val="20"/>
        </w:rPr>
        <w:t> </w:t>
      </w:r>
      <w:r>
        <w:rPr>
          <w:sz w:val="20"/>
        </w:rPr>
        <w:t>taken</w:t>
      </w:r>
      <w:r>
        <w:rPr>
          <w:spacing w:val="-13"/>
          <w:sz w:val="20"/>
        </w:rPr>
        <w:t> </w:t>
      </w:r>
      <w:r>
        <w:rPr>
          <w:sz w:val="20"/>
        </w:rPr>
        <w:t>into</w:t>
      </w:r>
      <w:r>
        <w:rPr>
          <w:spacing w:val="-13"/>
          <w:sz w:val="20"/>
        </w:rPr>
        <w:t> </w:t>
      </w:r>
      <w:r>
        <w:rPr>
          <w:sz w:val="20"/>
        </w:rPr>
        <w:t>account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their</w:t>
      </w:r>
      <w:r>
        <w:rPr>
          <w:spacing w:val="-11"/>
          <w:sz w:val="20"/>
        </w:rPr>
        <w:t> </w:t>
      </w:r>
      <w:r>
        <w:rPr>
          <w:sz w:val="20"/>
        </w:rPr>
        <w:t>accreditation</w:t>
      </w:r>
      <w:r>
        <w:rPr>
          <w:spacing w:val="-12"/>
          <w:sz w:val="20"/>
        </w:rPr>
        <w:t> </w:t>
      </w:r>
      <w:r>
        <w:rPr>
          <w:sz w:val="20"/>
        </w:rPr>
        <w:t>process.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first</w:t>
      </w:r>
      <w:r>
        <w:rPr>
          <w:spacing w:val="1"/>
          <w:sz w:val="20"/>
        </w:rPr>
        <w:t> </w:t>
      </w:r>
      <w:r>
        <w:rPr>
          <w:sz w:val="20"/>
        </w:rPr>
        <w:t>survey</w:t>
      </w:r>
      <w:r>
        <w:rPr>
          <w:spacing w:val="1"/>
          <w:sz w:val="20"/>
        </w:rPr>
        <w:t> </w:t>
      </w:r>
      <w:r>
        <w:rPr>
          <w:sz w:val="20"/>
        </w:rPr>
        <w:t>gathered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views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almost</w:t>
      </w:r>
      <w:r>
        <w:rPr>
          <w:spacing w:val="1"/>
          <w:sz w:val="20"/>
        </w:rPr>
        <w:t> </w:t>
      </w:r>
      <w:r>
        <w:rPr>
          <w:sz w:val="20"/>
        </w:rPr>
        <w:t>20 000 students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first</w:t>
      </w:r>
      <w:r>
        <w:rPr>
          <w:spacing w:val="1"/>
          <w:sz w:val="20"/>
        </w:rPr>
        <w:t> </w:t>
      </w:r>
      <w:r>
        <w:rPr>
          <w:sz w:val="20"/>
        </w:rPr>
        <w:t>two</w:t>
      </w:r>
      <w:r>
        <w:rPr>
          <w:spacing w:val="1"/>
          <w:sz w:val="20"/>
        </w:rPr>
        <w:t> </w:t>
      </w:r>
      <w:r>
        <w:rPr>
          <w:sz w:val="20"/>
        </w:rPr>
        <w:t>degrees,</w:t>
      </w:r>
      <w:r>
        <w:rPr>
          <w:spacing w:val="1"/>
          <w:sz w:val="20"/>
        </w:rPr>
        <w:t> </w:t>
      </w:r>
      <w:r>
        <w:rPr>
          <w:sz w:val="20"/>
        </w:rPr>
        <w:t>representing 16% of the student population in the Slovak Republic, regarding the overall</w:t>
      </w:r>
      <w:r>
        <w:rPr>
          <w:spacing w:val="1"/>
          <w:sz w:val="20"/>
        </w:rPr>
        <w:t> </w:t>
      </w:r>
      <w:r>
        <w:rPr>
          <w:sz w:val="20"/>
        </w:rPr>
        <w:t>perception of students about their HEIs, the impact of the pandemic on higher education, and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their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preparedness for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labour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market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(SAAHE,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2021</w:t>
      </w:r>
      <w:r>
        <w:rPr>
          <w:sz w:val="13"/>
        </w:rPr>
        <w:t>[5]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13"/>
        </w:numPr>
        <w:tabs>
          <w:tab w:pos="1000" w:val="left" w:leader="none"/>
        </w:tabs>
        <w:spacing w:line="271" w:lineRule="auto" w:before="43" w:after="0"/>
        <w:ind w:left="999" w:right="439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Ensuring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quality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experts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involved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external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quality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assurance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higher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education,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improving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selection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training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reviewers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optimising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feedback</w:t>
      </w:r>
      <w:r>
        <w:rPr>
          <w:spacing w:val="-8"/>
          <w:sz w:val="20"/>
        </w:rPr>
        <w:t> </w:t>
      </w:r>
      <w:r>
        <w:rPr>
          <w:sz w:val="20"/>
        </w:rPr>
        <w:t>on</w:t>
      </w:r>
      <w:r>
        <w:rPr>
          <w:spacing w:val="-53"/>
          <w:sz w:val="20"/>
        </w:rPr>
        <w:t> </w:t>
      </w:r>
      <w:r>
        <w:rPr>
          <w:sz w:val="20"/>
        </w:rPr>
        <w:t>their activities in order to propose improvement measures, notably by drawing on international</w:t>
      </w:r>
      <w:r>
        <w:rPr>
          <w:spacing w:val="1"/>
          <w:sz w:val="20"/>
        </w:rPr>
        <w:t> </w:t>
      </w:r>
      <w:r>
        <w:rPr>
          <w:sz w:val="20"/>
        </w:rPr>
        <w:t>experiences.</w:t>
      </w:r>
    </w:p>
    <w:p>
      <w:pPr>
        <w:pStyle w:val="ListParagraph"/>
        <w:numPr>
          <w:ilvl w:val="0"/>
          <w:numId w:val="13"/>
        </w:numPr>
        <w:tabs>
          <w:tab w:pos="1000" w:val="left" w:leader="none"/>
        </w:tabs>
        <w:spacing w:line="271" w:lineRule="auto" w:before="43" w:after="0"/>
        <w:ind w:left="999" w:right="442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Ensuring the effective performance of the SAAHE </w:t>
      </w:r>
      <w:r>
        <w:rPr>
          <w:sz w:val="20"/>
        </w:rPr>
        <w:t>by optimising its organisational structure</w:t>
      </w:r>
      <w:r>
        <w:rPr>
          <w:spacing w:val="-53"/>
          <w:sz w:val="20"/>
        </w:rPr>
        <w:t> </w:t>
      </w:r>
      <w:r>
        <w:rPr>
          <w:sz w:val="20"/>
        </w:rPr>
        <w:t>and institutional capacity, systemising its internal quality assurance procedures, preparing its</w:t>
      </w:r>
      <w:r>
        <w:rPr>
          <w:spacing w:val="1"/>
          <w:sz w:val="20"/>
        </w:rPr>
        <w:t> </w:t>
      </w:r>
      <w:r>
        <w:rPr>
          <w:sz w:val="20"/>
        </w:rPr>
        <w:t>full membership in ENQA and registration in EQAR and supporting HEIs throughout their</w:t>
      </w:r>
      <w:r>
        <w:rPr>
          <w:spacing w:val="1"/>
          <w:sz w:val="20"/>
        </w:rPr>
        <w:t> </w:t>
      </w:r>
      <w:r>
        <w:rPr>
          <w:sz w:val="20"/>
        </w:rPr>
        <w:t>internal</w:t>
      </w:r>
      <w:r>
        <w:rPr>
          <w:spacing w:val="-1"/>
          <w:sz w:val="20"/>
        </w:rPr>
        <w:t> </w:t>
      </w:r>
      <w:r>
        <w:rPr>
          <w:sz w:val="20"/>
        </w:rPr>
        <w:t>quality</w:t>
      </w:r>
      <w:r>
        <w:rPr>
          <w:spacing w:val="-2"/>
          <w:sz w:val="20"/>
        </w:rPr>
        <w:t> </w:t>
      </w:r>
      <w:r>
        <w:rPr>
          <w:sz w:val="20"/>
        </w:rPr>
        <w:t>evaluation.</w:t>
      </w:r>
    </w:p>
    <w:p>
      <w:pPr>
        <w:pStyle w:val="ListParagraph"/>
        <w:numPr>
          <w:ilvl w:val="0"/>
          <w:numId w:val="13"/>
        </w:numPr>
        <w:tabs>
          <w:tab w:pos="1000" w:val="left" w:leader="none"/>
        </w:tabs>
        <w:spacing w:line="271" w:lineRule="auto" w:before="45" w:after="0"/>
        <w:ind w:left="999" w:right="436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Building confidence in Slovak HEIs and in the quality assurance system </w:t>
      </w:r>
      <w:r>
        <w:rPr>
          <w:sz w:val="20"/>
        </w:rPr>
        <w:t>by ensuring the</w:t>
      </w:r>
      <w:r>
        <w:rPr>
          <w:spacing w:val="1"/>
          <w:sz w:val="20"/>
        </w:rPr>
        <w:t> </w:t>
      </w:r>
      <w:r>
        <w:rPr>
          <w:sz w:val="20"/>
        </w:rPr>
        <w:t>correct</w:t>
      </w:r>
      <w:r>
        <w:rPr>
          <w:spacing w:val="1"/>
          <w:sz w:val="20"/>
        </w:rPr>
        <w:t> </w:t>
      </w:r>
      <w:r>
        <w:rPr>
          <w:sz w:val="20"/>
        </w:rPr>
        <w:t>establishment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implementation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quality</w:t>
      </w:r>
      <w:r>
        <w:rPr>
          <w:spacing w:val="1"/>
          <w:sz w:val="20"/>
        </w:rPr>
        <w:t> </w:t>
      </w:r>
      <w:r>
        <w:rPr>
          <w:sz w:val="20"/>
        </w:rPr>
        <w:t>assurance</w:t>
      </w:r>
      <w:r>
        <w:rPr>
          <w:spacing w:val="1"/>
          <w:sz w:val="20"/>
        </w:rPr>
        <w:t> </w:t>
      </w:r>
      <w:r>
        <w:rPr>
          <w:sz w:val="20"/>
        </w:rPr>
        <w:t>standards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providing</w:t>
      </w:r>
      <w:r>
        <w:rPr>
          <w:spacing w:val="1"/>
          <w:sz w:val="20"/>
        </w:rPr>
        <w:t> </w:t>
      </w:r>
      <w:r>
        <w:rPr>
          <w:sz w:val="20"/>
        </w:rPr>
        <w:t>transparent information regarding decision making for quality education (e.g., access to study</w:t>
      </w:r>
      <w:r>
        <w:rPr>
          <w:spacing w:val="1"/>
          <w:sz w:val="20"/>
        </w:rPr>
        <w:t> </w:t>
      </w:r>
      <w:r>
        <w:rPr>
          <w:sz w:val="20"/>
        </w:rPr>
        <w:t>programmes).</w:t>
      </w:r>
    </w:p>
    <w:p>
      <w:pPr>
        <w:spacing w:line="259" w:lineRule="auto" w:before="104"/>
        <w:ind w:left="320" w:right="435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MoE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(2021</w:t>
      </w:r>
      <w:r>
        <w:rPr>
          <w:rFonts w:ascii="Microsoft Sans Serif"/>
          <w:w w:val="80"/>
          <w:sz w:val="12"/>
        </w:rPr>
        <w:t>[6]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National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Action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Plan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for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External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Quality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Assurance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of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Higher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Institutions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the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Slovak Republic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"/>
          <w:w w:val="80"/>
          <w:position w:val="1"/>
          <w:sz w:val="18"/>
        </w:rPr>
        <w:t> </w:t>
      </w:r>
      <w:hyperlink r:id="rId125">
        <w:r>
          <w:rPr>
            <w:rFonts w:ascii="Microsoft Sans Serif"/>
            <w:color w:val="0000FF"/>
            <w:w w:val="90"/>
            <w:sz w:val="18"/>
            <w:u w:val="single" w:color="0000FF"/>
          </w:rPr>
          <w:t>https://www.minedu.sk/data/att/20126.pd</w:t>
        </w:r>
        <w:r>
          <w:rPr>
            <w:rFonts w:ascii="Microsoft Sans Serif"/>
            <w:color w:val="0000FF"/>
            <w:w w:val="90"/>
            <w:sz w:val="18"/>
          </w:rPr>
          <w:t>f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Heading7"/>
        <w:spacing w:before="94"/>
      </w:pPr>
      <w:bookmarkStart w:name="Plans for reforming institutional govern" w:id="91"/>
      <w:bookmarkEnd w:id="91"/>
      <w:r>
        <w:rPr>
          <w:i w:val="0"/>
        </w:rPr>
      </w:r>
      <w:r>
        <w:rPr>
          <w:color w:val="616161"/>
        </w:rPr>
        <w:t>Plans</w:t>
      </w:r>
      <w:r>
        <w:rPr>
          <w:color w:val="616161"/>
          <w:spacing w:val="-4"/>
        </w:rPr>
        <w:t> </w:t>
      </w:r>
      <w:r>
        <w:rPr>
          <w:color w:val="616161"/>
        </w:rPr>
        <w:t>for</w:t>
      </w:r>
      <w:r>
        <w:rPr>
          <w:color w:val="616161"/>
          <w:spacing w:val="-6"/>
        </w:rPr>
        <w:t> </w:t>
      </w:r>
      <w:r>
        <w:rPr>
          <w:color w:val="616161"/>
        </w:rPr>
        <w:t>reforming</w:t>
      </w:r>
      <w:r>
        <w:rPr>
          <w:color w:val="616161"/>
          <w:spacing w:val="-5"/>
        </w:rPr>
        <w:t> </w:t>
      </w:r>
      <w:r>
        <w:rPr>
          <w:color w:val="616161"/>
        </w:rPr>
        <w:t>institutional</w:t>
      </w:r>
      <w:r>
        <w:rPr>
          <w:color w:val="616161"/>
          <w:spacing w:val="-5"/>
        </w:rPr>
        <w:t> </w:t>
      </w:r>
      <w:r>
        <w:rPr>
          <w:color w:val="616161"/>
        </w:rPr>
        <w:t>governance</w:t>
      </w:r>
    </w:p>
    <w:p>
      <w:pPr>
        <w:pStyle w:val="BodyText"/>
        <w:spacing w:line="271" w:lineRule="auto" w:before="214"/>
        <w:ind w:left="183" w:right="303"/>
        <w:jc w:val="both"/>
      </w:pPr>
      <w:r>
        <w:rPr>
          <w:spacing w:val="-1"/>
        </w:rPr>
        <w:t>There</w:t>
      </w:r>
      <w:r>
        <w:rPr>
          <w:spacing w:val="-13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been</w:t>
      </w:r>
      <w:r>
        <w:rPr>
          <w:spacing w:val="-11"/>
        </w:rPr>
        <w:t> </w:t>
      </w:r>
      <w:r>
        <w:rPr>
          <w:spacing w:val="-1"/>
        </w:rPr>
        <w:t>several</w:t>
      </w:r>
      <w:r>
        <w:rPr>
          <w:spacing w:val="-8"/>
        </w:rPr>
        <w:t> </w:t>
      </w:r>
      <w:r>
        <w:rPr>
          <w:spacing w:val="-1"/>
        </w:rPr>
        <w:t>attempts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-9"/>
        </w:rPr>
        <w:t> </w:t>
      </w:r>
      <w:r>
        <w:rPr/>
        <w:t>Republic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modernise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model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inherited from the change of political regime in the 1990s. This model presents several weaknesses,</w:t>
      </w:r>
      <w:r>
        <w:rPr>
          <w:spacing w:val="1"/>
        </w:rPr>
        <w:t> </w:t>
      </w:r>
      <w:r>
        <w:rPr>
          <w:spacing w:val="-1"/>
        </w:rPr>
        <w:t>especially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8"/>
        </w:rPr>
        <w:t> </w:t>
      </w:r>
      <w:r>
        <w:rPr>
          <w:spacing w:val="-1"/>
        </w:rPr>
        <w:t>results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HEIs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insufficiently</w:t>
      </w:r>
      <w:r>
        <w:rPr>
          <w:spacing w:val="-14"/>
        </w:rPr>
        <w:t> </w:t>
      </w:r>
      <w:r>
        <w:rPr/>
        <w:t>focused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needs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their</w:t>
      </w:r>
      <w:r>
        <w:rPr>
          <w:spacing w:val="-7"/>
        </w:rPr>
        <w:t> </w:t>
      </w:r>
      <w:r>
        <w:rPr/>
        <w:t>wider</w:t>
      </w:r>
      <w:r>
        <w:rPr>
          <w:spacing w:val="-7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 economic environment,</w:t>
      </w:r>
      <w:r>
        <w:rPr>
          <w:spacing w:val="-2"/>
        </w:rPr>
        <w:t> </w:t>
      </w:r>
      <w:r>
        <w:rPr/>
        <w:t>as further</w:t>
      </w:r>
      <w:r>
        <w:rPr>
          <w:spacing w:val="-2"/>
        </w:rPr>
        <w:t> </w:t>
      </w:r>
      <w:r>
        <w:rPr/>
        <w:t>discussed in Action Step</w:t>
      </w:r>
      <w:r>
        <w:rPr>
          <w:spacing w:val="-2"/>
        </w:rPr>
        <w:t> </w:t>
      </w:r>
      <w:r>
        <w:rPr/>
        <w:t>3.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8"/>
        <w:jc w:val="both"/>
      </w:pPr>
      <w:r>
        <w:rPr>
          <w:spacing w:val="-1"/>
        </w:rPr>
        <w:t>Over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past</w:t>
      </w:r>
      <w:r>
        <w:rPr>
          <w:spacing w:val="-13"/>
        </w:rPr>
        <w:t> </w:t>
      </w:r>
      <w:r>
        <w:rPr>
          <w:spacing w:val="-1"/>
        </w:rPr>
        <w:t>few</w:t>
      </w:r>
      <w:r>
        <w:rPr>
          <w:spacing w:val="-11"/>
        </w:rPr>
        <w:t> </w:t>
      </w:r>
      <w:r>
        <w:rPr>
          <w:spacing w:val="-1"/>
        </w:rPr>
        <w:t>years,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2016</w:t>
      </w:r>
      <w:r>
        <w:rPr>
          <w:spacing w:val="-14"/>
        </w:rPr>
        <w:t> </w:t>
      </w:r>
      <w:r>
        <w:rPr>
          <w:spacing w:val="-1"/>
        </w:rPr>
        <w:t>Learning</w:t>
      </w:r>
      <w:r>
        <w:rPr>
          <w:spacing w:val="-14"/>
        </w:rPr>
        <w:t> </w:t>
      </w:r>
      <w:r>
        <w:rPr>
          <w:spacing w:val="-1"/>
        </w:rPr>
        <w:t>Slovakia</w:t>
      </w:r>
      <w:r>
        <w:rPr>
          <w:spacing w:val="-16"/>
        </w:rPr>
        <w:t> </w:t>
      </w:r>
      <w:r>
        <w:rPr>
          <w:spacing w:val="-1"/>
        </w:rPr>
        <w:t>plan</w:t>
      </w:r>
      <w:r>
        <w:rPr>
          <w:spacing w:val="-16"/>
        </w:rPr>
        <w:t> </w:t>
      </w:r>
      <w:r>
        <w:rPr>
          <w:spacing w:val="-1"/>
        </w:rPr>
        <w:t>recommended</w:t>
      </w:r>
      <w:r>
        <w:rPr>
          <w:spacing w:val="-16"/>
        </w:rPr>
        <w:t> </w:t>
      </w:r>
      <w:r>
        <w:rPr/>
        <w:t>reforming</w:t>
      </w:r>
      <w:r>
        <w:rPr>
          <w:spacing w:val="-16"/>
        </w:rPr>
        <w:t> </w:t>
      </w:r>
      <w:r>
        <w:rPr/>
        <w:t>institutional</w:t>
      </w:r>
      <w:r>
        <w:rPr>
          <w:spacing w:val="-14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to improve the accountability and integrity of institutions while increasing their autonomy, a direction that</w:t>
      </w:r>
      <w:r>
        <w:rPr>
          <w:spacing w:val="1"/>
        </w:rPr>
        <w:t> </w:t>
      </w:r>
      <w:r>
        <w:rPr/>
        <w:t>was also supported by the findings of the 2018 European Commission peer counselling on university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(</w:t>
      </w:r>
      <w:hyperlink w:history="true" w:anchor="_bookmark39">
        <w:r>
          <w:rPr/>
          <w:t>Box</w:t>
        </w:r>
        <w:r>
          <w:rPr>
            <w:spacing w:val="2"/>
          </w:rPr>
          <w:t> </w:t>
        </w:r>
        <w:r>
          <w:rPr/>
          <w:t>3.4</w:t>
        </w:r>
      </w:hyperlink>
      <w:r>
        <w:rPr/>
        <w:t>).</w:t>
      </w:r>
    </w:p>
    <w:p>
      <w:pPr>
        <w:pStyle w:val="BodyText"/>
        <w:spacing w:line="271" w:lineRule="auto" w:before="119"/>
        <w:ind w:left="183" w:right="308"/>
        <w:jc w:val="both"/>
      </w:pPr>
      <w:r>
        <w:rPr/>
        <w:t>In 2020, the newly elected Slovak government set out to pursue legislative reform to make changes in</w:t>
      </w:r>
      <w:r>
        <w:rPr>
          <w:spacing w:val="1"/>
        </w:rPr>
        <w:t> </w:t>
      </w:r>
      <w:r>
        <w:rPr/>
        <w:t>various areas following directions that are broadly similar in their objectives and key features as elements</w:t>
      </w:r>
      <w:r>
        <w:rPr>
          <w:spacing w:val="-53"/>
        </w:rPr>
        <w:t> </w:t>
      </w:r>
      <w:r>
        <w:rPr/>
        <w:t>recommended in previous national policy plans and echoing recommendations made by international</w:t>
      </w:r>
      <w:r>
        <w:rPr>
          <w:spacing w:val="1"/>
        </w:rPr>
        <w:t> </w:t>
      </w:r>
      <w:r>
        <w:rPr/>
        <w:t>organisations. Key areas of focus and objectives according to a document outlining the government’s</w:t>
      </w:r>
      <w:r>
        <w:rPr>
          <w:spacing w:val="1"/>
        </w:rPr>
        <w:t> </w:t>
      </w:r>
      <w:r>
        <w:rPr/>
        <w:t>rationale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shared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OECD</w:t>
      </w:r>
      <w:r>
        <w:rPr>
          <w:spacing w:val="-2"/>
        </w:rPr>
        <w:t> </w:t>
      </w:r>
      <w:r>
        <w:rPr/>
        <w:t>team</w:t>
      </w:r>
      <w:r>
        <w:rPr>
          <w:spacing w:val="3"/>
        </w:rPr>
        <w:t> </w:t>
      </w:r>
      <w:r>
        <w:rPr/>
        <w:t>are</w:t>
      </w:r>
      <w:r>
        <w:rPr>
          <w:spacing w:val="-2"/>
        </w:rPr>
        <w:t> </w:t>
      </w:r>
      <w:r>
        <w:rPr/>
        <w:t>listed</w:t>
      </w:r>
      <w:r>
        <w:rPr>
          <w:spacing w:val="1"/>
        </w:rPr>
        <w:t> </w:t>
      </w:r>
      <w:r>
        <w:rPr/>
        <w:t>below: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101" w:after="0"/>
        <w:ind w:left="862" w:right="302" w:hanging="339"/>
        <w:jc w:val="both"/>
        <w:rPr>
          <w:sz w:val="20"/>
        </w:rPr>
      </w:pPr>
      <w:r>
        <w:rPr>
          <w:sz w:val="20"/>
        </w:rPr>
        <w:t>A </w:t>
      </w:r>
      <w:r>
        <w:rPr>
          <w:rFonts w:ascii="Arial" w:hAnsi="Arial"/>
          <w:b/>
          <w:sz w:val="20"/>
        </w:rPr>
        <w:t>first area </w:t>
      </w:r>
      <w:r>
        <w:rPr>
          <w:sz w:val="20"/>
        </w:rPr>
        <w:t>focuses on </w:t>
      </w:r>
      <w:r>
        <w:rPr>
          <w:rFonts w:ascii="Arial" w:hAnsi="Arial"/>
          <w:b/>
          <w:sz w:val="20"/>
        </w:rPr>
        <w:t>increasing the quality of higher education teachers</w:t>
      </w:r>
      <w:r>
        <w:rPr>
          <w:rFonts w:ascii="Arial" w:hAnsi="Arial"/>
          <w:b/>
          <w:spacing w:val="1"/>
          <w:sz w:val="20"/>
        </w:rPr>
        <w:t> </w:t>
      </w:r>
      <w:r>
        <w:rPr>
          <w:sz w:val="20"/>
        </w:rPr>
        <w:t>by creating</w:t>
      </w:r>
      <w:r>
        <w:rPr>
          <w:spacing w:val="1"/>
          <w:sz w:val="20"/>
        </w:rPr>
        <w:t> </w:t>
      </w:r>
      <w:r>
        <w:rPr>
          <w:sz w:val="20"/>
        </w:rPr>
        <w:t>professor and associate professor positions accessible without the requirement of a formal title</w:t>
      </w:r>
      <w:r>
        <w:rPr>
          <w:spacing w:val="1"/>
          <w:sz w:val="20"/>
        </w:rPr>
        <w:t> </w:t>
      </w:r>
      <w:r>
        <w:rPr>
          <w:sz w:val="20"/>
        </w:rPr>
        <w:t>(surpassing changes in access to higher education employment implemented in 2018, discussed</w:t>
      </w:r>
      <w:r>
        <w:rPr>
          <w:spacing w:val="1"/>
          <w:sz w:val="20"/>
        </w:rPr>
        <w:t> </w:t>
      </w:r>
      <w:r>
        <w:rPr>
          <w:sz w:val="20"/>
        </w:rPr>
        <w:t>later in this report). The amendment proposes that the MoE create minimal national criteria for</w:t>
      </w:r>
      <w:r>
        <w:rPr>
          <w:spacing w:val="1"/>
          <w:sz w:val="20"/>
        </w:rPr>
        <w:t> </w:t>
      </w:r>
      <w:r>
        <w:rPr>
          <w:sz w:val="20"/>
        </w:rPr>
        <w:t>these positions and separates the process of habilitation from the accreditation of titles. These</w:t>
      </w:r>
      <w:r>
        <w:rPr>
          <w:spacing w:val="1"/>
          <w:sz w:val="20"/>
        </w:rPr>
        <w:t> </w:t>
      </w:r>
      <w:r>
        <w:rPr>
          <w:sz w:val="20"/>
        </w:rPr>
        <w:t>changes are expected to help open up the Slovak higher education system to international</w:t>
      </w:r>
      <w:r>
        <w:rPr>
          <w:spacing w:val="1"/>
          <w:sz w:val="20"/>
        </w:rPr>
        <w:t> </w:t>
      </w:r>
      <w:r>
        <w:rPr>
          <w:sz w:val="20"/>
        </w:rPr>
        <w:t>academic and non-academic professionals as well as to guarantee a minimal quality of higher</w:t>
      </w:r>
      <w:r>
        <w:rPr>
          <w:spacing w:val="1"/>
          <w:sz w:val="20"/>
        </w:rPr>
        <w:t> </w:t>
      </w:r>
      <w:r>
        <w:rPr>
          <w:sz w:val="20"/>
        </w:rPr>
        <w:t>education teachers</w:t>
      </w:r>
      <w:r>
        <w:rPr>
          <w:spacing w:val="1"/>
          <w:sz w:val="20"/>
        </w:rPr>
        <w:t> </w:t>
      </w:r>
      <w:r>
        <w:rPr>
          <w:sz w:val="20"/>
        </w:rPr>
        <w:t>across the</w:t>
      </w:r>
      <w:r>
        <w:rPr>
          <w:spacing w:val="-2"/>
          <w:sz w:val="20"/>
        </w:rPr>
        <w:t> </w:t>
      </w:r>
      <w:r>
        <w:rPr>
          <w:sz w:val="20"/>
        </w:rPr>
        <w:t>country.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8" w:lineRule="auto" w:before="43" w:after="0"/>
        <w:ind w:left="862" w:right="303" w:hanging="339"/>
        <w:jc w:val="both"/>
        <w:rPr>
          <w:sz w:val="20"/>
        </w:rPr>
      </w:pPr>
      <w:r>
        <w:rPr>
          <w:sz w:val="20"/>
        </w:rPr>
        <w:t>A </w:t>
      </w:r>
      <w:r>
        <w:rPr>
          <w:rFonts w:ascii="Arial" w:hAnsi="Arial"/>
          <w:b/>
          <w:sz w:val="20"/>
        </w:rPr>
        <w:t>second area </w:t>
      </w:r>
      <w:r>
        <w:rPr>
          <w:sz w:val="20"/>
        </w:rPr>
        <w:t>proposes to </w:t>
      </w:r>
      <w:r>
        <w:rPr>
          <w:rFonts w:ascii="Arial" w:hAnsi="Arial"/>
          <w:b/>
          <w:sz w:val="20"/>
        </w:rPr>
        <w:t>harmonise the length for full-time and part-time studies</w:t>
      </w:r>
      <w:r>
        <w:rPr>
          <w:sz w:val="20"/>
        </w:rPr>
        <w:t>, in an</w:t>
      </w:r>
      <w:r>
        <w:rPr>
          <w:spacing w:val="1"/>
          <w:sz w:val="20"/>
        </w:rPr>
        <w:t> </w:t>
      </w:r>
      <w:r>
        <w:rPr>
          <w:sz w:val="20"/>
        </w:rPr>
        <w:t>attempt to make study options more attractive to a greater range of learners, including adults with</w:t>
      </w:r>
      <w:r>
        <w:rPr>
          <w:spacing w:val="-53"/>
          <w:sz w:val="20"/>
        </w:rPr>
        <w:t> </w:t>
      </w:r>
      <w:r>
        <w:rPr>
          <w:w w:val="95"/>
          <w:sz w:val="20"/>
        </w:rPr>
        <w:t>work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responsibilities,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limit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number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young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Slovaks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emigrating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pursue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higher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education.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50" w:after="0"/>
        <w:ind w:left="862" w:right="305" w:hanging="339"/>
        <w:jc w:val="both"/>
        <w:rPr>
          <w:sz w:val="20"/>
        </w:rPr>
      </w:pPr>
      <w:r>
        <w:rPr>
          <w:sz w:val="20"/>
        </w:rPr>
        <w:t>A </w:t>
      </w:r>
      <w:r>
        <w:rPr>
          <w:rFonts w:ascii="Arial" w:hAnsi="Arial"/>
          <w:b/>
          <w:sz w:val="20"/>
        </w:rPr>
        <w:t>third area </w:t>
      </w:r>
      <w:r>
        <w:rPr>
          <w:sz w:val="20"/>
        </w:rPr>
        <w:t>focuses on the </w:t>
      </w:r>
      <w:r>
        <w:rPr>
          <w:rFonts w:ascii="Arial" w:hAnsi="Arial"/>
          <w:b/>
          <w:sz w:val="20"/>
        </w:rPr>
        <w:t>governance of public HEIs</w:t>
      </w:r>
      <w:r>
        <w:rPr>
          <w:sz w:val="20"/>
        </w:rPr>
        <w:t>, aiming to strengthen the position of the</w:t>
      </w:r>
      <w:r>
        <w:rPr>
          <w:spacing w:val="-53"/>
          <w:sz w:val="20"/>
        </w:rPr>
        <w:t> </w:t>
      </w:r>
      <w:r>
        <w:rPr>
          <w:sz w:val="20"/>
        </w:rPr>
        <w:t>board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trustees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rector,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re-balance</w:t>
      </w:r>
      <w:r>
        <w:rPr>
          <w:spacing w:val="-8"/>
          <w:sz w:val="20"/>
        </w:rPr>
        <w:t> </w:t>
      </w:r>
      <w:r>
        <w:rPr>
          <w:sz w:val="20"/>
        </w:rPr>
        <w:t>powers</w:t>
      </w:r>
      <w:r>
        <w:rPr>
          <w:spacing w:val="-8"/>
          <w:sz w:val="20"/>
        </w:rPr>
        <w:t> </w:t>
      </w:r>
      <w:r>
        <w:rPr>
          <w:sz w:val="20"/>
        </w:rPr>
        <w:t>between</w:t>
      </w:r>
      <w:r>
        <w:rPr>
          <w:spacing w:val="-7"/>
          <w:sz w:val="20"/>
        </w:rPr>
        <w:t> </w:t>
      </w:r>
      <w:r>
        <w:rPr>
          <w:sz w:val="20"/>
        </w:rPr>
        <w:t>academic</w:t>
      </w:r>
      <w:r>
        <w:rPr>
          <w:spacing w:val="-8"/>
          <w:sz w:val="20"/>
        </w:rPr>
        <w:t> </w:t>
      </w:r>
      <w:r>
        <w:rPr>
          <w:sz w:val="20"/>
        </w:rPr>
        <w:t>governing</w:t>
      </w:r>
      <w:r>
        <w:rPr>
          <w:spacing w:val="-9"/>
          <w:sz w:val="20"/>
        </w:rPr>
        <w:t> </w:t>
      </w:r>
      <w:r>
        <w:rPr>
          <w:sz w:val="20"/>
        </w:rPr>
        <w:t>bodies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those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whose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executive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capacity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limited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several</w:t>
      </w:r>
      <w:r>
        <w:rPr>
          <w:spacing w:val="-8"/>
          <w:sz w:val="20"/>
        </w:rPr>
        <w:t> </w:t>
      </w:r>
      <w:r>
        <w:rPr>
          <w:sz w:val="20"/>
        </w:rPr>
        <w:t>ways,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8"/>
          <w:sz w:val="20"/>
        </w:rPr>
        <w:t> </w:t>
      </w:r>
      <w:r>
        <w:rPr>
          <w:sz w:val="20"/>
        </w:rPr>
        <w:t>further</w:t>
      </w:r>
      <w:r>
        <w:rPr>
          <w:spacing w:val="-11"/>
          <w:sz w:val="20"/>
        </w:rPr>
        <w:t> </w:t>
      </w:r>
      <w:r>
        <w:rPr>
          <w:sz w:val="20"/>
        </w:rPr>
        <w:t>described</w:t>
      </w:r>
      <w:r>
        <w:rPr>
          <w:spacing w:val="-10"/>
          <w:sz w:val="20"/>
        </w:rPr>
        <w:t> </w:t>
      </w:r>
      <w:r>
        <w:rPr>
          <w:sz w:val="20"/>
        </w:rPr>
        <w:t>later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this</w:t>
      </w:r>
      <w:r>
        <w:rPr>
          <w:spacing w:val="-10"/>
          <w:sz w:val="20"/>
        </w:rPr>
        <w:t> </w:t>
      </w:r>
      <w:r>
        <w:rPr>
          <w:sz w:val="20"/>
        </w:rPr>
        <w:t>chapter.</w:t>
      </w:r>
      <w:r>
        <w:rPr>
          <w:spacing w:val="1"/>
          <w:sz w:val="20"/>
        </w:rPr>
        <w:t> </w:t>
      </w:r>
      <w:r>
        <w:rPr>
          <w:sz w:val="20"/>
        </w:rPr>
        <w:t>Governance changes are also expected to end the dual structure where governing bodies exist at</w:t>
      </w:r>
      <w:r>
        <w:rPr>
          <w:spacing w:val="-53"/>
          <w:sz w:val="20"/>
        </w:rPr>
        <w:t> </w:t>
      </w:r>
      <w:r>
        <w:rPr>
          <w:sz w:val="20"/>
        </w:rPr>
        <w:t>both institutional and</w:t>
      </w:r>
      <w:r>
        <w:rPr>
          <w:spacing w:val="-1"/>
          <w:sz w:val="20"/>
        </w:rPr>
        <w:t> </w:t>
      </w:r>
      <w:r>
        <w:rPr>
          <w:sz w:val="20"/>
        </w:rPr>
        <w:t>faculty</w:t>
      </w:r>
      <w:r>
        <w:rPr>
          <w:spacing w:val="-2"/>
          <w:sz w:val="20"/>
        </w:rPr>
        <w:t> </w:t>
      </w:r>
      <w:r>
        <w:rPr>
          <w:sz w:val="20"/>
        </w:rPr>
        <w:t>levels.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45" w:after="0"/>
        <w:ind w:left="862" w:right="303" w:hanging="339"/>
        <w:jc w:val="both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fourth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area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relates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implementation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institutional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contracts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between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government</w:t>
      </w:r>
      <w:r>
        <w:rPr>
          <w:spacing w:val="-54"/>
          <w:sz w:val="20"/>
        </w:rPr>
        <w:t> </w:t>
      </w:r>
      <w:r>
        <w:rPr>
          <w:sz w:val="20"/>
        </w:rPr>
        <w:t>and each HEI. These contracts are expected to increase strategic planning and diversification in</w:t>
      </w:r>
      <w:r>
        <w:rPr>
          <w:spacing w:val="1"/>
          <w:sz w:val="20"/>
        </w:rPr>
        <w:t> </w:t>
      </w:r>
      <w:r>
        <w:rPr>
          <w:sz w:val="20"/>
        </w:rPr>
        <w:t>Slovak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education.</w:t>
      </w:r>
    </w:p>
    <w:p>
      <w:pPr>
        <w:pStyle w:val="BodyText"/>
        <w:spacing w:line="271" w:lineRule="auto" w:before="124"/>
        <w:ind w:left="183" w:right="301"/>
        <w:jc w:val="both"/>
      </w:pPr>
      <w:r>
        <w:rPr/>
        <w:t>Governance changes have raised significant concerns among higher education stakeholders interviewed</w:t>
      </w:r>
      <w:r>
        <w:rPr>
          <w:spacing w:val="-53"/>
        </w:rPr>
        <w:t> </w:t>
      </w:r>
      <w:r>
        <w:rPr/>
        <w:t>by the OECD during the project. Common concerns included the risk that the reinforcement of executive</w:t>
      </w:r>
      <w:r>
        <w:rPr>
          <w:spacing w:val="1"/>
        </w:rPr>
        <w:t> </w:t>
      </w:r>
      <w:r>
        <w:rPr/>
        <w:t>entities such as the board of trustees versus that of academic bodies could lead to a decrease in</w:t>
      </w:r>
      <w:r>
        <w:rPr>
          <w:spacing w:val="1"/>
        </w:rPr>
        <w:t> </w:t>
      </w:r>
      <w:r>
        <w:rPr/>
        <w:t>institutional autonomy and academic freedom, as well as the view that there are more relevant and</w:t>
      </w:r>
      <w:r>
        <w:rPr>
          <w:spacing w:val="1"/>
        </w:rPr>
        <w:t> </w:t>
      </w:r>
      <w:r>
        <w:rPr/>
        <w:t>pressing changes that should be addressed – such as improving the funding available to the system – to</w:t>
      </w:r>
      <w:r>
        <w:rPr>
          <w:spacing w:val="1"/>
        </w:rPr>
        <w:t> </w:t>
      </w:r>
      <w:r>
        <w:rPr/>
        <w:t>foster quality improvements. Persistent disagreement with respect to governance changes are discussed</w:t>
      </w:r>
      <w:r>
        <w:rPr>
          <w:spacing w:val="-53"/>
        </w:rPr>
        <w:t> </w:t>
      </w:r>
      <w:r>
        <w:rPr/>
        <w:t>in</w:t>
      </w:r>
      <w:r>
        <w:rPr>
          <w:spacing w:val="-2"/>
        </w:rPr>
        <w:t> </w:t>
      </w:r>
      <w:r>
        <w:rPr/>
        <w:t>detail later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chapter.</w:t>
      </w:r>
    </w:p>
    <w:p>
      <w:pPr>
        <w:pStyle w:val="BodyText"/>
        <w:spacing w:before="1"/>
      </w:pPr>
    </w:p>
    <w:p>
      <w:pPr>
        <w:pStyle w:val="Heading7"/>
      </w:pPr>
      <w:bookmarkStart w:name="New investments and funding reform plan" w:id="92"/>
      <w:bookmarkEnd w:id="92"/>
      <w:r>
        <w:rPr>
          <w:i w:val="0"/>
        </w:rPr>
      </w:r>
      <w:r>
        <w:rPr>
          <w:color w:val="616161"/>
        </w:rPr>
        <w:t>New</w:t>
      </w:r>
      <w:r>
        <w:rPr>
          <w:color w:val="616161"/>
          <w:spacing w:val="-3"/>
        </w:rPr>
        <w:t> </w:t>
      </w:r>
      <w:r>
        <w:rPr>
          <w:color w:val="616161"/>
        </w:rPr>
        <w:t>investments</w:t>
      </w:r>
      <w:r>
        <w:rPr>
          <w:color w:val="616161"/>
          <w:spacing w:val="-6"/>
        </w:rPr>
        <w:t> </w:t>
      </w:r>
      <w:r>
        <w:rPr>
          <w:color w:val="616161"/>
        </w:rPr>
        <w:t>and</w:t>
      </w:r>
      <w:r>
        <w:rPr>
          <w:color w:val="616161"/>
          <w:spacing w:val="-6"/>
        </w:rPr>
        <w:t> </w:t>
      </w:r>
      <w:r>
        <w:rPr>
          <w:color w:val="616161"/>
        </w:rPr>
        <w:t>funding</w:t>
      </w:r>
      <w:r>
        <w:rPr>
          <w:color w:val="616161"/>
          <w:spacing w:val="-4"/>
        </w:rPr>
        <w:t> </w:t>
      </w:r>
      <w:r>
        <w:rPr>
          <w:color w:val="616161"/>
        </w:rPr>
        <w:t>reform</w:t>
      </w:r>
      <w:r>
        <w:rPr>
          <w:color w:val="616161"/>
          <w:spacing w:val="-5"/>
        </w:rPr>
        <w:t> </w:t>
      </w:r>
      <w:r>
        <w:rPr>
          <w:color w:val="616161"/>
        </w:rPr>
        <w:t>plan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2016</w:t>
      </w:r>
      <w:r>
        <w:rPr>
          <w:spacing w:val="-11"/>
        </w:rPr>
        <w:t> </w:t>
      </w:r>
      <w:r>
        <w:rPr>
          <w:spacing w:val="-1"/>
        </w:rPr>
        <w:t>Learning</w:t>
      </w:r>
      <w:r>
        <w:rPr>
          <w:spacing w:val="-11"/>
        </w:rPr>
        <w:t> </w:t>
      </w:r>
      <w:r>
        <w:rPr>
          <w:spacing w:val="-1"/>
        </w:rPr>
        <w:t>Slovakia</w:t>
      </w:r>
      <w:r>
        <w:rPr>
          <w:spacing w:val="-13"/>
        </w:rPr>
        <w:t> </w:t>
      </w:r>
      <w:r>
        <w:rPr>
          <w:spacing w:val="-1"/>
        </w:rPr>
        <w:t>plan</w:t>
      </w:r>
      <w:r>
        <w:rPr>
          <w:spacing w:val="-13"/>
        </w:rPr>
        <w:t> </w:t>
      </w:r>
      <w:r>
        <w:rPr>
          <w:spacing w:val="-1"/>
        </w:rPr>
        <w:t>called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increasing</w:t>
      </w:r>
      <w:r>
        <w:rPr>
          <w:spacing w:val="-9"/>
        </w:rPr>
        <w:t> </w:t>
      </w:r>
      <w:r>
        <w:rPr>
          <w:spacing w:val="-1"/>
        </w:rPr>
        <w:t>public</w:t>
      </w:r>
      <w:r>
        <w:rPr>
          <w:spacing w:val="-12"/>
        </w:rPr>
        <w:t> </w:t>
      </w:r>
      <w:r>
        <w:rPr>
          <w:spacing w:val="-1"/>
        </w:rPr>
        <w:t>funding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education,</w:t>
      </w:r>
      <w:r>
        <w:rPr>
          <w:spacing w:val="-11"/>
        </w:rPr>
        <w:t> </w:t>
      </w:r>
      <w:r>
        <w:rPr/>
        <w:t>diversifying</w:t>
      </w:r>
      <w:r>
        <w:rPr>
          <w:spacing w:val="-11"/>
        </w:rPr>
        <w:t> </w:t>
      </w:r>
      <w:r>
        <w:rPr/>
        <w:t>HEIs’</w:t>
      </w:r>
      <w:r>
        <w:rPr>
          <w:spacing w:val="1"/>
        </w:rPr>
        <w:t> </w:t>
      </w:r>
      <w:r>
        <w:rPr/>
        <w:t>sources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funding,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multi-year</w:t>
      </w:r>
      <w:r>
        <w:rPr>
          <w:spacing w:val="-3"/>
        </w:rPr>
        <w:t> </w:t>
      </w:r>
      <w:r>
        <w:rPr/>
        <w:t>funding</w:t>
      </w:r>
      <w:r>
        <w:rPr>
          <w:spacing w:val="-6"/>
        </w:rPr>
        <w:t> </w:t>
      </w:r>
      <w:r>
        <w:rPr/>
        <w:t>contracts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between</w:t>
      </w:r>
      <w:r>
        <w:rPr>
          <w:spacing w:val="-2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HEIs.</w:t>
      </w:r>
      <w:r>
        <w:rPr>
          <w:spacing w:val="1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broad</w:t>
      </w:r>
      <w:r>
        <w:rPr>
          <w:spacing w:val="-9"/>
        </w:rPr>
        <w:t> </w:t>
      </w:r>
      <w:r>
        <w:rPr/>
        <w:t>funding</w:t>
      </w:r>
      <w:r>
        <w:rPr>
          <w:spacing w:val="-9"/>
        </w:rPr>
        <w:t> </w:t>
      </w:r>
      <w:r>
        <w:rPr/>
        <w:t>reforms</w:t>
      </w:r>
      <w:r>
        <w:rPr>
          <w:spacing w:val="-10"/>
        </w:rPr>
        <w:t> </w:t>
      </w:r>
      <w:r>
        <w:rPr/>
        <w:t>have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been</w:t>
      </w:r>
      <w:r>
        <w:rPr>
          <w:spacing w:val="-9"/>
        </w:rPr>
        <w:t> </w:t>
      </w:r>
      <w:r>
        <w:rPr/>
        <w:t>implemented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decrease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higher</w:t>
      </w:r>
      <w:r>
        <w:rPr>
          <w:spacing w:val="-53"/>
        </w:rPr>
        <w:t> </w:t>
      </w:r>
      <w:r>
        <w:rPr/>
        <w:t>education</w:t>
      </w:r>
      <w:r>
        <w:rPr>
          <w:spacing w:val="-14"/>
        </w:rPr>
        <w:t> </w:t>
      </w:r>
      <w:r>
        <w:rPr/>
        <w:t>funding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2021</w:t>
      </w:r>
      <w:r>
        <w:rPr>
          <w:spacing w:val="-12"/>
        </w:rPr>
        <w:t> </w:t>
      </w:r>
      <w:r>
        <w:rPr/>
        <w:t>–</w:t>
      </w:r>
      <w:r>
        <w:rPr>
          <w:spacing w:val="-10"/>
        </w:rPr>
        <w:t> </w:t>
      </w:r>
      <w:r>
        <w:rPr/>
        <w:t>Slovak</w:t>
      </w:r>
      <w:r>
        <w:rPr>
          <w:spacing w:val="-10"/>
        </w:rPr>
        <w:t> </w:t>
      </w:r>
      <w:r>
        <w:rPr/>
        <w:t>authorities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implemented</w:t>
      </w:r>
      <w:r>
        <w:rPr>
          <w:spacing w:val="-13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annual</w:t>
      </w:r>
      <w:r>
        <w:rPr>
          <w:spacing w:val="-12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formula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incentivise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focus on</w:t>
      </w:r>
      <w:r>
        <w:rPr>
          <w:spacing w:val="-3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(see</w:t>
      </w:r>
      <w:r>
        <w:rPr>
          <w:spacing w:val="-3"/>
        </w:rPr>
        <w:t> </w:t>
      </w:r>
      <w:r>
        <w:rPr/>
        <w:t>Action</w:t>
      </w:r>
      <w:r>
        <w:rPr>
          <w:spacing w:val="1"/>
        </w:rPr>
        <w:t> </w:t>
      </w:r>
      <w:r>
        <w:rPr/>
        <w:t>Step</w:t>
      </w:r>
      <w:r>
        <w:rPr>
          <w:spacing w:val="-2"/>
        </w:rPr>
        <w:t> </w:t>
      </w:r>
      <w:r>
        <w:rPr/>
        <w:t>2).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Most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government’s national reform plan developed in the context of the European Union’s Recovery and</w:t>
      </w:r>
      <w:r>
        <w:rPr>
          <w:spacing w:val="1"/>
        </w:rPr>
        <w:t> </w:t>
      </w:r>
      <w:r>
        <w:rPr/>
        <w:t>Resilience Facility, a financial relief plan for member states to respond to the pandemic. The Slovak</w:t>
      </w:r>
      <w:r>
        <w:rPr>
          <w:spacing w:val="1"/>
        </w:rPr>
        <w:t> </w:t>
      </w:r>
      <w:r>
        <w:rPr/>
        <w:t>Republic’s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plan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European</w:t>
      </w:r>
      <w:r>
        <w:rPr>
          <w:spacing w:val="-5"/>
        </w:rPr>
        <w:t> </w:t>
      </w:r>
      <w:r>
        <w:rPr/>
        <w:t>Commission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June</w:t>
      </w:r>
      <w:r>
        <w:rPr>
          <w:spacing w:val="-3"/>
        </w:rPr>
        <w:t> </w:t>
      </w:r>
      <w:r>
        <w:rPr/>
        <w:t>2021.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higher</w:t>
      </w:r>
      <w:r>
        <w:rPr>
          <w:spacing w:val="-2"/>
        </w:rPr>
        <w:t> </w:t>
      </w:r>
      <w:r>
        <w:rPr/>
        <w:t>education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41"/>
      </w:pPr>
      <w:r>
        <w:rPr/>
        <w:t>chapter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plan</w:t>
      </w:r>
      <w:r>
        <w:rPr>
          <w:spacing w:val="3"/>
        </w:rPr>
        <w:t> </w:t>
      </w:r>
      <w:r>
        <w:rPr/>
        <w:t>proposes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comprehensive</w:t>
      </w:r>
      <w:r>
        <w:rPr>
          <w:spacing w:val="4"/>
        </w:rPr>
        <w:t> </w:t>
      </w:r>
      <w:r>
        <w:rPr/>
        <w:t>reform</w:t>
      </w:r>
      <w:r>
        <w:rPr>
          <w:spacing w:val="5"/>
        </w:rPr>
        <w:t> </w:t>
      </w:r>
      <w:r>
        <w:rPr/>
        <w:t>package</w:t>
      </w:r>
      <w:r>
        <w:rPr>
          <w:spacing w:val="2"/>
        </w:rPr>
        <w:t> </w:t>
      </w:r>
      <w:r>
        <w:rPr/>
        <w:t>underpinned</w:t>
      </w:r>
      <w:r>
        <w:rPr>
          <w:spacing w:val="5"/>
        </w:rPr>
        <w:t> </w:t>
      </w:r>
      <w:r>
        <w:rPr/>
        <w:t>by substantial</w:t>
      </w:r>
      <w:r>
        <w:rPr>
          <w:spacing w:val="3"/>
        </w:rPr>
        <w:t> </w:t>
      </w:r>
      <w:r>
        <w:rPr/>
        <w:t>new</w:t>
      </w:r>
      <w:r>
        <w:rPr>
          <w:spacing w:val="3"/>
        </w:rPr>
        <w:t> </w:t>
      </w:r>
      <w:r>
        <w:rPr/>
        <w:t>funding.</w:t>
      </w:r>
      <w:r>
        <w:rPr>
          <w:spacing w:val="-53"/>
        </w:rPr>
        <w:t> </w:t>
      </w:r>
      <w:r>
        <w:rPr/>
        <w:t>The</w:t>
      </w:r>
      <w:r>
        <w:rPr>
          <w:spacing w:val="-3"/>
        </w:rPr>
        <w:t> </w:t>
      </w:r>
      <w:r>
        <w:rPr/>
        <w:t>plan includes five</w:t>
      </w:r>
      <w:r>
        <w:rPr>
          <w:spacing w:val="-1"/>
        </w:rPr>
        <w:t> </w:t>
      </w:r>
      <w:r>
        <w:rPr/>
        <w:t>key</w:t>
      </w:r>
      <w:r>
        <w:rPr>
          <w:spacing w:val="-4"/>
        </w:rPr>
        <w:t> </w:t>
      </w:r>
      <w:r>
        <w:rPr/>
        <w:t>reforms: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98" w:after="0"/>
        <w:ind w:left="862" w:right="0" w:hanging="339"/>
        <w:jc w:val="left"/>
        <w:rPr>
          <w:sz w:val="20"/>
        </w:rPr>
      </w:pPr>
      <w:r>
        <w:rPr>
          <w:sz w:val="20"/>
        </w:rPr>
        <w:t>change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university</w:t>
      </w:r>
      <w:r>
        <w:rPr>
          <w:spacing w:val="-9"/>
          <w:sz w:val="20"/>
        </w:rPr>
        <w:t> </w:t>
      </w:r>
      <w:r>
        <w:rPr>
          <w:sz w:val="20"/>
        </w:rPr>
        <w:t>funding</w:t>
      </w:r>
      <w:r>
        <w:rPr>
          <w:spacing w:val="-6"/>
          <w:sz w:val="20"/>
        </w:rPr>
        <w:t> </w:t>
      </w:r>
      <w:r>
        <w:rPr>
          <w:sz w:val="20"/>
        </w:rPr>
        <w:t>through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introduction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new</w:t>
      </w:r>
      <w:r>
        <w:rPr>
          <w:spacing w:val="-6"/>
          <w:sz w:val="20"/>
        </w:rPr>
        <w:t> </w:t>
      </w:r>
      <w:r>
        <w:rPr>
          <w:sz w:val="20"/>
        </w:rPr>
        <w:t>institutional</w:t>
      </w:r>
      <w:r>
        <w:rPr>
          <w:spacing w:val="-5"/>
          <w:sz w:val="20"/>
        </w:rPr>
        <w:t> </w:t>
      </w:r>
      <w:r>
        <w:rPr>
          <w:sz w:val="20"/>
        </w:rPr>
        <w:t>performance</w:t>
      </w:r>
      <w:r>
        <w:rPr>
          <w:spacing w:val="-6"/>
          <w:sz w:val="20"/>
        </w:rPr>
        <w:t> </w:t>
      </w:r>
      <w:r>
        <w:rPr>
          <w:sz w:val="20"/>
        </w:rPr>
        <w:t>contracts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6" w:after="0"/>
        <w:ind w:left="862" w:right="0" w:hanging="339"/>
        <w:jc w:val="left"/>
        <w:rPr>
          <w:sz w:val="20"/>
        </w:rPr>
      </w:pP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new</w:t>
      </w:r>
      <w:r>
        <w:rPr>
          <w:spacing w:val="12"/>
          <w:sz w:val="20"/>
        </w:rPr>
        <w:t> </w:t>
      </w:r>
      <w:r>
        <w:rPr>
          <w:sz w:val="20"/>
        </w:rPr>
        <w:t>“periodic</w:t>
      </w:r>
      <w:r>
        <w:rPr>
          <w:spacing w:val="15"/>
          <w:sz w:val="20"/>
        </w:rPr>
        <w:t> </w:t>
      </w:r>
      <w:r>
        <w:rPr>
          <w:sz w:val="20"/>
        </w:rPr>
        <w:t>scientific</w:t>
      </w:r>
      <w:r>
        <w:rPr>
          <w:spacing w:val="14"/>
          <w:sz w:val="20"/>
        </w:rPr>
        <w:t> </w:t>
      </w:r>
      <w:r>
        <w:rPr>
          <w:sz w:val="20"/>
        </w:rPr>
        <w:t>performance</w:t>
      </w:r>
      <w:r>
        <w:rPr>
          <w:spacing w:val="14"/>
          <w:sz w:val="20"/>
        </w:rPr>
        <w:t> </w:t>
      </w:r>
      <w:r>
        <w:rPr>
          <w:sz w:val="20"/>
        </w:rPr>
        <w:t>evaluation</w:t>
      </w:r>
      <w:r>
        <w:rPr>
          <w:spacing w:val="13"/>
          <w:sz w:val="20"/>
        </w:rPr>
        <w:t> </w:t>
      </w:r>
      <w:r>
        <w:rPr>
          <w:sz w:val="20"/>
        </w:rPr>
        <w:t>system”</w:t>
      </w:r>
      <w:r>
        <w:rPr>
          <w:spacing w:val="11"/>
          <w:sz w:val="20"/>
        </w:rPr>
        <w:t> </w:t>
      </w:r>
      <w:r>
        <w:rPr>
          <w:sz w:val="20"/>
        </w:rPr>
        <w:t>that</w:t>
      </w:r>
      <w:r>
        <w:rPr>
          <w:spacing w:val="14"/>
          <w:sz w:val="20"/>
        </w:rPr>
        <w:t> </w:t>
      </w:r>
      <w:r>
        <w:rPr>
          <w:sz w:val="20"/>
        </w:rPr>
        <w:t>would</w:t>
      </w:r>
      <w:r>
        <w:rPr>
          <w:spacing w:val="14"/>
          <w:sz w:val="20"/>
        </w:rPr>
        <w:t> </w:t>
      </w:r>
      <w:r>
        <w:rPr>
          <w:sz w:val="20"/>
        </w:rPr>
        <w:t>identify</w:t>
      </w:r>
      <w:r>
        <w:rPr>
          <w:spacing w:val="10"/>
          <w:sz w:val="20"/>
        </w:rPr>
        <w:t> </w:t>
      </w:r>
      <w:r>
        <w:rPr>
          <w:sz w:val="20"/>
        </w:rPr>
        <w:t>excellent</w:t>
      </w:r>
      <w:r>
        <w:rPr>
          <w:spacing w:val="13"/>
          <w:sz w:val="20"/>
        </w:rPr>
        <w:t> </w:t>
      </w:r>
      <w:r>
        <w:rPr>
          <w:sz w:val="20"/>
        </w:rPr>
        <w:t>research</w:t>
      </w:r>
    </w:p>
    <w:p>
      <w:pPr>
        <w:pStyle w:val="BodyText"/>
        <w:spacing w:before="28"/>
        <w:ind w:left="862"/>
      </w:pPr>
      <w:r>
        <w:rPr/>
        <w:t>and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teams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foster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diversification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6" w:after="0"/>
        <w:ind w:left="862" w:right="0" w:hanging="339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implementation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new</w:t>
      </w:r>
      <w:r>
        <w:rPr>
          <w:spacing w:val="-7"/>
          <w:sz w:val="20"/>
        </w:rPr>
        <w:t> </w:t>
      </w:r>
      <w:r>
        <w:rPr>
          <w:sz w:val="20"/>
        </w:rPr>
        <w:t>approach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higher</w:t>
      </w:r>
      <w:r>
        <w:rPr>
          <w:spacing w:val="-4"/>
          <w:sz w:val="20"/>
        </w:rPr>
        <w:t> </w:t>
      </w:r>
      <w:r>
        <w:rPr>
          <w:sz w:val="20"/>
        </w:rPr>
        <w:t>education</w:t>
      </w:r>
      <w:r>
        <w:rPr>
          <w:spacing w:val="-3"/>
          <w:sz w:val="20"/>
        </w:rPr>
        <w:t> </w:t>
      </w:r>
      <w:r>
        <w:rPr>
          <w:sz w:val="20"/>
        </w:rPr>
        <w:t>accreditation</w:t>
      </w:r>
      <w:r>
        <w:rPr>
          <w:spacing w:val="-6"/>
          <w:sz w:val="20"/>
        </w:rPr>
        <w:t> </w:t>
      </w:r>
      <w:r>
        <w:rPr>
          <w:sz w:val="20"/>
        </w:rPr>
        <w:t>currently</w:t>
      </w:r>
      <w:r>
        <w:rPr>
          <w:spacing w:val="-6"/>
          <w:sz w:val="20"/>
        </w:rPr>
        <w:t> </w:t>
      </w:r>
      <w:r>
        <w:rPr>
          <w:sz w:val="20"/>
        </w:rPr>
        <w:t>underway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6" w:after="0"/>
        <w:ind w:left="862" w:right="0" w:hanging="339"/>
        <w:jc w:val="left"/>
        <w:rPr>
          <w:sz w:val="20"/>
        </w:rPr>
      </w:pPr>
      <w:r>
        <w:rPr>
          <w:sz w:val="20"/>
        </w:rPr>
        <w:t>HEI</w:t>
      </w:r>
      <w:r>
        <w:rPr>
          <w:spacing w:val="-6"/>
          <w:sz w:val="20"/>
        </w:rPr>
        <w:t> </w:t>
      </w:r>
      <w:r>
        <w:rPr>
          <w:sz w:val="20"/>
        </w:rPr>
        <w:t>governance</w:t>
      </w:r>
      <w:r>
        <w:rPr>
          <w:spacing w:val="-5"/>
          <w:sz w:val="20"/>
        </w:rPr>
        <w:t> </w:t>
      </w:r>
      <w:r>
        <w:rPr>
          <w:sz w:val="20"/>
        </w:rPr>
        <w:t>reform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concentration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excellent</w:t>
      </w:r>
      <w:r>
        <w:rPr>
          <w:spacing w:val="-5"/>
          <w:sz w:val="20"/>
        </w:rPr>
        <w:t> </w:t>
      </w:r>
      <w:r>
        <w:rPr>
          <w:sz w:val="20"/>
        </w:rPr>
        <w:t>education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research</w:t>
      </w:r>
      <w:r>
        <w:rPr>
          <w:spacing w:val="-6"/>
          <w:sz w:val="20"/>
        </w:rPr>
        <w:t> </w:t>
      </w:r>
      <w:r>
        <w:rPr>
          <w:sz w:val="20"/>
        </w:rPr>
        <w:t>capacities.</w:t>
      </w:r>
    </w:p>
    <w:p>
      <w:pPr>
        <w:pStyle w:val="BodyText"/>
        <w:spacing w:line="271" w:lineRule="auto" w:before="155"/>
        <w:ind w:left="183" w:right="304"/>
        <w:jc w:val="both"/>
      </w:pPr>
      <w:r>
        <w:rPr/>
        <w:t>The plan includes quantitative targets to be achieved, timelines for implementation, and a costing plan</w:t>
      </w:r>
      <w:r>
        <w:rPr>
          <w:spacing w:val="1"/>
        </w:rPr>
        <w:t> </w:t>
      </w:r>
      <w:r>
        <w:rPr/>
        <w:t>totalling EUR 203.9 million. The objective is to create conditions for attracting talented students and</w:t>
      </w:r>
      <w:r>
        <w:rPr>
          <w:spacing w:val="1"/>
        </w:rPr>
        <w:t> </w:t>
      </w:r>
      <w:r>
        <w:rPr/>
        <w:t>academics from the Slovak Republic and abroad by offering attractive teaching, research and housing</w:t>
      </w:r>
      <w:r>
        <w:rPr>
          <w:spacing w:val="1"/>
        </w:rPr>
        <w:t> </w:t>
      </w:r>
      <w:r>
        <w:rPr/>
        <w:t>facilities.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elements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38">
        <w:r>
          <w:rPr/>
          <w:t>Box</w:t>
        </w:r>
        <w:r>
          <w:rPr>
            <w:spacing w:val="-1"/>
          </w:rPr>
          <w:t> </w:t>
        </w:r>
        <w:r>
          <w:rPr/>
          <w:t>3.3.</w:t>
        </w:r>
      </w:hyperlink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line="244" w:lineRule="auto" w:before="100"/>
        <w:ind w:left="320" w:right="868" w:firstLine="0"/>
        <w:jc w:val="left"/>
        <w:rPr>
          <w:rFonts w:ascii="Arial" w:hAnsi="Arial"/>
          <w:b/>
          <w:sz w:val="24"/>
        </w:rPr>
      </w:pPr>
      <w:r>
        <w:rPr/>
        <w:pict>
          <v:group style="position:absolute;margin-left:64.704002pt;margin-top:-13.504119pt;width:466.05pt;height:458.25pt;mso-position-horizontal-relative:page;mso-position-vertical-relative:paragraph;z-index:-19709440" coordorigin="1294,-270" coordsize="9321,9165">
            <v:rect style="position:absolute;left:1303;top:-261;width:9302;height:9143" filled="true" fillcolor="#eeece1" stroked="false">
              <v:fill type="solid"/>
            </v:rect>
            <v:shape style="position:absolute;left:1294;top:-271;width:9321;height:9165" coordorigin="1294,-270" coordsize="9321,9165" path="m10605,-270l1304,-270,1304,-270,1294,-270,1294,-260,1294,8885,1294,8894,1304,8894,1304,8894,10605,8894,10605,8885,1304,8885,1304,-260,10605,-260,10605,-270xm10615,-270l10605,-270,10605,-260,10605,8885,10605,8894,10615,8894,10615,8885,10615,-260,10615,-270xe" filled="true" fillcolor="#4e81bd" stroked="false">
              <v:path arrowok="t"/>
              <v:fill type="solid"/>
            </v:shape>
            <w10:wrap type="none"/>
          </v:group>
        </w:pict>
      </w:r>
      <w:bookmarkStart w:name="_bookmark38" w:id="93"/>
      <w:bookmarkEnd w:id="93"/>
      <w:r>
        <w:rPr/>
      </w:r>
      <w:r>
        <w:rPr>
          <w:rFonts w:ascii="Arial" w:hAnsi="Arial"/>
          <w:b/>
          <w:color w:val="4E81BD"/>
          <w:w w:val="80"/>
          <w:sz w:val="24"/>
        </w:rPr>
        <w:t>Box</w:t>
      </w:r>
      <w:r>
        <w:rPr>
          <w:rFonts w:ascii="Arial" w:hAnsi="Arial"/>
          <w:b/>
          <w:color w:val="4E81BD"/>
          <w:spacing w:val="15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3.3.</w:t>
      </w:r>
      <w:r>
        <w:rPr>
          <w:rFonts w:ascii="Arial" w:hAnsi="Arial"/>
          <w:b/>
          <w:color w:val="4E81BD"/>
          <w:spacing w:val="12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Higher</w:t>
      </w:r>
      <w:r>
        <w:rPr>
          <w:rFonts w:ascii="Arial" w:hAnsi="Arial"/>
          <w:b/>
          <w:color w:val="4E81BD"/>
          <w:spacing w:val="13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education</w:t>
      </w:r>
      <w:r>
        <w:rPr>
          <w:rFonts w:ascii="Arial" w:hAnsi="Arial"/>
          <w:b/>
          <w:color w:val="4E81BD"/>
          <w:spacing w:val="10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reforms</w:t>
      </w:r>
      <w:r>
        <w:rPr>
          <w:rFonts w:ascii="Arial" w:hAnsi="Arial"/>
          <w:b/>
          <w:color w:val="4E81BD"/>
          <w:spacing w:val="17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in</w:t>
      </w:r>
      <w:r>
        <w:rPr>
          <w:rFonts w:ascii="Arial" w:hAnsi="Arial"/>
          <w:b/>
          <w:color w:val="4E81BD"/>
          <w:spacing w:val="15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the</w:t>
      </w:r>
      <w:r>
        <w:rPr>
          <w:rFonts w:ascii="Arial" w:hAnsi="Arial"/>
          <w:b/>
          <w:color w:val="4E81BD"/>
          <w:spacing w:val="15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Slovak</w:t>
      </w:r>
      <w:r>
        <w:rPr>
          <w:rFonts w:ascii="Arial" w:hAnsi="Arial"/>
          <w:b/>
          <w:color w:val="4E81BD"/>
          <w:spacing w:val="15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Republic’s</w:t>
      </w:r>
      <w:r>
        <w:rPr>
          <w:rFonts w:ascii="Arial" w:hAnsi="Arial"/>
          <w:b/>
          <w:color w:val="4E81BD"/>
          <w:spacing w:val="19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national</w:t>
      </w:r>
      <w:r>
        <w:rPr>
          <w:rFonts w:ascii="Arial" w:hAnsi="Arial"/>
          <w:b/>
          <w:color w:val="4E81BD"/>
          <w:spacing w:val="16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recovery</w:t>
      </w:r>
      <w:r>
        <w:rPr>
          <w:rFonts w:ascii="Arial" w:hAnsi="Arial"/>
          <w:b/>
          <w:color w:val="4E81BD"/>
          <w:spacing w:val="12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and</w:t>
      </w:r>
      <w:r>
        <w:rPr>
          <w:rFonts w:ascii="Arial" w:hAnsi="Arial"/>
          <w:b/>
          <w:color w:val="4E81BD"/>
          <w:spacing w:val="16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resilience</w:t>
      </w:r>
      <w:r>
        <w:rPr>
          <w:rFonts w:ascii="Arial" w:hAnsi="Arial"/>
          <w:b/>
          <w:color w:val="4E81BD"/>
          <w:spacing w:val="-51"/>
          <w:w w:val="80"/>
          <w:sz w:val="24"/>
        </w:rPr>
        <w:t> </w:t>
      </w:r>
      <w:r>
        <w:rPr>
          <w:rFonts w:ascii="Arial" w:hAnsi="Arial"/>
          <w:b/>
          <w:color w:val="4E81BD"/>
          <w:w w:val="90"/>
          <w:sz w:val="24"/>
        </w:rPr>
        <w:t>plan</w:t>
      </w:r>
      <w:r>
        <w:rPr>
          <w:rFonts w:ascii="Arial" w:hAnsi="Arial"/>
          <w:b/>
          <w:color w:val="4E81BD"/>
          <w:spacing w:val="-7"/>
          <w:w w:val="90"/>
          <w:sz w:val="24"/>
        </w:rPr>
        <w:t> </w:t>
      </w:r>
      <w:r>
        <w:rPr>
          <w:rFonts w:ascii="Arial" w:hAnsi="Arial"/>
          <w:b/>
          <w:color w:val="4E81BD"/>
          <w:w w:val="90"/>
          <w:sz w:val="24"/>
        </w:rPr>
        <w:t>(2021)</w:t>
      </w:r>
    </w:p>
    <w:p>
      <w:pPr>
        <w:pStyle w:val="BodyText"/>
        <w:spacing w:line="271" w:lineRule="auto" w:before="206"/>
        <w:ind w:left="320" w:right="441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following</w:t>
      </w:r>
      <w:r>
        <w:rPr>
          <w:spacing w:val="-12"/>
        </w:rPr>
        <w:t> </w:t>
      </w:r>
      <w:r>
        <w:rPr>
          <w:spacing w:val="-1"/>
        </w:rPr>
        <w:t>reforms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investments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envisioned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part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Chapter</w:t>
      </w:r>
      <w:r>
        <w:rPr>
          <w:spacing w:val="-12"/>
        </w:rPr>
        <w:t> </w:t>
      </w:r>
      <w:r>
        <w:rPr/>
        <w:t>8</w:t>
      </w:r>
      <w:r>
        <w:rPr>
          <w:spacing w:val="-10"/>
        </w:rPr>
        <w:t> </w:t>
      </w:r>
      <w:r>
        <w:rPr/>
        <w:t>“Increasing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universities”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-4"/>
        </w:rPr>
        <w:t> </w:t>
      </w:r>
      <w:r>
        <w:rPr/>
        <w:t>Republic’s</w:t>
      </w:r>
      <w:r>
        <w:rPr>
          <w:spacing w:val="-4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recovery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resilience</w:t>
      </w:r>
      <w:r>
        <w:rPr>
          <w:spacing w:val="-3"/>
        </w:rPr>
        <w:t> </w:t>
      </w:r>
      <w:r>
        <w:rPr/>
        <w:t>plan</w:t>
      </w:r>
      <w:r>
        <w:rPr>
          <w:spacing w:val="-5"/>
        </w:rPr>
        <w:t> </w:t>
      </w:r>
      <w:r>
        <w:rPr/>
        <w:t>(RRP),</w:t>
      </w:r>
      <w:r>
        <w:rPr>
          <w:spacing w:val="-5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June</w:t>
      </w:r>
      <w:r>
        <w:rPr>
          <w:spacing w:val="1"/>
        </w:rPr>
        <w:t> </w:t>
      </w:r>
      <w:r>
        <w:rPr/>
        <w:t>2021 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European Commission.</w:t>
      </w:r>
    </w:p>
    <w:p>
      <w:pPr>
        <w:pStyle w:val="ListParagraph"/>
        <w:numPr>
          <w:ilvl w:val="3"/>
          <w:numId w:val="12"/>
        </w:numPr>
        <w:tabs>
          <w:tab w:pos="1000" w:val="left" w:leader="none"/>
        </w:tabs>
        <w:spacing w:line="271" w:lineRule="auto" w:before="100" w:after="0"/>
        <w:ind w:left="999" w:right="438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Change to university funding through the introduction of performance contracts</w:t>
      </w:r>
      <w:r>
        <w:rPr>
          <w:sz w:val="20"/>
        </w:rPr>
        <w:t>: The</w:t>
      </w:r>
      <w:r>
        <w:rPr>
          <w:spacing w:val="1"/>
          <w:sz w:val="20"/>
        </w:rPr>
        <w:t> </w:t>
      </w:r>
      <w:r>
        <w:rPr>
          <w:sz w:val="20"/>
        </w:rPr>
        <w:t>government funding methodology will be modified to take greater account of high-quality and</w:t>
      </w:r>
      <w:r>
        <w:rPr>
          <w:spacing w:val="1"/>
          <w:sz w:val="20"/>
        </w:rPr>
        <w:t> </w:t>
      </w:r>
      <w:r>
        <w:rPr>
          <w:sz w:val="20"/>
        </w:rPr>
        <w:t>inclusive education, excellent research, graduate job placement, co-operation with the private</w:t>
      </w:r>
      <w:r>
        <w:rPr>
          <w:spacing w:val="1"/>
          <w:sz w:val="20"/>
        </w:rPr>
        <w:t> </w:t>
      </w:r>
      <w:r>
        <w:rPr>
          <w:sz w:val="20"/>
        </w:rPr>
        <w:t>sector,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teacher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student</w:t>
      </w:r>
      <w:r>
        <w:rPr>
          <w:spacing w:val="-9"/>
          <w:sz w:val="20"/>
        </w:rPr>
        <w:t> </w:t>
      </w:r>
      <w:r>
        <w:rPr>
          <w:sz w:val="20"/>
        </w:rPr>
        <w:t>internationalisation,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align</w:t>
      </w:r>
      <w:r>
        <w:rPr>
          <w:spacing w:val="-9"/>
          <w:sz w:val="20"/>
        </w:rPr>
        <w:t> </w:t>
      </w:r>
      <w:r>
        <w:rPr>
          <w:sz w:val="20"/>
        </w:rPr>
        <w:t>with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scientific</w:t>
      </w:r>
      <w:r>
        <w:rPr>
          <w:spacing w:val="-10"/>
          <w:sz w:val="20"/>
        </w:rPr>
        <w:t> </w:t>
      </w:r>
      <w:r>
        <w:rPr>
          <w:sz w:val="20"/>
        </w:rPr>
        <w:t>performance</w:t>
      </w:r>
      <w:r>
        <w:rPr>
          <w:spacing w:val="-54"/>
          <w:sz w:val="20"/>
        </w:rPr>
        <w:t> </w:t>
      </w:r>
      <w:r>
        <w:rPr>
          <w:sz w:val="20"/>
        </w:rPr>
        <w:t>evaluation methodology under development. The introduction of performance contracts signed</w:t>
      </w:r>
      <w:r>
        <w:rPr>
          <w:spacing w:val="-53"/>
          <w:sz w:val="20"/>
        </w:rPr>
        <w:t> </w:t>
      </w:r>
      <w:r>
        <w:rPr>
          <w:sz w:val="20"/>
        </w:rPr>
        <w:t>between MoE and public HEIs will support the specialisation and diversification of HEIs based</w:t>
      </w:r>
      <w:r>
        <w:rPr>
          <w:spacing w:val="1"/>
          <w:sz w:val="20"/>
        </w:rPr>
        <w:t> </w:t>
      </w:r>
      <w:r>
        <w:rPr>
          <w:sz w:val="20"/>
        </w:rPr>
        <w:t>on their strengths. Performance contracts should be introduced by Q4 2022 and 90% of HEIs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signed</w:t>
      </w:r>
      <w:r>
        <w:rPr>
          <w:spacing w:val="-1"/>
          <w:sz w:val="20"/>
        </w:rPr>
        <w:t> </w:t>
      </w:r>
      <w:r>
        <w:rPr>
          <w:sz w:val="20"/>
        </w:rPr>
        <w:t>performance</w:t>
      </w:r>
      <w:r>
        <w:rPr>
          <w:spacing w:val="-1"/>
          <w:sz w:val="20"/>
        </w:rPr>
        <w:t> </w:t>
      </w:r>
      <w:r>
        <w:rPr>
          <w:sz w:val="20"/>
        </w:rPr>
        <w:t>contracts by</w:t>
      </w:r>
      <w:r>
        <w:rPr>
          <w:spacing w:val="-5"/>
          <w:sz w:val="20"/>
        </w:rPr>
        <w:t> </w:t>
      </w:r>
      <w:r>
        <w:rPr>
          <w:sz w:val="20"/>
        </w:rPr>
        <w:t>Q4</w:t>
      </w:r>
      <w:r>
        <w:rPr>
          <w:spacing w:val="-1"/>
          <w:sz w:val="20"/>
        </w:rPr>
        <w:t> </w:t>
      </w:r>
      <w:r>
        <w:rPr>
          <w:sz w:val="20"/>
        </w:rPr>
        <w:t>2023.</w:t>
      </w:r>
    </w:p>
    <w:p>
      <w:pPr>
        <w:pStyle w:val="ListParagraph"/>
        <w:numPr>
          <w:ilvl w:val="3"/>
          <w:numId w:val="12"/>
        </w:numPr>
        <w:tabs>
          <w:tab w:pos="1000" w:val="left" w:leader="none"/>
        </w:tabs>
        <w:spacing w:line="271" w:lineRule="auto" w:before="43" w:after="0"/>
        <w:ind w:left="999" w:right="437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Introduction of a periodic scientific performance evaluation system</w:t>
      </w:r>
      <w:r>
        <w:rPr>
          <w:sz w:val="20"/>
        </w:rPr>
        <w:t>: This aims to support</w:t>
      </w:r>
      <w:r>
        <w:rPr>
          <w:spacing w:val="-53"/>
          <w:sz w:val="20"/>
        </w:rPr>
        <w:t> </w:t>
      </w:r>
      <w:r>
        <w:rPr>
          <w:sz w:val="20"/>
        </w:rPr>
        <w:t>the diversification of HEIs and the identification of excellent research teams at individual HEIs.</w:t>
      </w:r>
      <w:r>
        <w:rPr>
          <w:spacing w:val="-53"/>
          <w:sz w:val="20"/>
        </w:rPr>
        <w:t> </w:t>
      </w:r>
      <w:r>
        <w:rPr>
          <w:sz w:val="20"/>
        </w:rPr>
        <w:t>It will be implemented with the involvement of international evaluators and with a focus on the</w:t>
      </w:r>
      <w:r>
        <w:rPr>
          <w:spacing w:val="1"/>
          <w:sz w:val="20"/>
        </w:rPr>
        <w:t> </w:t>
      </w:r>
      <w:r>
        <w:rPr>
          <w:sz w:val="20"/>
        </w:rPr>
        <w:t>independence and transparency of the assessment panel. The periodic evaluation of scientific</w:t>
      </w:r>
      <w:r>
        <w:rPr>
          <w:spacing w:val="-53"/>
          <w:sz w:val="20"/>
        </w:rPr>
        <w:t> </w:t>
      </w:r>
      <w:r>
        <w:rPr>
          <w:sz w:val="20"/>
        </w:rPr>
        <w:t>performance should be defined by Q1 2022 in Act No. 172/2005 while the evaluation of</w:t>
      </w:r>
      <w:r>
        <w:rPr>
          <w:spacing w:val="1"/>
          <w:sz w:val="20"/>
        </w:rPr>
        <w:t> </w:t>
      </w:r>
      <w:r>
        <w:rPr>
          <w:sz w:val="20"/>
        </w:rPr>
        <w:t>academic</w:t>
      </w:r>
      <w:r>
        <w:rPr>
          <w:spacing w:val="-1"/>
          <w:sz w:val="20"/>
        </w:rPr>
        <w:t> </w:t>
      </w:r>
      <w:r>
        <w:rPr>
          <w:sz w:val="20"/>
        </w:rPr>
        <w:t>research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HEIs should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launched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Q4</w:t>
      </w:r>
      <w:r>
        <w:rPr>
          <w:spacing w:val="1"/>
          <w:sz w:val="20"/>
        </w:rPr>
        <w:t> </w:t>
      </w:r>
      <w:r>
        <w:rPr>
          <w:sz w:val="20"/>
        </w:rPr>
        <w:t>2022.</w:t>
      </w:r>
    </w:p>
    <w:p>
      <w:pPr>
        <w:pStyle w:val="ListParagraph"/>
        <w:numPr>
          <w:ilvl w:val="3"/>
          <w:numId w:val="12"/>
        </w:numPr>
        <w:tabs>
          <w:tab w:pos="1000" w:val="left" w:leader="none"/>
        </w:tabs>
        <w:spacing w:line="271" w:lineRule="auto" w:before="43" w:after="0"/>
        <w:ind w:left="999" w:right="439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Continuing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reform</w:t>
      </w:r>
      <w:r>
        <w:rPr>
          <w:rFonts w:ascii="Arial" w:hAnsi="Arial"/>
          <w:b/>
          <w:spacing w:val="57"/>
          <w:sz w:val="20"/>
        </w:rPr>
        <w:t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z w:val="20"/>
        </w:rPr>
        <w:t>higher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education   accreditation</w:t>
      </w:r>
      <w:r>
        <w:rPr>
          <w:sz w:val="20"/>
        </w:rPr>
        <w:t>:</w:t>
      </w:r>
      <w:r>
        <w:rPr>
          <w:spacing w:val="55"/>
          <w:sz w:val="20"/>
        </w:rPr>
        <w:t> </w:t>
      </w:r>
      <w:r>
        <w:rPr>
          <w:sz w:val="20"/>
        </w:rPr>
        <w:t>The</w:t>
      </w:r>
      <w:r>
        <w:rPr>
          <w:spacing w:val="56"/>
          <w:sz w:val="20"/>
        </w:rPr>
        <w:t> </w:t>
      </w:r>
      <w:r>
        <w:rPr>
          <w:sz w:val="20"/>
        </w:rPr>
        <w:t>amendment</w:t>
      </w:r>
      <w:r>
        <w:rPr>
          <w:spacing w:val="55"/>
          <w:sz w:val="20"/>
        </w:rPr>
        <w:t> </w:t>
      </w:r>
      <w:r>
        <w:rPr>
          <w:sz w:val="20"/>
        </w:rPr>
        <w:t>to</w:t>
      </w:r>
      <w:r>
        <w:rPr>
          <w:spacing w:val="56"/>
          <w:sz w:val="20"/>
        </w:rPr>
        <w:t> </w:t>
      </w:r>
      <w:r>
        <w:rPr>
          <w:sz w:val="20"/>
        </w:rPr>
        <w:t>Act</w:t>
      </w:r>
      <w:r>
        <w:rPr>
          <w:spacing w:val="1"/>
          <w:sz w:val="20"/>
        </w:rPr>
        <w:t> </w:t>
      </w:r>
      <w:r>
        <w:rPr>
          <w:sz w:val="20"/>
        </w:rPr>
        <w:t>No. 269/2018 on quality assurance in higher education sets new standards and criteria for</w:t>
      </w:r>
      <w:r>
        <w:rPr>
          <w:spacing w:val="1"/>
          <w:sz w:val="20"/>
        </w:rPr>
        <w:t> </w:t>
      </w:r>
      <w:r>
        <w:rPr>
          <w:sz w:val="20"/>
        </w:rPr>
        <w:t>accrediting study programmes imposing stricter requirements for guaranteeing and providing</w:t>
      </w:r>
      <w:r>
        <w:rPr>
          <w:spacing w:val="1"/>
          <w:sz w:val="20"/>
        </w:rPr>
        <w:t> </w:t>
      </w:r>
      <w:r>
        <w:rPr>
          <w:sz w:val="20"/>
        </w:rPr>
        <w:t>study programmes, improving their quality and implementing long-term processes to monitor</w:t>
      </w:r>
      <w:r>
        <w:rPr>
          <w:spacing w:val="1"/>
          <w:sz w:val="20"/>
        </w:rPr>
        <w:t> </w:t>
      </w:r>
      <w:r>
        <w:rPr>
          <w:sz w:val="20"/>
        </w:rPr>
        <w:t>their quality. 90% of HEIs are expected to apply for review of the compliance of internal quality</w:t>
      </w:r>
      <w:r>
        <w:rPr>
          <w:spacing w:val="-53"/>
          <w:sz w:val="20"/>
        </w:rPr>
        <w:t> </w:t>
      </w:r>
      <w:r>
        <w:rPr>
          <w:sz w:val="20"/>
        </w:rPr>
        <w:t>systems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study</w:t>
      </w:r>
      <w:r>
        <w:rPr>
          <w:spacing w:val="-3"/>
          <w:sz w:val="20"/>
        </w:rPr>
        <w:t> </w:t>
      </w:r>
      <w:r>
        <w:rPr>
          <w:sz w:val="20"/>
        </w:rPr>
        <w:t>programs with the</w:t>
      </w:r>
      <w:r>
        <w:rPr>
          <w:spacing w:val="1"/>
          <w:sz w:val="20"/>
        </w:rPr>
        <w:t> </w:t>
      </w:r>
      <w:r>
        <w:rPr>
          <w:sz w:val="20"/>
        </w:rPr>
        <w:t>standards by</w:t>
      </w:r>
      <w:r>
        <w:rPr>
          <w:spacing w:val="-5"/>
          <w:sz w:val="20"/>
        </w:rPr>
        <w:t> </w:t>
      </w:r>
      <w:r>
        <w:rPr>
          <w:sz w:val="20"/>
        </w:rPr>
        <w:t>Q4</w:t>
      </w:r>
      <w:r>
        <w:rPr>
          <w:spacing w:val="-1"/>
          <w:sz w:val="20"/>
        </w:rPr>
        <w:t> </w:t>
      </w:r>
      <w:r>
        <w:rPr>
          <w:sz w:val="20"/>
        </w:rPr>
        <w:t>2022.</w:t>
      </w:r>
    </w:p>
    <w:p>
      <w:pPr>
        <w:pStyle w:val="ListParagraph"/>
        <w:numPr>
          <w:ilvl w:val="3"/>
          <w:numId w:val="12"/>
        </w:numPr>
        <w:tabs>
          <w:tab w:pos="1000" w:val="left" w:leader="none"/>
        </w:tabs>
        <w:spacing w:line="271" w:lineRule="auto" w:before="45" w:after="0"/>
        <w:ind w:left="999" w:right="439" w:hanging="339"/>
        <w:jc w:val="both"/>
        <w:rPr>
          <w:sz w:val="20"/>
        </w:rPr>
      </w:pPr>
      <w:r>
        <w:rPr>
          <w:rFonts w:ascii="Arial" w:hAnsi="Arial"/>
          <w:b/>
          <w:sz w:val="20"/>
        </w:rPr>
        <w:t>Reforming higher education governance: </w:t>
      </w:r>
      <w:r>
        <w:rPr>
          <w:sz w:val="20"/>
        </w:rPr>
        <w:t>This is envisaged through the amendment of Act</w:t>
      </w:r>
      <w:r>
        <w:rPr>
          <w:spacing w:val="1"/>
          <w:sz w:val="20"/>
        </w:rPr>
        <w:t> </w:t>
      </w:r>
      <w:r>
        <w:rPr>
          <w:w w:val="95"/>
          <w:sz w:val="20"/>
        </w:rPr>
        <w:t>No.</w:t>
      </w:r>
      <w:r>
        <w:rPr>
          <w:spacing w:val="50"/>
          <w:sz w:val="20"/>
        </w:rPr>
        <w:t> </w:t>
      </w:r>
      <w:r>
        <w:rPr>
          <w:w w:val="95"/>
          <w:sz w:val="20"/>
        </w:rPr>
        <w:t>131/2002 on higher</w:t>
      </w:r>
      <w:r>
        <w:rPr>
          <w:spacing w:val="50"/>
          <w:sz w:val="20"/>
        </w:rPr>
        <w:t> </w:t>
      </w:r>
      <w:r>
        <w:rPr>
          <w:w w:val="95"/>
          <w:sz w:val="20"/>
        </w:rPr>
        <w:t>education by Q4 2021. Changes would</w:t>
      </w:r>
      <w:r>
        <w:rPr>
          <w:spacing w:val="50"/>
          <w:sz w:val="20"/>
        </w:rPr>
        <w:t> </w:t>
      </w:r>
      <w:r>
        <w:rPr>
          <w:w w:val="95"/>
          <w:sz w:val="20"/>
        </w:rPr>
        <w:t>entail revising the competences</w:t>
      </w:r>
      <w:r>
        <w:rPr>
          <w:spacing w:val="1"/>
          <w:w w:val="95"/>
          <w:sz w:val="20"/>
        </w:rPr>
        <w:t> </w:t>
      </w:r>
      <w:r>
        <w:rPr>
          <w:sz w:val="20"/>
        </w:rPr>
        <w:t>of individual self-governing HEI bodies, professionalising HEI management, enabling greater</w:t>
      </w:r>
      <w:r>
        <w:rPr>
          <w:spacing w:val="1"/>
          <w:sz w:val="20"/>
        </w:rPr>
        <w:t> </w:t>
      </w:r>
      <w:r>
        <w:rPr>
          <w:sz w:val="20"/>
        </w:rPr>
        <w:t>integration of the internal structures of HEIs and removing the restrictions for filling vacant</w:t>
      </w:r>
      <w:r>
        <w:rPr>
          <w:spacing w:val="1"/>
          <w:sz w:val="20"/>
        </w:rPr>
        <w:t> </w:t>
      </w:r>
      <w:r>
        <w:rPr>
          <w:sz w:val="20"/>
        </w:rPr>
        <w:t>associate professor and professor positions, in turn promoting openness of the academic</w:t>
      </w:r>
      <w:r>
        <w:rPr>
          <w:spacing w:val="1"/>
          <w:sz w:val="20"/>
        </w:rPr>
        <w:t> </w:t>
      </w:r>
      <w:r>
        <w:rPr>
          <w:sz w:val="20"/>
        </w:rPr>
        <w:t>environment</w:t>
      </w:r>
      <w:r>
        <w:rPr>
          <w:spacing w:val="-2"/>
          <w:sz w:val="20"/>
        </w:rPr>
        <w:t> </w:t>
      </w:r>
      <w:r>
        <w:rPr>
          <w:sz w:val="20"/>
        </w:rPr>
        <w:t>to applicants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3"/>
          <w:sz w:val="20"/>
        </w:rPr>
        <w:t> </w:t>
      </w:r>
      <w:r>
        <w:rPr>
          <w:sz w:val="20"/>
        </w:rPr>
        <w:t>professional</w:t>
      </w:r>
      <w:r>
        <w:rPr>
          <w:spacing w:val="-1"/>
          <w:sz w:val="20"/>
        </w:rPr>
        <w:t> </w:t>
      </w:r>
      <w:r>
        <w:rPr>
          <w:sz w:val="20"/>
        </w:rPr>
        <w:t>practice and</w:t>
      </w:r>
      <w:r>
        <w:rPr>
          <w:spacing w:val="-3"/>
          <w:sz w:val="20"/>
        </w:rPr>
        <w:t> </w:t>
      </w:r>
      <w:r>
        <w:rPr>
          <w:sz w:val="20"/>
        </w:rPr>
        <w:t>abroad.</w:t>
      </w:r>
    </w:p>
    <w:p>
      <w:pPr>
        <w:spacing w:after="0" w:line="271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73"/>
      </w:pPr>
      <w:r>
        <w:rPr/>
        <w:pict>
          <v:shape style="width:465.6pt;height:241.6pt;mso-position-horizontal-relative:char;mso-position-vertical-relative:line" type="#_x0000_t202" filled="true" fillcolor="#eeece1" stroked="true" strokeweight=".48004pt" strokecolor="#4e81bd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816" w:val="left" w:leader="none"/>
                    </w:tabs>
                    <w:spacing w:line="271" w:lineRule="auto" w:before="7" w:after="0"/>
                    <w:ind w:left="815" w:right="139" w:hanging="339"/>
                    <w:jc w:val="both"/>
                  </w:pPr>
                  <w:r>
                    <w:rPr>
                      <w:rFonts w:ascii="Arial" w:hAnsi="Arial"/>
                      <w:b/>
                    </w:rPr>
                    <w:t>Concentration of excellent educational and research capacities</w:t>
                  </w:r>
                  <w:r>
                    <w:rPr/>
                    <w:t>, aimed at reducing the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number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HEIs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supporting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consolidation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into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larger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organisations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capable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competing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internationally, while creating a competitive and diversified environment internally. A roadmap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 merging at least two HEIs elaborating a timeline and individual steps leading to the merger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should be approved by Q4 2021 and the formal merger process for a least two HEIs should be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completed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Q2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2026.</w:t>
                  </w:r>
                </w:p>
                <w:p>
                  <w:pPr>
                    <w:pStyle w:val="BodyText"/>
                    <w:spacing w:line="271" w:lineRule="auto" w:before="125"/>
                    <w:ind w:left="136" w:right="137"/>
                    <w:jc w:val="both"/>
                  </w:pPr>
                  <w:r>
                    <w:rPr/>
                    <w:t>Investments supporting the strategic development of HEIs include EUR 203.9 million to complement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reform of HEI funding as well as the concentration of the education and research capacities.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Modernisation of HEI infrastructure and facilities, including student housing, access for people with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disabilties, and the digitalisation of teaching, are expected to improve the quality of Slovak higher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education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attract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talented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academics.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262.647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m2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colleges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dormitories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expected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renovated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Q2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2026,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energy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savings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30%.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Mergers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additionally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involve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direct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transactional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costs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infrastructure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capacities.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two</w:t>
                  </w:r>
                  <w:r>
                    <w:rPr>
                      <w:spacing w:val="-54"/>
                    </w:rPr>
                    <w:t> </w:t>
                  </w:r>
                  <w:r>
                    <w:rPr/>
                    <w:t>calls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strategic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 announced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Q3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2022.</w:t>
                  </w:r>
                </w:p>
                <w:p>
                  <w:pPr>
                    <w:spacing w:line="256" w:lineRule="auto" w:before="100"/>
                    <w:ind w:left="136" w:right="138" w:firstLine="0"/>
                    <w:jc w:val="both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Source:</w:t>
                  </w:r>
                  <w:r>
                    <w:rPr>
                      <w:rFonts w:ascii="Microsoft Sans Serif" w:hAnsi="Microsoft Sans Serif"/>
                      <w:spacing w:val="7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Government</w:t>
                  </w:r>
                  <w:r>
                    <w:rPr>
                      <w:rFonts w:ascii="Microsoft Sans Serif" w:hAnsi="Microsoft Sans Serif"/>
                      <w:spacing w:val="12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of</w:t>
                  </w:r>
                  <w:r>
                    <w:rPr>
                      <w:rFonts w:ascii="Microsoft Sans Serif" w:hAnsi="Microsoft Sans Serif"/>
                      <w:spacing w:val="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the</w:t>
                  </w:r>
                  <w:r>
                    <w:rPr>
                      <w:rFonts w:ascii="Microsoft Sans Serif" w:hAnsi="Microsoft Sans Serif"/>
                      <w:spacing w:val="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Slovak</w:t>
                  </w:r>
                  <w:r>
                    <w:rPr>
                      <w:rFonts w:ascii="Microsoft Sans Serif" w:hAnsi="Microsoft Sans Serif"/>
                      <w:spacing w:val="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Republic</w:t>
                  </w:r>
                  <w:r>
                    <w:rPr>
                      <w:rFonts w:ascii="Microsoft Sans Serif" w:hAnsi="Microsoft Sans Serif"/>
                      <w:spacing w:val="10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(2021</w:t>
                  </w:r>
                  <w:r>
                    <w:rPr>
                      <w:rFonts w:ascii="Microsoft Sans Serif" w:hAnsi="Microsoft Sans Serif"/>
                      <w:w w:val="80"/>
                      <w:sz w:val="12"/>
                    </w:rPr>
                    <w:t>[7]</w:t>
                  </w:r>
                  <w:r>
                    <w:rPr>
                      <w:rFonts w:ascii="Microsoft Sans Serif" w:hAnsi="Microsoft Sans Serif"/>
                      <w:w w:val="80"/>
                      <w:position w:val="1"/>
                      <w:sz w:val="18"/>
                    </w:rPr>
                    <w:t>),</w:t>
                  </w:r>
                  <w:r>
                    <w:rPr>
                      <w:rFonts w:ascii="Microsoft Sans Serif" w:hAnsi="Microsoft Sans Serif"/>
                      <w:spacing w:val="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Plán</w:t>
                  </w:r>
                  <w:r>
                    <w:rPr>
                      <w:rFonts w:ascii="Arial" w:hAnsi="Arial"/>
                      <w:i/>
                      <w:spacing w:val="6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Obnovy</w:t>
                  </w:r>
                  <w:r>
                    <w:rPr>
                      <w:rFonts w:ascii="Arial" w:hAnsi="Arial"/>
                      <w:i/>
                      <w:spacing w:val="7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-</w:t>
                  </w:r>
                  <w:r>
                    <w:rPr>
                      <w:rFonts w:ascii="Arial" w:hAnsi="Arial"/>
                      <w:i/>
                      <w:spacing w:val="6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Cestovná</w:t>
                  </w:r>
                  <w:r>
                    <w:rPr>
                      <w:rFonts w:ascii="Arial" w:hAnsi="Arial"/>
                      <w:i/>
                      <w:spacing w:val="5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mapa</w:t>
                  </w:r>
                  <w:r>
                    <w:rPr>
                      <w:rFonts w:ascii="Arial" w:hAnsi="Arial"/>
                      <w:i/>
                      <w:spacing w:val="5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k</w:t>
                  </w:r>
                  <w:r>
                    <w:rPr>
                      <w:rFonts w:ascii="Arial" w:hAnsi="Arial"/>
                      <w:i/>
                      <w:spacing w:val="7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lepšiemu</w:t>
                  </w:r>
                  <w:r>
                    <w:rPr>
                      <w:rFonts w:ascii="Arial" w:hAnsi="Arial"/>
                      <w:i/>
                      <w:spacing w:val="5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Slovensku</w:t>
                  </w:r>
                  <w:r>
                    <w:rPr>
                      <w:rFonts w:ascii="Arial" w:hAnsi="Arial"/>
                      <w:i/>
                      <w:spacing w:val="5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[Recovery</w:t>
                  </w:r>
                  <w:r>
                    <w:rPr>
                      <w:rFonts w:ascii="Arial" w:hAnsi="Arial"/>
                      <w:i/>
                      <w:spacing w:val="7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Plan:</w:t>
                  </w:r>
                  <w:r>
                    <w:rPr>
                      <w:rFonts w:ascii="Arial" w:hAnsi="Arial"/>
                      <w:i/>
                      <w:spacing w:val="10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A</w:t>
                  </w:r>
                  <w:r>
                    <w:rPr>
                      <w:rFonts w:ascii="Arial" w:hAnsi="Arial"/>
                      <w:i/>
                      <w:spacing w:val="6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Roadmap</w:t>
                  </w:r>
                  <w:r>
                    <w:rPr>
                      <w:rFonts w:ascii="Arial" w:hAnsi="Arial"/>
                      <w:i/>
                      <w:spacing w:val="5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position w:val="1"/>
                      <w:sz w:val="18"/>
                    </w:rPr>
                    <w:t>to</w:t>
                  </w:r>
                  <w:r>
                    <w:rPr>
                      <w:rFonts w:ascii="Arial" w:hAnsi="Arial"/>
                      <w:i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90"/>
                      <w:sz w:val="18"/>
                    </w:rPr>
                    <w:t>a</w:t>
                  </w:r>
                  <w:r>
                    <w:rPr>
                      <w:rFonts w:ascii="Arial" w:hAnsi="Arial"/>
                      <w:i/>
                      <w:spacing w:val="-6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90"/>
                      <w:sz w:val="18"/>
                    </w:rPr>
                    <w:t>Better</w:t>
                  </w:r>
                  <w:r>
                    <w:rPr>
                      <w:rFonts w:ascii="Arial" w:hAnsi="Arial"/>
                      <w:i/>
                      <w:spacing w:val="-4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90"/>
                      <w:sz w:val="18"/>
                    </w:rPr>
                    <w:t>Slovakia]</w:t>
                  </w:r>
                  <w:r>
                    <w:rPr>
                      <w:rFonts w:ascii="Microsoft Sans Serif" w:hAnsi="Microsoft Sans Serif"/>
                      <w:w w:val="90"/>
                      <w:sz w:val="18"/>
                    </w:rPr>
                    <w:t>.</w:t>
                  </w:r>
                </w:p>
              </w:txbxContent>
            </v:textbox>
            <v:fill type="solid"/>
            <v:stroke dashstyle="solid"/>
          </v:shape>
        </w:pict>
      </w:r>
      <w:r>
        <w:rPr/>
      </w:r>
    </w:p>
    <w:p>
      <w:pPr>
        <w:pStyle w:val="BodyText"/>
        <w:spacing w:before="10"/>
        <w:rPr>
          <w:sz w:val="11"/>
        </w:rPr>
      </w:pPr>
    </w:p>
    <w:p>
      <w:pPr>
        <w:pStyle w:val="Heading7"/>
        <w:spacing w:before="94"/>
      </w:pPr>
      <w:bookmarkStart w:name="Stakeholder and international calls for " w:id="94"/>
      <w:bookmarkEnd w:id="94"/>
      <w:r>
        <w:rPr>
          <w:i w:val="0"/>
        </w:rPr>
      </w:r>
      <w:r>
        <w:rPr>
          <w:color w:val="616161"/>
        </w:rPr>
        <w:t>Stakeholder</w:t>
      </w:r>
      <w:r>
        <w:rPr>
          <w:color w:val="616161"/>
          <w:spacing w:val="-5"/>
        </w:rPr>
        <w:t> </w:t>
      </w:r>
      <w:r>
        <w:rPr>
          <w:color w:val="616161"/>
        </w:rPr>
        <w:t>and</w:t>
      </w:r>
      <w:r>
        <w:rPr>
          <w:color w:val="616161"/>
          <w:spacing w:val="-7"/>
        </w:rPr>
        <w:t> </w:t>
      </w:r>
      <w:r>
        <w:rPr>
          <w:color w:val="616161"/>
        </w:rPr>
        <w:t>international</w:t>
      </w:r>
      <w:r>
        <w:rPr>
          <w:color w:val="616161"/>
          <w:spacing w:val="-6"/>
        </w:rPr>
        <w:t> </w:t>
      </w:r>
      <w:r>
        <w:rPr>
          <w:color w:val="616161"/>
        </w:rPr>
        <w:t>calls</w:t>
      </w:r>
      <w:r>
        <w:rPr>
          <w:color w:val="616161"/>
          <w:spacing w:val="-4"/>
        </w:rPr>
        <w:t> </w:t>
      </w:r>
      <w:r>
        <w:rPr>
          <w:color w:val="616161"/>
        </w:rPr>
        <w:t>for</w:t>
      </w:r>
      <w:r>
        <w:rPr>
          <w:color w:val="616161"/>
          <w:spacing w:val="-6"/>
        </w:rPr>
        <w:t> </w:t>
      </w:r>
      <w:r>
        <w:rPr>
          <w:color w:val="616161"/>
        </w:rPr>
        <w:t>reform</w:t>
      </w: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pStyle w:val="BodyText"/>
        <w:spacing w:line="271" w:lineRule="auto" w:before="1"/>
        <w:ind w:left="183" w:right="302"/>
        <w:jc w:val="both"/>
      </w:pPr>
      <w:r>
        <w:rPr/>
        <w:t>Alongside government strategies, some stakeholders have advocated for broad changes to the Slovak</w:t>
      </w:r>
      <w:r>
        <w:rPr>
          <w:spacing w:val="1"/>
        </w:rPr>
        <w:t> </w:t>
      </w:r>
      <w:r>
        <w:rPr/>
        <w:t>education system in recent years. The project “Learning Makes Sense” (</w:t>
      </w:r>
      <w:r>
        <w:rPr>
          <w:rFonts w:ascii="Arial" w:hAnsi="Arial"/>
          <w:i/>
        </w:rPr>
        <w:t>To dá rozum</w:t>
      </w:r>
      <w:r>
        <w:rPr/>
        <w:t>), conducted from</w:t>
      </w:r>
      <w:r>
        <w:rPr>
          <w:spacing w:val="1"/>
        </w:rPr>
        <w:t> </w:t>
      </w:r>
      <w:r>
        <w:rPr/>
        <w:t>2016 to 2020 on the basis on an extensive number of stakeholder interviews and surveys, and the</w:t>
      </w:r>
      <w:r>
        <w:rPr>
          <w:spacing w:val="1"/>
        </w:rPr>
        <w:t> </w:t>
      </w:r>
      <w:r>
        <w:rPr/>
        <w:t>establishment in late 2020 of an “Alternative Rectors Platform” (Vznik Alternativnej platformy slovenskych</w:t>
      </w:r>
      <w:r>
        <w:rPr>
          <w:spacing w:val="-53"/>
        </w:rPr>
        <w:t> </w:t>
      </w:r>
      <w:r>
        <w:rPr/>
        <w:t>rektoriek a rekorov), are examples of the push for reform. Both highlight the need for a more student-</w:t>
      </w:r>
      <w:r>
        <w:rPr>
          <w:spacing w:val="1"/>
        </w:rPr>
        <w:t> </w:t>
      </w:r>
      <w:r>
        <w:rPr/>
        <w:t>centred</w:t>
      </w:r>
      <w:r>
        <w:rPr>
          <w:spacing w:val="-3"/>
        </w:rPr>
        <w:t> </w:t>
      </w:r>
      <w:r>
        <w:rPr/>
        <w:t>and high-performing</w:t>
      </w:r>
      <w:r>
        <w:rPr>
          <w:spacing w:val="-2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271" w:lineRule="auto" w:before="121"/>
        <w:ind w:left="183" w:right="308"/>
        <w:jc w:val="both"/>
      </w:pPr>
      <w:r>
        <w:rPr/>
        <w:t>In parallel, recent international studies called for reforming the governance of universities, such as the</w:t>
      </w:r>
      <w:r>
        <w:rPr>
          <w:spacing w:val="1"/>
        </w:rPr>
        <w:t> </w:t>
      </w:r>
      <w:r>
        <w:rPr/>
        <w:t>2018 European Commission’s peer counselling on governance of higher education institutions in the</w:t>
      </w:r>
      <w:r>
        <w:rPr>
          <w:spacing w:val="1"/>
        </w:rPr>
        <w:t> </w:t>
      </w:r>
      <w:r>
        <w:rPr/>
        <w:t>Slovak Republic, and more broadly made recommendations to improve the skills of Slovak citizens and</w:t>
      </w:r>
      <w:r>
        <w:rPr>
          <w:spacing w:val="1"/>
        </w:rPr>
        <w:t> </w:t>
      </w:r>
      <w:r>
        <w:rPr>
          <w:position w:val="1"/>
        </w:rPr>
        <w:t>workers (OECD,</w:t>
      </w:r>
      <w:r>
        <w:rPr>
          <w:spacing w:val="-1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[4]</w:t>
      </w:r>
      <w:r>
        <w:rPr>
          <w:position w:val="1"/>
        </w:rPr>
        <w:t>).</w:t>
      </w:r>
    </w:p>
    <w:p>
      <w:pPr>
        <w:pStyle w:val="BodyText"/>
        <w:spacing w:line="273" w:lineRule="auto" w:before="117"/>
        <w:ind w:left="183" w:right="304"/>
        <w:jc w:val="both"/>
      </w:pPr>
      <w:r>
        <w:rPr/>
        <w:t>Recommendations</w:t>
      </w:r>
      <w:r>
        <w:rPr>
          <w:spacing w:val="1"/>
        </w:rPr>
        <w:t> </w:t>
      </w:r>
      <w:r>
        <w:rPr/>
        <w:t>for higher education from</w:t>
      </w:r>
      <w:r>
        <w:rPr>
          <w:spacing w:val="1"/>
        </w:rPr>
        <w:t> </w:t>
      </w:r>
      <w:r>
        <w:rPr/>
        <w:t>Learning Makes Sense (</w:t>
      </w:r>
      <w:r>
        <w:rPr>
          <w:rFonts w:ascii="Arial" w:hAnsi="Arial"/>
          <w:i/>
        </w:rPr>
        <w:t>To dá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rozum</w:t>
      </w:r>
      <w:r>
        <w:rPr/>
        <w:t>)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Commission’s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counselling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/>
        <w:t>governance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higher</w:t>
      </w:r>
      <w:r>
        <w:rPr>
          <w:spacing w:val="56"/>
        </w:rPr>
        <w:t> </w:t>
      </w:r>
      <w:r>
        <w:rPr/>
        <w:t>education</w:t>
      </w:r>
      <w:r>
        <w:rPr>
          <w:spacing w:val="55"/>
        </w:rPr>
        <w:t> </w:t>
      </w:r>
      <w:r>
        <w:rPr/>
        <w:t>institutions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2"/>
        </w:rPr>
        <w:t> </w:t>
      </w:r>
      <w:r>
        <w:rPr/>
        <w:t>Republic are</w:t>
      </w:r>
      <w:r>
        <w:rPr>
          <w:spacing w:val="-1"/>
        </w:rPr>
        <w:t> </w:t>
      </w:r>
      <w:r>
        <w:rPr/>
        <w:t>summarised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39">
        <w:r>
          <w:rPr/>
          <w:t>Box 3.4.</w:t>
        </w:r>
      </w:hyperlink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64.944pt;margin-top:10.751937pt;width:465.6pt;height:190.25pt;mso-position-horizontal-relative:page;mso-position-vertical-relative:paragraph;z-index:-15706112;mso-wrap-distance-left:0;mso-wrap-distance-right:0" type="#_x0000_t202" filled="true" fillcolor="#eeece1" stroked="true" strokeweight=".48004pt" strokecolor="#4e81bd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1"/>
                    </w:rPr>
                  </w:pPr>
                </w:p>
                <w:p>
                  <w:pPr>
                    <w:spacing w:before="0"/>
                    <w:ind w:left="136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_bookmark39" w:id="95"/>
                  <w:bookmarkEnd w:id="95"/>
                  <w:r>
                    <w:rPr/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Box</w:t>
                  </w:r>
                  <w:r>
                    <w:rPr>
                      <w:rFonts w:ascii="Arial"/>
                      <w:b/>
                      <w:color w:val="4E81BD"/>
                      <w:spacing w:val="18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3.4.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Recent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recommendations</w:t>
                  </w:r>
                  <w:r>
                    <w:rPr>
                      <w:rFonts w:ascii="Arial"/>
                      <w:b/>
                      <w:color w:val="4E81BD"/>
                      <w:spacing w:val="18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to</w:t>
                  </w:r>
                  <w:r>
                    <w:rPr>
                      <w:rFonts w:ascii="Arial"/>
                      <w:b/>
                      <w:color w:val="4E81BD"/>
                      <w:spacing w:val="19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reform</w:t>
                  </w:r>
                  <w:r>
                    <w:rPr>
                      <w:rFonts w:ascii="Arial"/>
                      <w:b/>
                      <w:color w:val="4E81BD"/>
                      <w:spacing w:val="18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Slovak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higher</w:t>
                  </w:r>
                  <w:r>
                    <w:rPr>
                      <w:rFonts w:ascii="Arial"/>
                      <w:b/>
                      <w:color w:val="4E81BD"/>
                      <w:spacing w:val="18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education</w:t>
                  </w:r>
                </w:p>
                <w:p>
                  <w:pPr>
                    <w:spacing w:before="182"/>
                    <w:ind w:left="136" w:right="0" w:firstLine="0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22"/>
                    </w:rPr>
                    <w:t>Learning</w:t>
                  </w:r>
                  <w:r>
                    <w:rPr>
                      <w:rFonts w:ascii="Arial" w:hAnsi="Arial"/>
                      <w:b/>
                      <w:spacing w:val="12"/>
                      <w:w w:val="8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80"/>
                      <w:sz w:val="22"/>
                    </w:rPr>
                    <w:t>Makes</w:t>
                  </w:r>
                  <w:r>
                    <w:rPr>
                      <w:rFonts w:ascii="Arial" w:hAnsi="Arial"/>
                      <w:b/>
                      <w:spacing w:val="13"/>
                      <w:w w:val="8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80"/>
                      <w:sz w:val="22"/>
                    </w:rPr>
                    <w:t>Sense</w:t>
                  </w:r>
                  <w:r>
                    <w:rPr>
                      <w:rFonts w:ascii="Arial" w:hAnsi="Arial"/>
                      <w:b/>
                      <w:spacing w:val="12"/>
                      <w:w w:val="8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80"/>
                      <w:sz w:val="22"/>
                    </w:rPr>
                    <w:t>(</w:t>
                  </w:r>
                  <w:r>
                    <w:rPr>
                      <w:rFonts w:ascii="Arial" w:hAnsi="Arial"/>
                      <w:b/>
                      <w:i/>
                      <w:w w:val="80"/>
                      <w:sz w:val="22"/>
                    </w:rPr>
                    <w:t>To</w:t>
                  </w:r>
                  <w:r>
                    <w:rPr>
                      <w:rFonts w:ascii="Arial" w:hAnsi="Arial"/>
                      <w:b/>
                      <w:i/>
                      <w:spacing w:val="13"/>
                      <w:w w:val="8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w w:val="80"/>
                      <w:sz w:val="22"/>
                    </w:rPr>
                    <w:t>dá</w:t>
                  </w:r>
                  <w:r>
                    <w:rPr>
                      <w:rFonts w:ascii="Arial" w:hAnsi="Arial"/>
                      <w:b/>
                      <w:i/>
                      <w:spacing w:val="12"/>
                      <w:w w:val="8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w w:val="80"/>
                      <w:sz w:val="22"/>
                    </w:rPr>
                    <w:t>rozum</w:t>
                  </w:r>
                  <w:r>
                    <w:rPr>
                      <w:rFonts w:ascii="Arial" w:hAnsi="Arial"/>
                      <w:b/>
                      <w:w w:val="80"/>
                      <w:sz w:val="22"/>
                    </w:rPr>
                    <w:t>)</w:t>
                  </w:r>
                  <w:r>
                    <w:rPr>
                      <w:rFonts w:ascii="Arial" w:hAnsi="Arial"/>
                      <w:b/>
                      <w:spacing w:val="13"/>
                      <w:w w:val="8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80"/>
                      <w:sz w:val="22"/>
                    </w:rPr>
                    <w:t>(2016-20)</w:t>
                  </w:r>
                </w:p>
                <w:p>
                  <w:pPr>
                    <w:pStyle w:val="BodyText"/>
                    <w:spacing w:line="271" w:lineRule="auto" w:before="150"/>
                    <w:ind w:left="136" w:right="138"/>
                    <w:jc w:val="both"/>
                  </w:pPr>
                  <w:r>
                    <w:rPr/>
                    <w:t>The Learning Makes Sense initiative delivered ambitious recommendations to reform Slovak higher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education in early 2020. Qualitative data was collected using 398 semi-structured individual interviews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and 23 group interviews, with a wide range of respondents from the education sector from early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childhood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higher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education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well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government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governmental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agencies.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Quantitative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data were collected through a questionnaire intended for a variety of respondents: 26 questionnaires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created,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8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1"/>
                    </w:rPr>
                    <w:t> </w:t>
                  </w:r>
                  <w:r>
                    <w:rPr/>
                    <w:t>better</w:t>
                  </w:r>
                  <w:r>
                    <w:rPr>
                      <w:spacing w:val="83"/>
                    </w:rPr>
                    <w:t> </w:t>
                  </w:r>
                  <w:r>
                    <w:rPr/>
                    <w:t>understanding</w:t>
                  </w:r>
                  <w:r>
                    <w:rPr>
                      <w:spacing w:val="8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81"/>
                    </w:rPr>
                    <w:t> </w:t>
                  </w:r>
                  <w:r>
                    <w:rPr/>
                    <w:t>various</w:t>
                  </w:r>
                  <w:r>
                    <w:rPr>
                      <w:spacing w:val="82"/>
                    </w:rPr>
                    <w:t> </w:t>
                  </w:r>
                  <w:r>
                    <w:rPr/>
                    <w:t>perspectives,</w:t>
                  </w:r>
                  <w:r>
                    <w:rPr>
                      <w:spacing w:val="8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81"/>
                    </w:rPr>
                    <w:t> </w:t>
                  </w:r>
                  <w:r>
                    <w:rPr/>
                    <w:t>approximately</w:t>
                  </w:r>
                  <w:r>
                    <w:rPr>
                      <w:spacing w:val="-54"/>
                    </w:rPr>
                    <w:t> </w:t>
                  </w:r>
                  <w:r>
                    <w:rPr/>
                    <w:t>15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000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responses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received.</w:t>
                  </w:r>
                </w:p>
                <w:p>
                  <w:pPr>
                    <w:pStyle w:val="BodyText"/>
                    <w:spacing w:line="273" w:lineRule="auto" w:before="120"/>
                    <w:ind w:left="136" w:right="141"/>
                    <w:jc w:val="both"/>
                  </w:pPr>
                  <w:r>
                    <w:rPr/>
                    <w:t>At the core of the recommendations was a new model of higher education linking qualifications to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demands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labour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market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increasing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supply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professional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bachelor’s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programmes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64.704002pt;margin-top:65.228004pt;width:466.05pt;height:658.4pt;mso-position-horizontal-relative:page;mso-position-vertical-relative:page;z-index:-19707904" coordorigin="1294,1305" coordsize="9321,13168">
            <v:rect style="position:absolute;left:1303;top:1314;width:9302;height:13149" filled="true" fillcolor="#eeece1" stroked="false">
              <v:fill type="solid"/>
            </v:rect>
            <v:shape style="position:absolute;left:1294;top:1304;width:9321;height:13168" coordorigin="1294,1305" coordsize="9321,13168" path="m1304,1314l1294,1314,1294,14463,1304,14463,1304,1314xm10605,14463l1304,14463,1304,14463,1294,14463,1294,14473,1304,14473,1304,14473,10605,14473,10605,14463xm10605,1305l1304,1305,1304,1305,1294,1305,1294,1314,1304,1314,1304,1314,10605,1314,10605,1305xm10615,14463l10605,14463,10605,14473,10615,14473,10615,14463xm10615,1314l10605,1314,10605,14463,10615,14463,10615,1314xm10615,1305l10605,1305,10605,1314,10615,1314,10615,1305xe" filled="true" fillcolor="#4e81b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71" w:lineRule="auto" w:before="93"/>
        <w:ind w:left="320" w:right="444"/>
        <w:jc w:val="both"/>
      </w:pPr>
      <w:r>
        <w:rPr/>
        <w:t>introducing applied learning in academically-oriented study programmes. The report also highlighted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increased internationalisation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HEIs.</w:t>
      </w:r>
    </w:p>
    <w:p>
      <w:pPr>
        <w:pStyle w:val="BodyText"/>
        <w:spacing w:line="271" w:lineRule="auto" w:before="121"/>
        <w:ind w:left="320" w:right="437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area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teaching</w:t>
      </w:r>
      <w:r>
        <w:rPr>
          <w:spacing w:val="-12"/>
        </w:rPr>
        <w:t> </w:t>
      </w:r>
      <w:r>
        <w:rPr>
          <w:spacing w:val="-1"/>
        </w:rPr>
        <w:t>quality,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report</w:t>
      </w:r>
      <w:r>
        <w:rPr>
          <w:spacing w:val="-11"/>
        </w:rPr>
        <w:t> </w:t>
      </w:r>
      <w:r>
        <w:rPr>
          <w:spacing w:val="-1"/>
        </w:rPr>
        <w:t>recommended</w:t>
      </w:r>
      <w:r>
        <w:rPr>
          <w:spacing w:val="-11"/>
        </w:rPr>
        <w:t> </w:t>
      </w:r>
      <w:r>
        <w:rPr>
          <w:spacing w:val="-1"/>
        </w:rPr>
        <w:t>establishing</w:t>
      </w:r>
      <w:r>
        <w:rPr>
          <w:spacing w:val="-13"/>
        </w:rPr>
        <w:t> </w:t>
      </w:r>
      <w:r>
        <w:rPr/>
        <w:t>centres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skills of academic staff, decreasing the number of teaching contact hours, and providing customised</w:t>
      </w:r>
      <w:r>
        <w:rPr>
          <w:spacing w:val="1"/>
        </w:rPr>
        <w:t> </w:t>
      </w:r>
      <w:r>
        <w:rPr/>
        <w:t>support for learners in recognition of their varying needs, abilities and interests. To improve the quality</w:t>
      </w:r>
      <w:r>
        <w:rPr>
          <w:spacing w:val="-53"/>
        </w:rPr>
        <w:t> </w:t>
      </w:r>
      <w:r>
        <w:rPr/>
        <w:t>of doctoral studies, the report recommended that doctoral schools focus on applied and soft skills in</w:t>
      </w:r>
      <w:r>
        <w:rPr>
          <w:spacing w:val="1"/>
        </w:rPr>
        <w:t> </w:t>
      </w:r>
      <w:r>
        <w:rPr/>
        <w:t>addition to research skills, and that the academic titles of “professor” and “docent” be suppressed and</w:t>
      </w:r>
      <w:r>
        <w:rPr>
          <w:spacing w:val="1"/>
        </w:rPr>
        <w:t> </w:t>
      </w:r>
      <w:r>
        <w:rPr/>
        <w:t>replaced by the demonstration of a high level of research or teaching performance as the main</w:t>
      </w:r>
      <w:r>
        <w:rPr>
          <w:spacing w:val="1"/>
        </w:rPr>
        <w:t> </w:t>
      </w:r>
      <w:r>
        <w:rPr/>
        <w:t>qualification</w:t>
      </w:r>
      <w:r>
        <w:rPr>
          <w:spacing w:val="-4"/>
        </w:rPr>
        <w:t> </w:t>
      </w:r>
      <w:r>
        <w:rPr/>
        <w:t>criteria,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open</w:t>
      </w:r>
      <w:r>
        <w:rPr>
          <w:spacing w:val="-3"/>
        </w:rPr>
        <w:t> </w:t>
      </w:r>
      <w:r>
        <w:rPr/>
        <w:t>positions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younger</w:t>
      </w:r>
      <w:r>
        <w:rPr>
          <w:spacing w:val="-3"/>
        </w:rPr>
        <w:t> </w:t>
      </w:r>
      <w:r>
        <w:rPr/>
        <w:t>candidates.</w:t>
      </w:r>
    </w:p>
    <w:p>
      <w:pPr>
        <w:pStyle w:val="BodyText"/>
        <w:spacing w:line="271" w:lineRule="auto" w:before="120"/>
        <w:ind w:left="320" w:right="446"/>
        <w:jc w:val="both"/>
      </w:pPr>
      <w:r>
        <w:rPr/>
        <w:t>The report highlighted the need to address issues of academic integrity, recommending that HEIs</w:t>
      </w:r>
      <w:r>
        <w:rPr>
          <w:spacing w:val="1"/>
        </w:rPr>
        <w:t> </w:t>
      </w:r>
      <w:r>
        <w:rPr/>
        <w:t>implement</w:t>
      </w:r>
      <w:r>
        <w:rPr>
          <w:spacing w:val="-11"/>
        </w:rPr>
        <w:t> </w:t>
      </w:r>
      <w:r>
        <w:rPr/>
        <w:t>software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detect</w:t>
      </w:r>
      <w:r>
        <w:rPr>
          <w:spacing w:val="-10"/>
        </w:rPr>
        <w:t> </w:t>
      </w:r>
      <w:r>
        <w:rPr/>
        <w:t>plagiarism,</w:t>
      </w:r>
      <w:r>
        <w:rPr>
          <w:spacing w:val="-10"/>
        </w:rPr>
        <w:t> </w:t>
      </w:r>
      <w:r>
        <w:rPr/>
        <w:t>develop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implement</w:t>
      </w:r>
      <w:r>
        <w:rPr>
          <w:spacing w:val="-10"/>
        </w:rPr>
        <w:t> </w:t>
      </w:r>
      <w:r>
        <w:rPr/>
        <w:t>their</w:t>
      </w:r>
      <w:r>
        <w:rPr>
          <w:spacing w:val="-9"/>
        </w:rPr>
        <w:t> </w:t>
      </w:r>
      <w:r>
        <w:rPr/>
        <w:t>Codes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Conduct,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withdraw</w:t>
      </w:r>
      <w:r>
        <w:rPr>
          <w:spacing w:val="-53"/>
        </w:rPr>
        <w:t> </w:t>
      </w:r>
      <w:r>
        <w:rPr/>
        <w:t>any</w:t>
      </w:r>
      <w:r>
        <w:rPr>
          <w:spacing w:val="-5"/>
        </w:rPr>
        <w:t> </w:t>
      </w:r>
      <w:r>
        <w:rPr/>
        <w:t>fraudulently</w:t>
      </w:r>
      <w:r>
        <w:rPr>
          <w:spacing w:val="-5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degrees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strict</w:t>
      </w:r>
      <w:r>
        <w:rPr>
          <w:spacing w:val="-2"/>
        </w:rPr>
        <w:t> </w:t>
      </w:r>
      <w:r>
        <w:rPr/>
        <w:t>ethics</w:t>
      </w:r>
      <w:r>
        <w:rPr>
          <w:spacing w:val="-1"/>
        </w:rPr>
        <w:t> </w:t>
      </w:r>
      <w:r>
        <w:rPr/>
        <w:t>policy.</w:t>
      </w:r>
    </w:p>
    <w:p>
      <w:pPr>
        <w:pStyle w:val="BodyText"/>
        <w:spacing w:line="271" w:lineRule="auto" w:before="121"/>
        <w:ind w:left="320" w:right="437"/>
        <w:jc w:val="both"/>
      </w:pPr>
      <w:r>
        <w:rPr/>
        <w:t>The</w:t>
      </w:r>
      <w:r>
        <w:rPr>
          <w:spacing w:val="-6"/>
        </w:rPr>
        <w:t> </w:t>
      </w:r>
      <w:r>
        <w:rPr/>
        <w:t>report</w:t>
      </w:r>
      <w:r>
        <w:rPr>
          <w:spacing w:val="-4"/>
        </w:rPr>
        <w:t> </w:t>
      </w:r>
      <w:r>
        <w:rPr/>
        <w:t>advocated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teachers,</w:t>
      </w:r>
      <w:r>
        <w:rPr>
          <w:spacing w:val="-4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professional</w:t>
      </w:r>
      <w:r>
        <w:rPr>
          <w:spacing w:val="-6"/>
        </w:rPr>
        <w:t> </w:t>
      </w:r>
      <w:r>
        <w:rPr/>
        <w:t>staff’s</w:t>
      </w:r>
      <w:r>
        <w:rPr>
          <w:spacing w:val="-3"/>
        </w:rPr>
        <w:t> </w:t>
      </w:r>
      <w:r>
        <w:rPr/>
        <w:t>wages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match</w:t>
      </w:r>
      <w:r>
        <w:rPr>
          <w:spacing w:val="-4"/>
        </w:rPr>
        <w:t> </w:t>
      </w:r>
      <w:r>
        <w:rPr/>
        <w:t>the</w:t>
      </w:r>
      <w:r>
        <w:rPr>
          <w:spacing w:val="-53"/>
        </w:rPr>
        <w:t> </w:t>
      </w:r>
      <w:r>
        <w:rPr>
          <w:spacing w:val="-1"/>
        </w:rPr>
        <w:t>OECD</w:t>
      </w:r>
      <w:r>
        <w:rPr>
          <w:spacing w:val="-10"/>
        </w:rPr>
        <w:t> </w:t>
      </w:r>
      <w:r>
        <w:rPr>
          <w:spacing w:val="-1"/>
        </w:rPr>
        <w:t>average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>
          <w:spacing w:val="-1"/>
        </w:rPr>
        <w:t>well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comprehensive</w:t>
      </w:r>
      <w:r>
        <w:rPr>
          <w:spacing w:val="-13"/>
        </w:rPr>
        <w:t> </w:t>
      </w:r>
      <w:r>
        <w:rPr>
          <w:spacing w:val="-1"/>
        </w:rPr>
        <w:t>reform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training</w:t>
      </w:r>
      <w:r>
        <w:rPr>
          <w:spacing w:val="-11"/>
        </w:rPr>
        <w:t> </w:t>
      </w:r>
      <w:r>
        <w:rPr/>
        <w:t>programmes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academic</w:t>
      </w:r>
      <w:r>
        <w:rPr>
          <w:spacing w:val="-11"/>
        </w:rPr>
        <w:t> </w:t>
      </w:r>
      <w:r>
        <w:rPr/>
        <w:t>staff,</w:t>
      </w:r>
      <w:r>
        <w:rPr>
          <w:spacing w:val="-12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changes;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-8"/>
        </w:rPr>
        <w:t> </w:t>
      </w:r>
      <w:r>
        <w:rPr/>
        <w:t>teaching</w:t>
      </w:r>
      <w:r>
        <w:rPr>
          <w:spacing w:val="-9"/>
        </w:rPr>
        <w:t> </w:t>
      </w:r>
      <w:r>
        <w:rPr/>
        <w:t>skills;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providing</w:t>
      </w:r>
      <w:r>
        <w:rPr>
          <w:spacing w:val="-9"/>
        </w:rPr>
        <w:t> </w:t>
      </w:r>
      <w:r>
        <w:rPr/>
        <w:t>access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high-quality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diverse</w:t>
      </w:r>
      <w:r>
        <w:rPr>
          <w:spacing w:val="-9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programmes,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an</w:t>
      </w:r>
      <w:r>
        <w:rPr>
          <w:spacing w:val="1"/>
        </w:rPr>
        <w:t> </w:t>
      </w:r>
      <w:r>
        <w:rPr/>
        <w:t>effort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profession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attractive.</w:t>
      </w:r>
    </w:p>
    <w:p>
      <w:pPr>
        <w:pStyle w:val="BodyText"/>
        <w:spacing w:line="271" w:lineRule="auto" w:before="121"/>
        <w:ind w:left="320" w:right="441"/>
        <w:jc w:val="both"/>
      </w:pP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emphasised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simplifying management processes and strengthening the rector’s position by ensuring that he/she is</w:t>
      </w:r>
      <w:r>
        <w:rPr>
          <w:spacing w:val="1"/>
        </w:rPr>
        <w:t> </w:t>
      </w:r>
      <w:r>
        <w:rPr/>
        <w:t>selected rigorously by the board and academic senate – the academic senate would additionally</w:t>
      </w:r>
      <w:r>
        <w:rPr>
          <w:spacing w:val="1"/>
        </w:rPr>
        <w:t> </w:t>
      </w:r>
      <w:r>
        <w:rPr/>
        <w:t>nominate</w:t>
      </w:r>
      <w:r>
        <w:rPr>
          <w:spacing w:val="-3"/>
        </w:rPr>
        <w:t> </w:t>
      </w:r>
      <w:r>
        <w:rPr/>
        <w:t>half of the</w:t>
      </w:r>
      <w:r>
        <w:rPr>
          <w:spacing w:val="-1"/>
        </w:rPr>
        <w:t> </w:t>
      </w:r>
      <w:r>
        <w:rPr/>
        <w:t>board,</w:t>
      </w:r>
      <w:r>
        <w:rPr>
          <w:spacing w:val="2"/>
        </w:rPr>
        <w:t> </w:t>
      </w:r>
      <w:r>
        <w:rPr/>
        <w:t>thereby</w:t>
      </w:r>
      <w:r>
        <w:rPr>
          <w:spacing w:val="-5"/>
        </w:rPr>
        <w:t> </w:t>
      </w:r>
      <w:r>
        <w:rPr/>
        <w:t>strengthening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connection of</w:t>
      </w:r>
      <w:r>
        <w:rPr>
          <w:spacing w:val="-1"/>
        </w:rPr>
        <w:t> </w:t>
      </w:r>
      <w:r>
        <w:rPr/>
        <w:t>the board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HEI.</w:t>
      </w:r>
    </w:p>
    <w:p>
      <w:pPr>
        <w:pStyle w:val="BodyText"/>
        <w:spacing w:line="271" w:lineRule="auto" w:before="120"/>
        <w:ind w:left="320" w:right="448"/>
        <w:jc w:val="both"/>
      </w:pPr>
      <w:r>
        <w:rPr/>
        <w:t>Finally, according to the report, a funding reform is needed at the HEI level to improve the quality and</w:t>
      </w:r>
      <w:r>
        <w:rPr>
          <w:spacing w:val="1"/>
        </w:rPr>
        <w:t> </w:t>
      </w:r>
      <w:r>
        <w:rPr/>
        <w:t>international impact of Slovak research and to help HEIs have more visibility, stability and diversity by</w:t>
      </w:r>
      <w:r>
        <w:rPr>
          <w:spacing w:val="1"/>
        </w:rPr>
        <w:t> </w:t>
      </w:r>
      <w:r>
        <w:rPr/>
        <w:t>implementing</w:t>
      </w:r>
      <w:r>
        <w:rPr>
          <w:spacing w:val="-3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contracts.</w:t>
      </w:r>
    </w:p>
    <w:p>
      <w:pPr>
        <w:pStyle w:val="Heading4"/>
        <w:ind w:right="1247"/>
        <w:jc w:val="both"/>
      </w:pPr>
      <w:r>
        <w:rPr>
          <w:w w:val="80"/>
        </w:rPr>
        <w:t>European Commission’s peer counselling on governance of higher education institutions in the</w:t>
      </w:r>
      <w:r>
        <w:rPr>
          <w:spacing w:val="1"/>
          <w:w w:val="80"/>
        </w:rPr>
        <w:t> </w:t>
      </w:r>
      <w:r>
        <w:rPr>
          <w:w w:val="90"/>
        </w:rPr>
        <w:t>Slovak</w:t>
      </w:r>
      <w:r>
        <w:rPr>
          <w:spacing w:val="-7"/>
          <w:w w:val="90"/>
        </w:rPr>
        <w:t> </w:t>
      </w:r>
      <w:r>
        <w:rPr>
          <w:w w:val="90"/>
        </w:rPr>
        <w:t>Republic</w:t>
      </w:r>
      <w:r>
        <w:rPr>
          <w:spacing w:val="-6"/>
          <w:w w:val="90"/>
        </w:rPr>
        <w:t> </w:t>
      </w:r>
      <w:r>
        <w:rPr>
          <w:w w:val="90"/>
        </w:rPr>
        <w:t>(2018)</w:t>
      </w:r>
    </w:p>
    <w:p>
      <w:pPr>
        <w:pStyle w:val="BodyText"/>
        <w:spacing w:line="271" w:lineRule="auto" w:before="149"/>
        <w:ind w:left="320" w:right="440"/>
        <w:jc w:val="both"/>
      </w:pPr>
      <w:r>
        <w:rPr>
          <w:spacing w:val="-1"/>
        </w:rPr>
        <w:t>Peer</w:t>
      </w:r>
      <w:r>
        <w:rPr>
          <w:spacing w:val="-12"/>
        </w:rPr>
        <w:t> </w:t>
      </w:r>
      <w:r>
        <w:rPr>
          <w:spacing w:val="-1"/>
        </w:rPr>
        <w:t>counselling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part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toolbox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strategic</w:t>
      </w:r>
      <w:r>
        <w:rPr>
          <w:spacing w:val="-12"/>
        </w:rPr>
        <w:t> </w:t>
      </w:r>
      <w:r>
        <w:rPr>
          <w:spacing w:val="-1"/>
        </w:rPr>
        <w:t>framework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/>
        <w:t>European</w:t>
      </w:r>
      <w:r>
        <w:rPr>
          <w:spacing w:val="-14"/>
        </w:rPr>
        <w:t> </w:t>
      </w:r>
      <w:r>
        <w:rPr/>
        <w:t>co-operation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training,</w:t>
      </w:r>
      <w:r>
        <w:rPr>
          <w:spacing w:val="-7"/>
        </w:rPr>
        <w:t> </w:t>
      </w:r>
      <w:r>
        <w:rPr/>
        <w:t>offering</w:t>
      </w:r>
      <w:r>
        <w:rPr>
          <w:spacing w:val="-8"/>
        </w:rPr>
        <w:t> </w:t>
      </w:r>
      <w:r>
        <w:rPr/>
        <w:t>tailor-made</w:t>
      </w:r>
      <w:r>
        <w:rPr>
          <w:spacing w:val="-9"/>
        </w:rPr>
        <w:t> </w:t>
      </w:r>
      <w:r>
        <w:rPr/>
        <w:t>policy</w:t>
      </w:r>
      <w:r>
        <w:rPr>
          <w:spacing w:val="-9"/>
        </w:rPr>
        <w:t> </w:t>
      </w:r>
      <w:r>
        <w:rPr/>
        <w:t>advice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country</w:t>
      </w:r>
      <w:r>
        <w:rPr>
          <w:spacing w:val="-9"/>
        </w:rPr>
        <w:t> </w:t>
      </w:r>
      <w:r>
        <w:rPr/>
        <w:t>undergoing</w:t>
      </w:r>
      <w:r>
        <w:rPr>
          <w:spacing w:val="-7"/>
        </w:rPr>
        <w:t> </w:t>
      </w:r>
      <w:r>
        <w:rPr/>
        <w:t>structural</w:t>
      </w:r>
      <w:r>
        <w:rPr>
          <w:spacing w:val="-9"/>
        </w:rPr>
        <w:t> </w:t>
      </w:r>
      <w:r>
        <w:rPr/>
        <w:t>reform,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peers</w:t>
      </w:r>
      <w:r>
        <w:rPr>
          <w:spacing w:val="-8"/>
        </w:rPr>
        <w:t> </w:t>
      </w:r>
      <w:r>
        <w:rPr/>
        <w:t>from</w:t>
      </w:r>
      <w:r>
        <w:rPr>
          <w:spacing w:val="1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administrations</w:t>
      </w:r>
      <w:r>
        <w:rPr>
          <w:spacing w:val="-3"/>
        </w:rPr>
        <w:t> </w:t>
      </w:r>
      <w:r>
        <w:rPr/>
        <w:t>with</w:t>
      </w:r>
      <w:r>
        <w:rPr>
          <w:spacing w:val="-9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policy</w:t>
      </w:r>
      <w:r>
        <w:rPr>
          <w:spacing w:val="-10"/>
        </w:rPr>
        <w:t> </w:t>
      </w:r>
      <w:r>
        <w:rPr/>
        <w:t>area.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intended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provide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forum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finding solutions to national challenges in a participatory event. Peer counselling is administered and</w:t>
      </w:r>
      <w:r>
        <w:rPr>
          <w:spacing w:val="1"/>
        </w:rPr>
        <w:t> </w:t>
      </w:r>
      <w:r>
        <w:rPr/>
        <w:t>co-financed through the Erasmus+ programme Key Action 3 by the Directorate-General for Education,</w:t>
      </w:r>
      <w:r>
        <w:rPr>
          <w:spacing w:val="-53"/>
        </w:rPr>
        <w:t> </w:t>
      </w:r>
      <w:r>
        <w:rPr/>
        <w:t>Youth,</w:t>
      </w:r>
      <w:r>
        <w:rPr>
          <w:spacing w:val="-3"/>
        </w:rPr>
        <w:t> </w:t>
      </w:r>
      <w:r>
        <w:rPr/>
        <w:t>Culture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European</w:t>
      </w:r>
      <w:r>
        <w:rPr>
          <w:spacing w:val="-1"/>
        </w:rPr>
        <w:t> </w:t>
      </w:r>
      <w:r>
        <w:rPr/>
        <w:t>Commission.</w:t>
      </w:r>
    </w:p>
    <w:p>
      <w:pPr>
        <w:pStyle w:val="BodyText"/>
        <w:spacing w:line="271" w:lineRule="auto" w:before="120"/>
        <w:ind w:left="320" w:right="438"/>
        <w:jc w:val="both"/>
      </w:pPr>
      <w:r>
        <w:rPr/>
        <w:t>In the context of the peer counselling on university governance in the Slovak Republic, the peer</w:t>
      </w:r>
      <w:r>
        <w:rPr>
          <w:spacing w:val="1"/>
        </w:rPr>
        <w:t> </w:t>
      </w:r>
      <w:r>
        <w:rPr/>
        <w:t>countries included Austria, Estonia, Ireland and Poland. The exercise also brought together the</w:t>
      </w:r>
      <w:r>
        <w:rPr>
          <w:spacing w:val="1"/>
        </w:rPr>
        <w:t> </w:t>
      </w:r>
      <w:r>
        <w:rPr/>
        <w:t>European University Association (EUA) and the Slovak experts behind the draft of “Learning Slovakia</w:t>
      </w:r>
      <w:r>
        <w:rPr>
          <w:spacing w:val="1"/>
        </w:rPr>
        <w:t> </w:t>
      </w:r>
      <w:r>
        <w:rPr/>
        <w:t>Strategy”. The group engaged intensively with the national case</w:t>
      </w:r>
      <w:r>
        <w:rPr>
          <w:spacing w:val="55"/>
        </w:rPr>
        <w:t> </w:t>
      </w:r>
      <w:r>
        <w:rPr/>
        <w:t>over the course of two days, on</w:t>
      </w:r>
      <w:r>
        <w:rPr>
          <w:spacing w:val="1"/>
        </w:rPr>
        <w:t> </w:t>
      </w:r>
      <w:r>
        <w:rPr/>
        <w:t>15-16 March 2018 in Bratislava. An unpublished summary of the analysis was shared with the OECD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this project.</w:t>
      </w:r>
    </w:p>
    <w:p>
      <w:pPr>
        <w:pStyle w:val="BodyText"/>
        <w:spacing w:before="122"/>
        <w:ind w:left="320"/>
        <w:jc w:val="both"/>
      </w:pPr>
      <w:r>
        <w:rPr/>
        <w:t>The</w:t>
      </w:r>
      <w:r>
        <w:rPr>
          <w:spacing w:val="-6"/>
        </w:rPr>
        <w:t> </w:t>
      </w:r>
      <w:r>
        <w:rPr/>
        <w:t>peer</w:t>
      </w:r>
      <w:r>
        <w:rPr>
          <w:spacing w:val="-4"/>
        </w:rPr>
        <w:t> </w:t>
      </w:r>
      <w:r>
        <w:rPr/>
        <w:t>counselling</w:t>
      </w:r>
      <w:r>
        <w:rPr>
          <w:spacing w:val="-4"/>
        </w:rPr>
        <w:t> </w:t>
      </w:r>
      <w:r>
        <w:rPr/>
        <w:t>resulted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five</w:t>
      </w:r>
      <w:r>
        <w:rPr>
          <w:spacing w:val="-4"/>
        </w:rPr>
        <w:t> </w:t>
      </w:r>
      <w:r>
        <w:rPr/>
        <w:t>recommendations:</w:t>
      </w:r>
    </w:p>
    <w:p>
      <w:pPr>
        <w:pStyle w:val="ListParagraph"/>
        <w:numPr>
          <w:ilvl w:val="0"/>
          <w:numId w:val="15"/>
        </w:numPr>
        <w:tabs>
          <w:tab w:pos="1000" w:val="left" w:leader="none"/>
        </w:tabs>
        <w:spacing w:line="271" w:lineRule="auto" w:before="144" w:after="0"/>
        <w:ind w:left="999" w:right="444" w:hanging="339"/>
        <w:jc w:val="both"/>
        <w:rPr>
          <w:sz w:val="20"/>
        </w:rPr>
      </w:pPr>
      <w:r>
        <w:rPr>
          <w:rFonts w:ascii="Arial"/>
          <w:b/>
          <w:sz w:val="20"/>
        </w:rPr>
        <w:t>Adopting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more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strategic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mid-term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vision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continuous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steering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from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public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authorities</w:t>
      </w:r>
      <w:r>
        <w:rPr>
          <w:sz w:val="20"/>
        </w:rPr>
        <w:t>. The exercise suggested that more strategic steering from the state would be</w:t>
      </w:r>
      <w:r>
        <w:rPr>
          <w:spacing w:val="1"/>
          <w:sz w:val="20"/>
        </w:rPr>
        <w:t> </w:t>
      </w:r>
      <w:r>
        <w:rPr>
          <w:sz w:val="20"/>
        </w:rPr>
        <w:t>beneficial.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particular,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state</w:t>
      </w:r>
      <w:r>
        <w:rPr>
          <w:spacing w:val="-9"/>
          <w:sz w:val="20"/>
        </w:rPr>
        <w:t> </w:t>
      </w:r>
      <w:r>
        <w:rPr>
          <w:sz w:val="20"/>
        </w:rPr>
        <w:t>needs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provide</w:t>
      </w:r>
      <w:r>
        <w:rPr>
          <w:spacing w:val="-10"/>
          <w:sz w:val="20"/>
        </w:rPr>
        <w:t> </w:t>
      </w:r>
      <w:r>
        <w:rPr>
          <w:sz w:val="20"/>
        </w:rPr>
        <w:t>evidence</w:t>
      </w:r>
      <w:r>
        <w:rPr>
          <w:spacing w:val="-9"/>
          <w:sz w:val="20"/>
        </w:rPr>
        <w:t> </w:t>
      </w:r>
      <w:r>
        <w:rPr>
          <w:sz w:val="20"/>
        </w:rPr>
        <w:t>on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future</w:t>
      </w:r>
      <w:r>
        <w:rPr>
          <w:spacing w:val="-9"/>
          <w:sz w:val="20"/>
        </w:rPr>
        <w:t> </w:t>
      </w:r>
      <w:r>
        <w:rPr>
          <w:sz w:val="20"/>
        </w:rPr>
        <w:t>skills</w:t>
      </w:r>
      <w:r>
        <w:rPr>
          <w:spacing w:val="-10"/>
          <w:sz w:val="20"/>
        </w:rPr>
        <w:t> </w:t>
      </w:r>
      <w:r>
        <w:rPr>
          <w:sz w:val="20"/>
        </w:rPr>
        <w:t>needs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society</w:t>
      </w:r>
      <w:r>
        <w:rPr>
          <w:spacing w:val="-53"/>
          <w:sz w:val="20"/>
        </w:rPr>
        <w:t> </w:t>
      </w:r>
      <w:r>
        <w:rPr>
          <w:sz w:val="20"/>
        </w:rPr>
        <w:t>and the labour market and communicate its expectations in meeting those needs to HEIs. The</w:t>
      </w:r>
      <w:r>
        <w:rPr>
          <w:spacing w:val="-53"/>
          <w:sz w:val="20"/>
        </w:rPr>
        <w:t> </w:t>
      </w:r>
      <w:r>
        <w:rPr>
          <w:sz w:val="20"/>
        </w:rPr>
        <w:t>national</w:t>
      </w:r>
      <w:r>
        <w:rPr>
          <w:spacing w:val="-7"/>
          <w:sz w:val="20"/>
        </w:rPr>
        <w:t> </w:t>
      </w:r>
      <w:r>
        <w:rPr>
          <w:sz w:val="20"/>
        </w:rPr>
        <w:t>priorities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turn</w:t>
      </w:r>
      <w:r>
        <w:rPr>
          <w:spacing w:val="-6"/>
          <w:sz w:val="20"/>
        </w:rPr>
        <w:t> </w:t>
      </w:r>
      <w:r>
        <w:rPr>
          <w:sz w:val="20"/>
        </w:rPr>
        <w:t>need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7"/>
          <w:sz w:val="20"/>
        </w:rPr>
        <w:t> </w:t>
      </w:r>
      <w:r>
        <w:rPr>
          <w:sz w:val="20"/>
        </w:rPr>
        <w:t>reflected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funding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accreditation</w:t>
      </w:r>
      <w:r>
        <w:rPr>
          <w:spacing w:val="-6"/>
          <w:sz w:val="20"/>
        </w:rPr>
        <w:t> </w:t>
      </w:r>
      <w:r>
        <w:rPr>
          <w:sz w:val="20"/>
        </w:rPr>
        <w:t>systems.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vision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clear</w:t>
      </w:r>
      <w:r>
        <w:rPr>
          <w:spacing w:val="-1"/>
          <w:sz w:val="20"/>
        </w:rPr>
        <w:t> </w:t>
      </w:r>
      <w:r>
        <w:rPr>
          <w:sz w:val="20"/>
        </w:rPr>
        <w:t>goals</w:t>
      </w:r>
      <w:r>
        <w:rPr>
          <w:spacing w:val="-1"/>
          <w:sz w:val="20"/>
        </w:rPr>
        <w:t> </w:t>
      </w:r>
      <w:r>
        <w:rPr>
          <w:sz w:val="20"/>
        </w:rPr>
        <w:t>should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developed to</w:t>
      </w:r>
      <w:r>
        <w:rPr>
          <w:spacing w:val="-2"/>
          <w:sz w:val="20"/>
        </w:rPr>
        <w:t> </w:t>
      </w:r>
      <w:r>
        <w:rPr>
          <w:sz w:val="20"/>
        </w:rPr>
        <w:t>engage</w:t>
      </w:r>
      <w:r>
        <w:rPr>
          <w:spacing w:val="-3"/>
          <w:sz w:val="20"/>
        </w:rPr>
        <w:t> </w:t>
      </w:r>
      <w:r>
        <w:rPr>
          <w:sz w:val="20"/>
        </w:rPr>
        <w:t>stakeholders effectively.</w:t>
      </w:r>
    </w:p>
    <w:p>
      <w:pPr>
        <w:spacing w:after="0" w:line="271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ListParagraph"/>
        <w:numPr>
          <w:ilvl w:val="0"/>
          <w:numId w:val="15"/>
        </w:numPr>
        <w:tabs>
          <w:tab w:pos="1000" w:val="left" w:leader="none"/>
        </w:tabs>
        <w:spacing w:line="271" w:lineRule="auto" w:before="93" w:after="0"/>
        <w:ind w:left="999" w:right="440" w:hanging="339"/>
        <w:jc w:val="both"/>
        <w:rPr>
          <w:sz w:val="20"/>
        </w:rPr>
      </w:pPr>
      <w:r>
        <w:rPr/>
        <w:pict>
          <v:group style="position:absolute;margin-left:64.704002pt;margin-top:3.10988pt;width:466.05pt;height:505.15pt;mso-position-horizontal-relative:page;mso-position-vertical-relative:paragraph;z-index:-19707392" coordorigin="1294,62" coordsize="9321,10103">
            <v:rect style="position:absolute;left:1303;top:71;width:9302;height:10084" filled="true" fillcolor="#eeece1" stroked="false">
              <v:fill type="solid"/>
            </v:rect>
            <v:shape style="position:absolute;left:1294;top:62;width:9321;height:10103" coordorigin="1294,62" coordsize="9321,10103" path="m10605,62l1304,62,1304,62,1294,62,1294,72,1294,10155,1294,10165,1304,10165,1304,10165,10605,10165,10605,10155,1304,10155,1304,72,10605,72,10605,62xm10615,62l10605,62,10605,72,10605,10155,10605,10165,10615,10165,10615,10155,10615,72,10615,62xe" filled="true" fillcolor="#4e81bd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20"/>
        </w:rPr>
        <w:t>Enhancing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autonomy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HEIs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coupled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increased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internal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external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accountability, and more effective inclusion of external stakeholders in governance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bodies</w:t>
      </w:r>
      <w:r>
        <w:rPr>
          <w:sz w:val="20"/>
        </w:rPr>
        <w:t>. The main guiding principle of the future reform of higher education governance in the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Slovak</w:t>
      </w:r>
      <w:r>
        <w:rPr>
          <w:spacing w:val="3"/>
          <w:sz w:val="20"/>
        </w:rPr>
        <w:t> </w:t>
      </w:r>
      <w:r>
        <w:rPr>
          <w:spacing w:val="-1"/>
          <w:sz w:val="20"/>
        </w:rPr>
        <w:t>Republic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should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be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more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autonomy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coupled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with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more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accountability.</w:t>
      </w:r>
      <w:r>
        <w:rPr>
          <w:spacing w:val="-8"/>
          <w:sz w:val="20"/>
        </w:rPr>
        <w:t> </w:t>
      </w:r>
      <w:r>
        <w:rPr>
          <w:sz w:val="20"/>
        </w:rPr>
        <w:t>Slovak</w:t>
      </w:r>
      <w:r>
        <w:rPr>
          <w:spacing w:val="-6"/>
          <w:sz w:val="20"/>
        </w:rPr>
        <w:t> </w:t>
      </w:r>
      <w:r>
        <w:rPr>
          <w:sz w:val="20"/>
        </w:rPr>
        <w:t>authorities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-8"/>
          <w:sz w:val="20"/>
        </w:rPr>
        <w:t> </w:t>
      </w:r>
      <w:r>
        <w:rPr>
          <w:sz w:val="20"/>
        </w:rPr>
        <w:t>initiated</w:t>
      </w:r>
      <w:r>
        <w:rPr>
          <w:spacing w:val="-6"/>
          <w:sz w:val="20"/>
        </w:rPr>
        <w:t> </w:t>
      </w:r>
      <w:r>
        <w:rPr>
          <w:sz w:val="20"/>
        </w:rPr>
        <w:t>an</w:t>
      </w:r>
      <w:r>
        <w:rPr>
          <w:spacing w:val="-6"/>
          <w:sz w:val="20"/>
        </w:rPr>
        <w:t> </w:t>
      </w:r>
      <w:r>
        <w:rPr>
          <w:sz w:val="20"/>
        </w:rPr>
        <w:t>analysis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self-government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management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universities,</w:t>
      </w:r>
      <w:r>
        <w:rPr>
          <w:spacing w:val="-5"/>
          <w:sz w:val="20"/>
        </w:rPr>
        <w:t> </w:t>
      </w:r>
      <w:r>
        <w:rPr>
          <w:sz w:val="20"/>
        </w:rPr>
        <w:t>pointing</w:t>
      </w:r>
      <w:r>
        <w:rPr>
          <w:spacing w:val="-6"/>
          <w:sz w:val="20"/>
        </w:rPr>
        <w:t> </w:t>
      </w:r>
      <w:r>
        <w:rPr>
          <w:sz w:val="20"/>
        </w:rPr>
        <w:t>out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53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efforts</w:t>
      </w:r>
      <w:r>
        <w:rPr>
          <w:spacing w:val="1"/>
          <w:sz w:val="20"/>
        </w:rPr>
        <w:t> </w:t>
      </w:r>
      <w:r>
        <w:rPr>
          <w:sz w:val="20"/>
        </w:rPr>
        <w:t>aimed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deepening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1"/>
          <w:sz w:val="20"/>
        </w:rPr>
        <w:t> </w:t>
      </w:r>
      <w:r>
        <w:rPr>
          <w:sz w:val="20"/>
        </w:rPr>
        <w:t>autonomy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Slovak Republic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so</w:t>
      </w:r>
      <w:r>
        <w:rPr>
          <w:spacing w:val="1"/>
          <w:sz w:val="20"/>
        </w:rPr>
        <w:t> </w:t>
      </w:r>
      <w:r>
        <w:rPr>
          <w:sz w:val="20"/>
        </w:rPr>
        <w:t>far</w:t>
      </w:r>
      <w:r>
        <w:rPr>
          <w:spacing w:val="1"/>
          <w:sz w:val="20"/>
        </w:rPr>
        <w:t> </w:t>
      </w:r>
      <w:r>
        <w:rPr>
          <w:sz w:val="20"/>
        </w:rPr>
        <w:t>concentrated</w:t>
      </w:r>
      <w:r>
        <w:rPr>
          <w:spacing w:val="1"/>
          <w:sz w:val="20"/>
        </w:rPr>
        <w:t> </w:t>
      </w:r>
      <w:r>
        <w:rPr>
          <w:sz w:val="20"/>
        </w:rPr>
        <w:t>mainly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financial</w:t>
      </w:r>
      <w:r>
        <w:rPr>
          <w:spacing w:val="1"/>
          <w:sz w:val="20"/>
        </w:rPr>
        <w:t> </w:t>
      </w:r>
      <w:r>
        <w:rPr>
          <w:sz w:val="20"/>
        </w:rPr>
        <w:t>autonomy,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less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internal</w:t>
      </w:r>
      <w:r>
        <w:rPr>
          <w:spacing w:val="1"/>
          <w:sz w:val="20"/>
        </w:rPr>
        <w:t> </w:t>
      </w:r>
      <w:r>
        <w:rPr>
          <w:sz w:val="20"/>
        </w:rPr>
        <w:t>organisation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management of the institutions. Because financial and organisational autonomy are closely</w:t>
      </w:r>
      <w:r>
        <w:rPr>
          <w:spacing w:val="1"/>
          <w:sz w:val="20"/>
        </w:rPr>
        <w:t> </w:t>
      </w:r>
      <w:r>
        <w:rPr>
          <w:sz w:val="20"/>
        </w:rPr>
        <w:t>connected, and the financial management capacity of HEIs remains limited, there is a need for</w:t>
      </w:r>
      <w:r>
        <w:rPr>
          <w:spacing w:val="-53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more</w:t>
      </w:r>
      <w:r>
        <w:rPr>
          <w:spacing w:val="-7"/>
          <w:sz w:val="20"/>
        </w:rPr>
        <w:t> </w:t>
      </w:r>
      <w:r>
        <w:rPr>
          <w:sz w:val="20"/>
        </w:rPr>
        <w:t>comprehensive</w:t>
      </w:r>
      <w:r>
        <w:rPr>
          <w:spacing w:val="-4"/>
          <w:sz w:val="20"/>
        </w:rPr>
        <w:t> </w:t>
      </w:r>
      <w:r>
        <w:rPr>
          <w:sz w:val="20"/>
        </w:rPr>
        <w:t>view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autonomy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focus</w:t>
      </w:r>
      <w:r>
        <w:rPr>
          <w:spacing w:val="-7"/>
          <w:sz w:val="20"/>
        </w:rPr>
        <w:t> </w:t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organisational</w:t>
      </w:r>
      <w:r>
        <w:rPr>
          <w:spacing w:val="-7"/>
          <w:sz w:val="20"/>
        </w:rPr>
        <w:t> </w:t>
      </w:r>
      <w:r>
        <w:rPr>
          <w:sz w:val="20"/>
        </w:rPr>
        <w:t>autonomy.</w:t>
      </w:r>
      <w:r>
        <w:rPr>
          <w:spacing w:val="-4"/>
          <w:sz w:val="20"/>
        </w:rPr>
        <w:t> </w:t>
      </w:r>
      <w:r>
        <w:rPr>
          <w:sz w:val="20"/>
        </w:rPr>
        <w:t>Finally,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exercise pointed out that the Slovak Republic has not achieved a balance between autonomy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management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accountability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results.</w:t>
      </w:r>
    </w:p>
    <w:p>
      <w:pPr>
        <w:pStyle w:val="ListParagraph"/>
        <w:numPr>
          <w:ilvl w:val="0"/>
          <w:numId w:val="15"/>
        </w:numPr>
        <w:tabs>
          <w:tab w:pos="1000" w:val="left" w:leader="none"/>
        </w:tabs>
        <w:spacing w:line="271" w:lineRule="auto" w:before="62" w:after="0"/>
        <w:ind w:left="999" w:right="437" w:hanging="339"/>
        <w:jc w:val="both"/>
        <w:rPr>
          <w:sz w:val="20"/>
        </w:rPr>
      </w:pPr>
      <w:r>
        <w:rPr>
          <w:rFonts w:ascii="Arial"/>
          <w:b/>
          <w:sz w:val="20"/>
        </w:rPr>
        <w:t>Less legal prescription of internal governance and improved self-government at HEI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level.</w:t>
      </w:r>
      <w:r>
        <w:rPr>
          <w:rFonts w:ascii="Arial"/>
          <w:b/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exercise</w:t>
      </w:r>
      <w:r>
        <w:rPr>
          <w:spacing w:val="-12"/>
          <w:sz w:val="20"/>
        </w:rPr>
        <w:t> </w:t>
      </w:r>
      <w:r>
        <w:rPr>
          <w:sz w:val="20"/>
        </w:rPr>
        <w:t>recommended</w:t>
      </w:r>
      <w:r>
        <w:rPr>
          <w:spacing w:val="-12"/>
          <w:sz w:val="20"/>
        </w:rPr>
        <w:t> </w:t>
      </w:r>
      <w:r>
        <w:rPr>
          <w:sz w:val="20"/>
        </w:rPr>
        <w:t>that</w:t>
      </w:r>
      <w:r>
        <w:rPr>
          <w:spacing w:val="-9"/>
          <w:sz w:val="20"/>
        </w:rPr>
        <w:t> </w:t>
      </w:r>
      <w:r>
        <w:rPr>
          <w:sz w:val="20"/>
        </w:rPr>
        <w:t>legislation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less</w:t>
      </w:r>
      <w:r>
        <w:rPr>
          <w:spacing w:val="-10"/>
          <w:sz w:val="20"/>
        </w:rPr>
        <w:t> </w:t>
      </w:r>
      <w:r>
        <w:rPr>
          <w:sz w:val="20"/>
        </w:rPr>
        <w:t>detailed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more</w:t>
      </w:r>
      <w:r>
        <w:rPr>
          <w:spacing w:val="-11"/>
          <w:sz w:val="20"/>
        </w:rPr>
        <w:t> </w:t>
      </w:r>
      <w:r>
        <w:rPr>
          <w:sz w:val="20"/>
        </w:rPr>
        <w:t>flexible,</w:t>
      </w:r>
      <w:r>
        <w:rPr>
          <w:spacing w:val="-9"/>
          <w:sz w:val="20"/>
        </w:rPr>
        <w:t> </w:t>
      </w:r>
      <w:r>
        <w:rPr>
          <w:sz w:val="20"/>
        </w:rPr>
        <w:t>should</w:t>
      </w:r>
      <w:r>
        <w:rPr>
          <w:spacing w:val="-9"/>
          <w:sz w:val="20"/>
        </w:rPr>
        <w:t> </w:t>
      </w:r>
      <w:r>
        <w:rPr>
          <w:sz w:val="20"/>
        </w:rPr>
        <w:t>not</w:t>
      </w:r>
      <w:r>
        <w:rPr>
          <w:spacing w:val="1"/>
          <w:sz w:val="20"/>
        </w:rPr>
        <w:t> </w:t>
      </w:r>
      <w:r>
        <w:rPr>
          <w:sz w:val="20"/>
        </w:rPr>
        <w:t>mandate internal governance arrangements at the faculty level, and only regulate HEI-level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structures.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Individual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higher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education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institutions</w:t>
      </w:r>
      <w:r>
        <w:rPr>
          <w:spacing w:val="-15"/>
          <w:sz w:val="20"/>
        </w:rPr>
        <w:t> </w:t>
      </w:r>
      <w:r>
        <w:rPr>
          <w:sz w:val="20"/>
        </w:rPr>
        <w:t>should</w:t>
      </w:r>
      <w:r>
        <w:rPr>
          <w:spacing w:val="-15"/>
          <w:sz w:val="20"/>
        </w:rPr>
        <w:t> </w:t>
      </w:r>
      <w:r>
        <w:rPr>
          <w:sz w:val="20"/>
        </w:rPr>
        <w:t>be</w:t>
      </w:r>
      <w:r>
        <w:rPr>
          <w:spacing w:val="-13"/>
          <w:sz w:val="20"/>
        </w:rPr>
        <w:t> </w:t>
      </w:r>
      <w:r>
        <w:rPr>
          <w:sz w:val="20"/>
        </w:rPr>
        <w:t>empowered</w:t>
      </w:r>
      <w:r>
        <w:rPr>
          <w:spacing w:val="-16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decide</w:t>
      </w:r>
      <w:r>
        <w:rPr>
          <w:spacing w:val="-11"/>
          <w:sz w:val="20"/>
        </w:rPr>
        <w:t> </w:t>
      </w:r>
      <w:r>
        <w:rPr>
          <w:sz w:val="20"/>
        </w:rPr>
        <w:t>on</w:t>
      </w:r>
      <w:r>
        <w:rPr>
          <w:spacing w:val="-15"/>
          <w:sz w:val="20"/>
        </w:rPr>
        <w:t> </w:t>
      </w:r>
      <w:r>
        <w:rPr>
          <w:sz w:val="20"/>
        </w:rPr>
        <w:t>the</w:t>
      </w:r>
      <w:r>
        <w:rPr>
          <w:spacing w:val="-14"/>
          <w:sz w:val="20"/>
        </w:rPr>
        <w:t> </w:t>
      </w:r>
      <w:r>
        <w:rPr>
          <w:sz w:val="20"/>
        </w:rPr>
        <w:t>details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internal</w:t>
      </w:r>
      <w:r>
        <w:rPr>
          <w:spacing w:val="-5"/>
          <w:sz w:val="20"/>
        </w:rPr>
        <w:t> </w:t>
      </w:r>
      <w:r>
        <w:rPr>
          <w:sz w:val="20"/>
        </w:rPr>
        <w:t>governance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management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basis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3"/>
          <w:sz w:val="20"/>
        </w:rPr>
        <w:t> </w:t>
      </w:r>
      <w:r>
        <w:rPr>
          <w:sz w:val="20"/>
        </w:rPr>
        <w:t>specific</w:t>
      </w:r>
      <w:r>
        <w:rPr>
          <w:spacing w:val="-3"/>
          <w:sz w:val="20"/>
        </w:rPr>
        <w:t> </w:t>
      </w:r>
      <w:r>
        <w:rPr>
          <w:sz w:val="20"/>
        </w:rPr>
        <w:t>conditions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needs.</w:t>
      </w:r>
    </w:p>
    <w:p>
      <w:pPr>
        <w:pStyle w:val="ListParagraph"/>
        <w:numPr>
          <w:ilvl w:val="0"/>
          <w:numId w:val="15"/>
        </w:numPr>
        <w:tabs>
          <w:tab w:pos="1000" w:val="left" w:leader="none"/>
        </w:tabs>
        <w:spacing w:line="271" w:lineRule="auto" w:before="62" w:after="0"/>
        <w:ind w:left="999" w:right="435" w:hanging="339"/>
        <w:jc w:val="both"/>
        <w:rPr>
          <w:sz w:val="20"/>
        </w:rPr>
      </w:pPr>
      <w:r>
        <w:rPr>
          <w:rFonts w:ascii="Arial"/>
          <w:b/>
          <w:sz w:val="20"/>
        </w:rPr>
        <w:t>Modifying the structure and functioning of governing bodies</w:t>
      </w:r>
      <w:r>
        <w:rPr>
          <w:sz w:val="20"/>
        </w:rPr>
        <w:t>. Findings suggested that the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competences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academic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senate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regarding</w:t>
      </w:r>
      <w:r>
        <w:rPr>
          <w:spacing w:val="-12"/>
          <w:sz w:val="20"/>
        </w:rPr>
        <w:t> </w:t>
      </w:r>
      <w:r>
        <w:rPr>
          <w:sz w:val="20"/>
        </w:rPr>
        <w:t>financial</w:t>
      </w:r>
      <w:r>
        <w:rPr>
          <w:spacing w:val="-10"/>
          <w:sz w:val="20"/>
        </w:rPr>
        <w:t> </w:t>
      </w:r>
      <w:r>
        <w:rPr>
          <w:sz w:val="20"/>
        </w:rPr>
        <w:t>matters</w:t>
      </w:r>
      <w:r>
        <w:rPr>
          <w:spacing w:val="-10"/>
          <w:sz w:val="20"/>
        </w:rPr>
        <w:t> </w:t>
      </w:r>
      <w:r>
        <w:rPr>
          <w:sz w:val="20"/>
        </w:rPr>
        <w:t>should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12"/>
          <w:sz w:val="20"/>
        </w:rPr>
        <w:t> </w:t>
      </w:r>
      <w:r>
        <w:rPr>
          <w:sz w:val="20"/>
        </w:rPr>
        <w:t>reviewed;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rector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-7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granted</w:t>
      </w:r>
      <w:r>
        <w:rPr>
          <w:spacing w:val="-7"/>
          <w:sz w:val="20"/>
        </w:rPr>
        <w:t> </w:t>
      </w:r>
      <w:r>
        <w:rPr>
          <w:sz w:val="20"/>
        </w:rPr>
        <w:t>more</w:t>
      </w:r>
      <w:r>
        <w:rPr>
          <w:spacing w:val="-6"/>
          <w:sz w:val="20"/>
        </w:rPr>
        <w:t> </w:t>
      </w:r>
      <w:r>
        <w:rPr>
          <w:sz w:val="20"/>
        </w:rPr>
        <w:t>powers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allocate</w:t>
      </w:r>
      <w:r>
        <w:rPr>
          <w:spacing w:val="-7"/>
          <w:sz w:val="20"/>
        </w:rPr>
        <w:t> </w:t>
      </w:r>
      <w:r>
        <w:rPr>
          <w:sz w:val="20"/>
        </w:rPr>
        <w:t>funds</w:t>
      </w:r>
      <w:r>
        <w:rPr>
          <w:spacing w:val="-6"/>
          <w:sz w:val="20"/>
        </w:rPr>
        <w:t> </w:t>
      </w:r>
      <w:r>
        <w:rPr>
          <w:sz w:val="20"/>
        </w:rPr>
        <w:t>between</w:t>
      </w:r>
      <w:r>
        <w:rPr>
          <w:spacing w:val="-7"/>
          <w:sz w:val="20"/>
        </w:rPr>
        <w:t> </w:t>
      </w:r>
      <w:r>
        <w:rPr>
          <w:sz w:val="20"/>
        </w:rPr>
        <w:t>faculties;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composition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boards should be more representative of different stakeholder groups,</w:t>
      </w:r>
      <w:r>
        <w:rPr>
          <w:spacing w:val="1"/>
          <w:sz w:val="20"/>
        </w:rPr>
        <w:t> </w:t>
      </w:r>
      <w:r>
        <w:rPr>
          <w:sz w:val="20"/>
        </w:rPr>
        <w:t>including external</w:t>
      </w:r>
      <w:r>
        <w:rPr>
          <w:spacing w:val="1"/>
          <w:sz w:val="20"/>
        </w:rPr>
        <w:t> </w:t>
      </w:r>
      <w:r>
        <w:rPr>
          <w:sz w:val="20"/>
        </w:rPr>
        <w:t>members, but possibly also representatives of the non-academic staff. It was also advised to</w:t>
      </w:r>
      <w:r>
        <w:rPr>
          <w:spacing w:val="1"/>
          <w:sz w:val="20"/>
        </w:rPr>
        <w:t> </w:t>
      </w:r>
      <w:r>
        <w:rPr>
          <w:sz w:val="20"/>
        </w:rPr>
        <w:t>re-evaluate the duplication of governance bodies at both the central level of the university and</w:t>
      </w:r>
      <w:r>
        <w:rPr>
          <w:spacing w:val="1"/>
          <w:sz w:val="20"/>
        </w:rPr>
        <w:t> </w:t>
      </w:r>
      <w:r>
        <w:rPr>
          <w:sz w:val="20"/>
        </w:rPr>
        <w:t>at the level of the faculties. It was suggested that while HEIs should design the governing</w:t>
      </w:r>
      <w:r>
        <w:rPr>
          <w:spacing w:val="1"/>
          <w:sz w:val="20"/>
        </w:rPr>
        <w:t> </w:t>
      </w:r>
      <w:r>
        <w:rPr>
          <w:sz w:val="20"/>
        </w:rPr>
        <w:t>structures of faculties, legislation should specify minimum requirements to set up a new entity</w:t>
      </w:r>
      <w:r>
        <w:rPr>
          <w:spacing w:val="1"/>
          <w:sz w:val="20"/>
        </w:rPr>
        <w:t> </w:t>
      </w:r>
      <w:r>
        <w:rPr>
          <w:sz w:val="20"/>
        </w:rPr>
        <w:t>and principles of governance that should be respected. Lastly, findings suggested that non-</w:t>
      </w:r>
      <w:r>
        <w:rPr>
          <w:spacing w:val="1"/>
          <w:sz w:val="20"/>
        </w:rPr>
        <w:t> </w:t>
      </w:r>
      <w:r>
        <w:rPr>
          <w:sz w:val="20"/>
        </w:rPr>
        <w:t>academic matters such as finances and management could be largely overseen by the board,</w:t>
      </w:r>
      <w:r>
        <w:rPr>
          <w:spacing w:val="1"/>
          <w:sz w:val="20"/>
        </w:rPr>
        <w:t> </w:t>
      </w:r>
      <w:r>
        <w:rPr>
          <w:sz w:val="20"/>
        </w:rPr>
        <w:t>while academic matters largely remain influenced by academic staff and students, notably</w:t>
      </w:r>
      <w:r>
        <w:rPr>
          <w:spacing w:val="1"/>
          <w:sz w:val="20"/>
        </w:rPr>
        <w:t> </w:t>
      </w:r>
      <w:r>
        <w:rPr>
          <w:sz w:val="20"/>
        </w:rPr>
        <w:t>through the academic senate. This distinction of roles and portfolios, providing checks and</w:t>
      </w:r>
      <w:r>
        <w:rPr>
          <w:spacing w:val="1"/>
          <w:sz w:val="20"/>
        </w:rPr>
        <w:t> </w:t>
      </w:r>
      <w:r>
        <w:rPr>
          <w:sz w:val="20"/>
        </w:rPr>
        <w:t>balances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implemented,</w:t>
      </w:r>
      <w:r>
        <w:rPr>
          <w:spacing w:val="-1"/>
          <w:sz w:val="20"/>
        </w:rPr>
        <w:t> </w:t>
      </w:r>
      <w:r>
        <w:rPr>
          <w:sz w:val="20"/>
        </w:rPr>
        <w:t>would</w:t>
      </w:r>
      <w:r>
        <w:rPr>
          <w:spacing w:val="-3"/>
          <w:sz w:val="20"/>
        </w:rPr>
        <w:t> </w:t>
      </w:r>
      <w:r>
        <w:rPr>
          <w:sz w:val="20"/>
        </w:rPr>
        <w:t>guarantee</w:t>
      </w:r>
      <w:r>
        <w:rPr>
          <w:spacing w:val="-1"/>
          <w:sz w:val="20"/>
        </w:rPr>
        <w:t> </w:t>
      </w:r>
      <w:r>
        <w:rPr>
          <w:sz w:val="20"/>
        </w:rPr>
        <w:t>effective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more</w:t>
      </w:r>
      <w:r>
        <w:rPr>
          <w:spacing w:val="-3"/>
          <w:sz w:val="20"/>
        </w:rPr>
        <w:t> </w:t>
      </w:r>
      <w:r>
        <w:rPr>
          <w:sz w:val="20"/>
        </w:rPr>
        <w:t>flexible</w:t>
      </w:r>
      <w:r>
        <w:rPr>
          <w:spacing w:val="-3"/>
          <w:sz w:val="20"/>
        </w:rPr>
        <w:t> </w:t>
      </w:r>
      <w:r>
        <w:rPr>
          <w:sz w:val="20"/>
        </w:rPr>
        <w:t>governance.</w:t>
      </w:r>
    </w:p>
    <w:p>
      <w:pPr>
        <w:pStyle w:val="ListParagraph"/>
        <w:numPr>
          <w:ilvl w:val="0"/>
          <w:numId w:val="15"/>
        </w:numPr>
        <w:tabs>
          <w:tab w:pos="1000" w:val="left" w:leader="none"/>
        </w:tabs>
        <w:spacing w:line="271" w:lineRule="auto" w:before="61" w:after="0"/>
        <w:ind w:left="999" w:right="440" w:hanging="339"/>
        <w:jc w:val="both"/>
        <w:rPr>
          <w:sz w:val="20"/>
        </w:rPr>
      </w:pPr>
      <w:r>
        <w:rPr>
          <w:rFonts w:ascii="Arial"/>
          <w:b/>
          <w:sz w:val="20"/>
        </w:rPr>
        <w:t>Increased public funding is required</w:t>
      </w:r>
      <w:r>
        <w:rPr>
          <w:sz w:val="20"/>
        </w:rPr>
        <w:t>. It was noted that although public funding for HEIs had</w:t>
      </w:r>
      <w:r>
        <w:rPr>
          <w:spacing w:val="-53"/>
          <w:sz w:val="20"/>
        </w:rPr>
        <w:t> </w:t>
      </w:r>
      <w:r>
        <w:rPr>
          <w:sz w:val="20"/>
        </w:rPr>
        <w:t>increased in recent years at the time of the exercise, this was not enough to compensate for</w:t>
      </w:r>
      <w:r>
        <w:rPr>
          <w:spacing w:val="1"/>
          <w:sz w:val="20"/>
        </w:rPr>
        <w:t> </w:t>
      </w:r>
      <w:r>
        <w:rPr>
          <w:sz w:val="20"/>
        </w:rPr>
        <w:t>previous</w:t>
      </w:r>
      <w:r>
        <w:rPr>
          <w:spacing w:val="1"/>
          <w:sz w:val="20"/>
        </w:rPr>
        <w:t> </w:t>
      </w:r>
      <w:r>
        <w:rPr>
          <w:sz w:val="20"/>
        </w:rPr>
        <w:t>decreases</w:t>
      </w:r>
      <w:r>
        <w:rPr>
          <w:spacing w:val="1"/>
          <w:sz w:val="20"/>
        </w:rPr>
        <w:t> </w:t>
      </w:r>
      <w:r>
        <w:rPr>
          <w:sz w:val="20"/>
        </w:rPr>
        <w:t>resulting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smaller</w:t>
      </w:r>
      <w:r>
        <w:rPr>
          <w:spacing w:val="1"/>
          <w:sz w:val="20"/>
        </w:rPr>
        <w:t> </w:t>
      </w:r>
      <w:r>
        <w:rPr>
          <w:sz w:val="20"/>
        </w:rPr>
        <w:t>student</w:t>
      </w:r>
      <w:r>
        <w:rPr>
          <w:spacing w:val="1"/>
          <w:sz w:val="20"/>
        </w:rPr>
        <w:t> </w:t>
      </w:r>
      <w:r>
        <w:rPr>
          <w:sz w:val="20"/>
        </w:rPr>
        <w:t>cohorts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2010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2014.</w:t>
      </w:r>
      <w:r>
        <w:rPr>
          <w:spacing w:val="1"/>
          <w:sz w:val="20"/>
        </w:rPr>
        <w:t> </w:t>
      </w:r>
      <w:r>
        <w:rPr>
          <w:sz w:val="20"/>
        </w:rPr>
        <w:t>It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suggested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more</w:t>
      </w:r>
      <w:r>
        <w:rPr>
          <w:spacing w:val="-2"/>
          <w:sz w:val="20"/>
        </w:rPr>
        <w:t> </w:t>
      </w:r>
      <w:r>
        <w:rPr>
          <w:sz w:val="20"/>
        </w:rPr>
        <w:t>funding</w:t>
      </w:r>
      <w:r>
        <w:rPr>
          <w:spacing w:val="-3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made</w:t>
      </w:r>
      <w:r>
        <w:rPr>
          <w:spacing w:val="-3"/>
          <w:sz w:val="20"/>
        </w:rPr>
        <w:t> </w:t>
      </w:r>
      <w:r>
        <w:rPr>
          <w:sz w:val="20"/>
        </w:rPr>
        <w:t>available to</w:t>
      </w:r>
      <w:r>
        <w:rPr>
          <w:spacing w:val="-3"/>
          <w:sz w:val="20"/>
        </w:rPr>
        <w:t> </w:t>
      </w:r>
      <w:r>
        <w:rPr>
          <w:sz w:val="20"/>
        </w:rPr>
        <w:t>HEIs</w:t>
      </w:r>
      <w:r>
        <w:rPr>
          <w:spacing w:val="-2"/>
          <w:sz w:val="20"/>
        </w:rPr>
        <w:t> </w:t>
      </w:r>
      <w:r>
        <w:rPr>
          <w:sz w:val="20"/>
        </w:rPr>
        <w:t>pursuing</w:t>
      </w:r>
      <w:r>
        <w:rPr>
          <w:spacing w:val="-3"/>
          <w:sz w:val="20"/>
        </w:rPr>
        <w:t> </w:t>
      </w:r>
      <w:r>
        <w:rPr>
          <w:sz w:val="20"/>
        </w:rPr>
        <w:t>reform</w:t>
      </w:r>
      <w:r>
        <w:rPr>
          <w:spacing w:val="2"/>
          <w:sz w:val="20"/>
        </w:rPr>
        <w:t> </w:t>
      </w:r>
      <w:r>
        <w:rPr>
          <w:sz w:val="20"/>
        </w:rPr>
        <w:t>efforts.</w:t>
      </w:r>
    </w:p>
    <w:p>
      <w:pPr>
        <w:spacing w:before="107"/>
        <w:ind w:left="320" w:right="0" w:firstLine="0"/>
        <w:jc w:val="left"/>
        <w:rPr>
          <w:rFonts w:ascii="Arial"/>
          <w:i/>
          <w:sz w:val="18"/>
        </w:rPr>
      </w:pPr>
      <w:r>
        <w:rPr>
          <w:rFonts w:ascii="Microsoft Sans Serif"/>
          <w:w w:val="80"/>
          <w:position w:val="1"/>
          <w:sz w:val="18"/>
        </w:rPr>
        <w:t>Sources:</w:t>
      </w:r>
      <w:r>
        <w:rPr>
          <w:rFonts w:ascii="Microsoft Sans Serif"/>
          <w:spacing w:val="26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European</w:t>
      </w:r>
      <w:r>
        <w:rPr>
          <w:rFonts w:ascii="Microsoft Sans Serif"/>
          <w:spacing w:val="25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Commission</w:t>
      </w:r>
      <w:r>
        <w:rPr>
          <w:rFonts w:ascii="Microsoft Sans Serif"/>
          <w:spacing w:val="27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(2018</w:t>
      </w:r>
      <w:r>
        <w:rPr>
          <w:rFonts w:ascii="Microsoft Sans Serif"/>
          <w:w w:val="80"/>
          <w:sz w:val="12"/>
        </w:rPr>
        <w:t>[8]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26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Peer</w:t>
      </w:r>
      <w:r>
        <w:rPr>
          <w:rFonts w:ascii="Arial"/>
          <w:i/>
          <w:spacing w:val="2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Counselling</w:t>
      </w:r>
      <w:r>
        <w:rPr>
          <w:rFonts w:ascii="Arial"/>
          <w:i/>
          <w:spacing w:val="2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on</w:t>
      </w:r>
      <w:r>
        <w:rPr>
          <w:rFonts w:ascii="Arial"/>
          <w:i/>
          <w:spacing w:val="2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the</w:t>
      </w:r>
      <w:r>
        <w:rPr>
          <w:rFonts w:ascii="Arial"/>
          <w:i/>
          <w:spacing w:val="2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Governance</w:t>
      </w:r>
      <w:r>
        <w:rPr>
          <w:rFonts w:ascii="Arial"/>
          <w:i/>
          <w:spacing w:val="2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of</w:t>
      </w:r>
      <w:r>
        <w:rPr>
          <w:rFonts w:ascii="Arial"/>
          <w:i/>
          <w:spacing w:val="2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Higher</w:t>
      </w:r>
      <w:r>
        <w:rPr>
          <w:rFonts w:ascii="Arial"/>
          <w:i/>
          <w:spacing w:val="2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2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Institutions</w:t>
      </w:r>
      <w:r>
        <w:rPr>
          <w:rFonts w:ascii="Arial"/>
          <w:i/>
          <w:spacing w:val="25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</w:t>
      </w:r>
      <w:r>
        <w:rPr>
          <w:rFonts w:ascii="Arial"/>
          <w:i/>
          <w:spacing w:val="2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the</w:t>
      </w:r>
      <w:r>
        <w:rPr>
          <w:rFonts w:ascii="Arial"/>
          <w:i/>
          <w:spacing w:val="2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Slovak</w:t>
      </w:r>
      <w:r>
        <w:rPr>
          <w:rFonts w:ascii="Arial"/>
          <w:i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Republic;</w:t>
      </w:r>
    </w:p>
    <w:p>
      <w:pPr>
        <w:spacing w:before="13"/>
        <w:ind w:left="320" w:right="0" w:firstLine="0"/>
        <w:jc w:val="left"/>
        <w:rPr>
          <w:rFonts w:ascii="Arial"/>
          <w:i/>
          <w:sz w:val="18"/>
        </w:rPr>
      </w:pPr>
      <w:r>
        <w:rPr>
          <w:rFonts w:ascii="Microsoft Sans Serif"/>
          <w:w w:val="80"/>
          <w:position w:val="1"/>
          <w:sz w:val="18"/>
        </w:rPr>
        <w:t>MESA10</w:t>
      </w:r>
      <w:r>
        <w:rPr>
          <w:rFonts w:ascii="Microsoft Sans Serif"/>
          <w:spacing w:val="15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(2021</w:t>
      </w:r>
      <w:r>
        <w:rPr>
          <w:rFonts w:ascii="Microsoft Sans Serif"/>
          <w:w w:val="80"/>
          <w:sz w:val="12"/>
        </w:rPr>
        <w:t>[9]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5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"Learning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Makes</w:t>
      </w:r>
      <w:r>
        <w:rPr>
          <w:rFonts w:ascii="Arial"/>
          <w:i/>
          <w:spacing w:val="17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Sense"</w:t>
      </w:r>
      <w:r>
        <w:rPr>
          <w:rFonts w:ascii="Arial"/>
          <w:i/>
          <w:spacing w:val="15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Project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hyperlink r:id="rId126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https://en.todarozum.sk</w:t>
        </w:r>
        <w:r>
          <w:rPr>
            <w:rFonts w:ascii="Microsoft Sans Serif"/>
            <w:color w:val="0000FF"/>
            <w:w w:val="80"/>
            <w:position w:val="1"/>
            <w:sz w:val="18"/>
          </w:rPr>
          <w:t>/</w:t>
        </w:r>
        <w:r>
          <w:rPr>
            <w:rFonts w:ascii="Arial"/>
            <w:i/>
            <w:w w:val="80"/>
            <w:position w:val="1"/>
            <w:sz w:val="18"/>
          </w:rPr>
          <w:t>.</w:t>
        </w:r>
      </w:hyperlink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8"/>
        <w:rPr>
          <w:rFonts w:ascii="Arial"/>
          <w:i/>
          <w:sz w:val="22"/>
        </w:rPr>
      </w:pPr>
    </w:p>
    <w:p>
      <w:pPr>
        <w:pStyle w:val="Heading5"/>
        <w:spacing w:before="94"/>
      </w:pPr>
      <w:bookmarkStart w:name="Challenges limiting the adoption of effe" w:id="96"/>
      <w:bookmarkEnd w:id="96"/>
      <w:r>
        <w:rPr>
          <w:b w:val="0"/>
          <w:i w:val="0"/>
        </w:rPr>
      </w:r>
      <w:r>
        <w:rPr/>
        <w:t>Challenges</w:t>
      </w:r>
      <w:r>
        <w:rPr>
          <w:spacing w:val="-6"/>
        </w:rPr>
        <w:t> </w:t>
      </w:r>
      <w:r>
        <w:rPr/>
        <w:t>limiting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adoption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reforms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The reform attempts of past Slovak governments outlined in the preceding section have not led to a</w:t>
      </w:r>
      <w:r>
        <w:rPr>
          <w:spacing w:val="1"/>
        </w:rPr>
        <w:t> </w:t>
      </w:r>
      <w:r>
        <w:rPr/>
        <w:t>comprehensive overhaul of the higher education system, and have had limited success in improving its</w:t>
      </w:r>
      <w:r>
        <w:rPr>
          <w:spacing w:val="1"/>
        </w:rPr>
        <w:t> </w:t>
      </w:r>
      <w:r>
        <w:rPr>
          <w:spacing w:val="-1"/>
        </w:rPr>
        <w:t>performance.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historical</w:t>
      </w:r>
      <w:r>
        <w:rPr>
          <w:spacing w:val="-10"/>
        </w:rPr>
        <w:t> </w:t>
      </w:r>
      <w:r>
        <w:rPr>
          <w:spacing w:val="-1"/>
        </w:rPr>
        <w:t>context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timing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higher</w:t>
      </w:r>
      <w:r>
        <w:rPr>
          <w:spacing w:val="-9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/>
        <w:t>expansion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Slovakia</w:t>
      </w:r>
      <w:r>
        <w:rPr>
          <w:spacing w:val="-11"/>
        </w:rPr>
        <w:t> </w:t>
      </w:r>
      <w:r>
        <w:rPr/>
        <w:t>offers</w:t>
      </w:r>
      <w:r>
        <w:rPr>
          <w:spacing w:val="-10"/>
        </w:rPr>
        <w:t> </w:t>
      </w:r>
      <w:r>
        <w:rPr/>
        <w:t>one</w:t>
      </w:r>
      <w:r>
        <w:rPr>
          <w:spacing w:val="-13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explanation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persistent</w:t>
      </w:r>
      <w:r>
        <w:rPr>
          <w:spacing w:val="-6"/>
        </w:rPr>
        <w:t> </w:t>
      </w:r>
      <w:r>
        <w:rPr/>
        <w:t>challenge: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country</w:t>
      </w:r>
      <w:r>
        <w:rPr>
          <w:spacing w:val="-7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7"/>
        </w:rPr>
        <w:t> </w:t>
      </w:r>
      <w:r>
        <w:rPr/>
        <w:t>unable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address</w:t>
      </w:r>
      <w:r>
        <w:rPr>
          <w:spacing w:val="-5"/>
        </w:rPr>
        <w:t> </w:t>
      </w:r>
      <w:r>
        <w:rPr/>
        <w:t>“the</w:t>
      </w:r>
      <w:r>
        <w:rPr>
          <w:spacing w:val="-4"/>
        </w:rPr>
        <w:t> </w:t>
      </w:r>
      <w:r>
        <w:rPr/>
        <w:t>widening</w:t>
      </w:r>
      <w:r>
        <w:rPr>
          <w:spacing w:val="-5"/>
        </w:rPr>
        <w:t> </w:t>
      </w:r>
      <w:r>
        <w:rPr/>
        <w:t>array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rapid,</w:t>
      </w:r>
      <w:r>
        <w:rPr>
          <w:spacing w:val="1"/>
        </w:rPr>
        <w:t> </w:t>
      </w:r>
      <w:r>
        <w:rPr/>
        <w:t>un-</w:t>
      </w:r>
      <w:r>
        <w:rPr>
          <w:spacing w:val="1"/>
        </w:rPr>
        <w:t> </w:t>
      </w:r>
      <w:r>
        <w:rPr>
          <w:position w:val="1"/>
        </w:rPr>
        <w:t>orchestrated expansion has caused” (Reichert, 2009, p. 84</w:t>
      </w:r>
      <w:r>
        <w:rPr>
          <w:sz w:val="13"/>
        </w:rPr>
        <w:t>[1]</w:t>
      </w:r>
      <w:r>
        <w:rPr>
          <w:position w:val="1"/>
        </w:rPr>
        <w:t>). These issues are now compounded by the</w:t>
      </w:r>
      <w:r>
        <w:rPr>
          <w:spacing w:val="-53"/>
          <w:position w:val="1"/>
        </w:rPr>
        <w:t> </w:t>
      </w:r>
      <w:r>
        <w:rPr/>
        <w:t>opposite pattern unfolding in Slovak higher education, namely the decline of enrolment resulting from a</w:t>
      </w:r>
      <w:r>
        <w:rPr>
          <w:spacing w:val="1"/>
        </w:rPr>
        <w:t> </w:t>
      </w:r>
      <w:r>
        <w:rPr/>
        <w:t>combination of demographic factors, high emigration rates among young Slovaks, and lower rates of</w:t>
      </w:r>
      <w:r>
        <w:rPr>
          <w:spacing w:val="1"/>
        </w:rPr>
        <w:t> </w:t>
      </w:r>
      <w:r>
        <w:rPr/>
        <w:t>application to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in Chapter</w:t>
      </w:r>
      <w:r>
        <w:rPr>
          <w:spacing w:val="5"/>
        </w:rPr>
        <w:t> </w:t>
      </w:r>
      <w:r>
        <w:rPr/>
        <w:t>2.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7"/>
        <w:jc w:val="both"/>
      </w:pPr>
      <w:r>
        <w:rPr/>
        <w:t>In some countries – such as neighbouring Hungary – falling student numbers have pressured both</w:t>
      </w:r>
      <w:r>
        <w:rPr>
          <w:spacing w:val="1"/>
        </w:rPr>
        <w:t> </w:t>
      </w:r>
      <w:r>
        <w:rPr/>
        <w:t>government and HEIs to work together to enhance the higher education system’s attractiveness, with a</w:t>
      </w:r>
      <w:r>
        <w:rPr>
          <w:spacing w:val="1"/>
        </w:rPr>
        <w:t> </w:t>
      </w:r>
      <w:r>
        <w:rPr/>
        <w:t>focus on recruiting international students and enhancing innovation in the delivery of higher education</w:t>
      </w:r>
      <w:r>
        <w:rPr>
          <w:spacing w:val="1"/>
        </w:rPr>
        <w:t> </w:t>
      </w:r>
      <w:r>
        <w:rPr>
          <w:position w:val="1"/>
        </w:rPr>
        <w:t>(OECD/European</w:t>
      </w:r>
      <w:r>
        <w:rPr>
          <w:spacing w:val="-3"/>
          <w:position w:val="1"/>
        </w:rPr>
        <w:t> </w:t>
      </w:r>
      <w:r>
        <w:rPr>
          <w:position w:val="1"/>
        </w:rPr>
        <w:t>Union,</w:t>
      </w:r>
      <w:r>
        <w:rPr>
          <w:spacing w:val="1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[10]</w:t>
      </w:r>
      <w:r>
        <w:rPr>
          <w:position w:val="1"/>
        </w:rPr>
        <w:t>).</w:t>
      </w:r>
    </w:p>
    <w:p>
      <w:pPr>
        <w:pStyle w:val="BodyText"/>
        <w:spacing w:line="271" w:lineRule="auto" w:before="119"/>
        <w:ind w:left="183" w:right="304"/>
        <w:jc w:val="both"/>
      </w:pPr>
      <w:r>
        <w:rPr/>
        <w:t>By contrast, in the Slovak Republic, the lack of collaboration between the Slovak government and 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stakeholders, the 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agreement among key stakeholders</w:t>
      </w:r>
      <w:r>
        <w:rPr>
          <w:spacing w:val="1"/>
        </w:rPr>
        <w:t> </w:t>
      </w:r>
      <w:r>
        <w:rPr/>
        <w:t>about 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to be</w:t>
      </w:r>
      <w:r>
        <w:rPr>
          <w:spacing w:val="1"/>
        </w:rPr>
        <w:t> </w:t>
      </w:r>
      <w:r>
        <w:rPr/>
        <w:t>addressed and their causes, and the discontinuity in reform efforts persistently undermine the ability of</w:t>
      </w:r>
      <w:r>
        <w:rPr>
          <w:spacing w:val="1"/>
        </w:rPr>
        <w:t> </w:t>
      </w:r>
      <w:r>
        <w:rPr/>
        <w:t>both government and HEIs to address these problems. These issues are examined in turn in the sections</w:t>
      </w:r>
      <w:r>
        <w:rPr>
          <w:spacing w:val="-53"/>
        </w:rPr>
        <w:t> </w:t>
      </w:r>
      <w:r>
        <w:rPr/>
        <w:t>that</w:t>
      </w:r>
      <w:r>
        <w:rPr>
          <w:spacing w:val="-2"/>
        </w:rPr>
        <w:t> </w:t>
      </w:r>
      <w:r>
        <w:rPr/>
        <w:t>follow.</w:t>
      </w:r>
    </w:p>
    <w:p>
      <w:pPr>
        <w:pStyle w:val="BodyText"/>
        <w:spacing w:before="2"/>
      </w:pPr>
    </w:p>
    <w:p>
      <w:pPr>
        <w:pStyle w:val="Heading7"/>
        <w:spacing w:before="1"/>
      </w:pPr>
      <w:bookmarkStart w:name="Limited collaboration among government a" w:id="97"/>
      <w:bookmarkEnd w:id="97"/>
      <w:r>
        <w:rPr>
          <w:i w:val="0"/>
        </w:rPr>
      </w:r>
      <w:r>
        <w:rPr>
          <w:color w:val="616161"/>
        </w:rPr>
        <w:t>Limited</w:t>
      </w:r>
      <w:r>
        <w:rPr>
          <w:color w:val="616161"/>
          <w:spacing w:val="-7"/>
        </w:rPr>
        <w:t> </w:t>
      </w:r>
      <w:r>
        <w:rPr>
          <w:color w:val="616161"/>
        </w:rPr>
        <w:t>collaboration</w:t>
      </w:r>
      <w:r>
        <w:rPr>
          <w:color w:val="616161"/>
          <w:spacing w:val="-6"/>
        </w:rPr>
        <w:t> </w:t>
      </w:r>
      <w:r>
        <w:rPr>
          <w:color w:val="616161"/>
        </w:rPr>
        <w:t>among</w:t>
      </w:r>
      <w:r>
        <w:rPr>
          <w:color w:val="616161"/>
          <w:spacing w:val="-7"/>
        </w:rPr>
        <w:t> </w:t>
      </w:r>
      <w:r>
        <w:rPr>
          <w:color w:val="616161"/>
        </w:rPr>
        <w:t>government</w:t>
      </w:r>
      <w:r>
        <w:rPr>
          <w:color w:val="616161"/>
          <w:spacing w:val="-7"/>
        </w:rPr>
        <w:t> </w:t>
      </w:r>
      <w:r>
        <w:rPr>
          <w:color w:val="616161"/>
        </w:rPr>
        <w:t>and</w:t>
      </w:r>
      <w:r>
        <w:rPr>
          <w:color w:val="616161"/>
          <w:spacing w:val="-8"/>
        </w:rPr>
        <w:t> </w:t>
      </w:r>
      <w:r>
        <w:rPr>
          <w:color w:val="616161"/>
        </w:rPr>
        <w:t>higher</w:t>
      </w:r>
      <w:r>
        <w:rPr>
          <w:color w:val="616161"/>
          <w:spacing w:val="-6"/>
        </w:rPr>
        <w:t> </w:t>
      </w:r>
      <w:r>
        <w:rPr>
          <w:color w:val="616161"/>
        </w:rPr>
        <w:t>education</w:t>
      </w:r>
      <w:r>
        <w:rPr>
          <w:color w:val="616161"/>
          <w:spacing w:val="-6"/>
        </w:rPr>
        <w:t> </w:t>
      </w:r>
      <w:r>
        <w:rPr>
          <w:color w:val="616161"/>
        </w:rPr>
        <w:t>stakeholders</w:t>
      </w:r>
    </w:p>
    <w:p>
      <w:pPr>
        <w:pStyle w:val="BodyText"/>
        <w:spacing w:line="271" w:lineRule="auto" w:before="214"/>
        <w:ind w:left="183" w:right="302"/>
        <w:jc w:val="both"/>
      </w:pPr>
      <w:r>
        <w:rPr/>
        <w:t>Policy development in higher education takes place without effective collaboration with stakeholders,</w:t>
      </w:r>
      <w:r>
        <w:rPr>
          <w:spacing w:val="1"/>
        </w:rPr>
        <w:t> </w:t>
      </w:r>
      <w:r>
        <w:rPr/>
        <w:t>despite the existence of representative bodies set up in legislation. The government plays a key role in</w:t>
      </w:r>
      <w:r>
        <w:rPr>
          <w:spacing w:val="1"/>
        </w:rPr>
        <w:t> </w:t>
      </w:r>
      <w:r>
        <w:rPr/>
        <w:t>Slovak higher education as the main funder of public HEIs and main driving force behind education</w:t>
      </w:r>
      <w:r>
        <w:rPr>
          <w:spacing w:val="1"/>
        </w:rPr>
        <w:t> </w:t>
      </w:r>
      <w:r>
        <w:rPr/>
        <w:t>reforms.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engagement of the higher education sector and economic and social stakeholders, such as employers.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 from</w:t>
      </w:r>
      <w:r>
        <w:rPr>
          <w:spacing w:val="1"/>
        </w:rPr>
        <w:t> </w:t>
      </w:r>
      <w:r>
        <w:rPr/>
        <w:t>government on reform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a lack</w:t>
      </w:r>
      <w:r>
        <w:rPr>
          <w:spacing w:val="1"/>
        </w:rPr>
        <w:t> </w:t>
      </w:r>
      <w:r>
        <w:rPr/>
        <w:t>of systematic engagement, a practice of</w:t>
      </w:r>
      <w:r>
        <w:rPr>
          <w:spacing w:val="1"/>
        </w:rPr>
        <w:t> </w:t>
      </w:r>
      <w:r>
        <w:rPr/>
        <w:t>consulting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limited</w:t>
      </w:r>
      <w:r>
        <w:rPr>
          <w:spacing w:val="-7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individuals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publishing</w:t>
      </w:r>
      <w:r>
        <w:rPr>
          <w:spacing w:val="-9"/>
        </w:rPr>
        <w:t> </w:t>
      </w:r>
      <w:r>
        <w:rPr/>
        <w:t>reform</w:t>
      </w:r>
      <w:r>
        <w:rPr>
          <w:spacing w:val="-5"/>
        </w:rPr>
        <w:t> </w:t>
      </w:r>
      <w:r>
        <w:rPr/>
        <w:t>plans</w:t>
      </w:r>
      <w:r>
        <w:rPr>
          <w:spacing w:val="-6"/>
        </w:rPr>
        <w:t> </w:t>
      </w:r>
      <w:r>
        <w:rPr/>
        <w:t>once</w:t>
      </w:r>
      <w:r>
        <w:rPr>
          <w:spacing w:val="-8"/>
        </w:rPr>
        <w:t> </w:t>
      </w:r>
      <w:r>
        <w:rPr/>
        <w:t>already</w:t>
      </w:r>
      <w:r>
        <w:rPr>
          <w:spacing w:val="-10"/>
        </w:rPr>
        <w:t> </w:t>
      </w:r>
      <w:r>
        <w:rPr/>
        <w:t>advanced,</w:t>
      </w:r>
      <w:r>
        <w:rPr>
          <w:spacing w:val="-8"/>
        </w:rPr>
        <w:t> </w:t>
      </w:r>
      <w:r>
        <w:rPr/>
        <w:t>limiting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for broad discussion. Some noted that while the law establishes bodies representing higher</w:t>
      </w:r>
      <w:r>
        <w:rPr>
          <w:spacing w:val="1"/>
        </w:rPr>
        <w:t> </w:t>
      </w:r>
      <w:r>
        <w:rPr/>
        <w:t>education stakeholders that government must consult ahead of legislative changes (outlined in Chapter 2</w:t>
      </w:r>
      <w:r>
        <w:rPr>
          <w:spacing w:val="-53"/>
        </w:rPr>
        <w:t> </w:t>
      </w:r>
      <w:r>
        <w:rPr/>
        <w:t>under “Key features of the Slovak Republic’s higher education system”), these rarely play a consensus-</w:t>
      </w:r>
      <w:r>
        <w:rPr>
          <w:spacing w:val="1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role.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lead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changes</w:t>
      </w:r>
      <w:r>
        <w:rPr>
          <w:spacing w:val="-6"/>
        </w:rPr>
        <w:t> </w:t>
      </w:r>
      <w:r>
        <w:rPr/>
        <w:t>passed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Parliament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low</w:t>
      </w:r>
      <w:r>
        <w:rPr>
          <w:spacing w:val="-11"/>
        </w:rPr>
        <w:t> </w:t>
      </w:r>
      <w:r>
        <w:rPr/>
        <w:t>support</w:t>
      </w:r>
      <w:r>
        <w:rPr>
          <w:spacing w:val="-6"/>
        </w:rPr>
        <w:t> </w:t>
      </w:r>
      <w:r>
        <w:rPr/>
        <w:t>from</w:t>
      </w:r>
      <w:r>
        <w:rPr>
          <w:spacing w:val="1"/>
        </w:rPr>
        <w:t> </w:t>
      </w:r>
      <w:r>
        <w:rPr/>
        <w:t>higher education stakeholders, or that underestimate the financial and human resources needed at the</w:t>
      </w:r>
      <w:r>
        <w:rPr>
          <w:spacing w:val="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level to</w:t>
      </w:r>
      <w:r>
        <w:rPr>
          <w:spacing w:val="1"/>
        </w:rPr>
        <w:t> </w:t>
      </w:r>
      <w:r>
        <w:rPr/>
        <w:t>implement</w:t>
      </w:r>
      <w:r>
        <w:rPr>
          <w:spacing w:val="-1"/>
        </w:rPr>
        <w:t> </w:t>
      </w:r>
      <w:r>
        <w:rPr/>
        <w:t>reforms.</w:t>
      </w:r>
    </w:p>
    <w:p>
      <w:pPr>
        <w:pStyle w:val="BodyText"/>
        <w:spacing w:line="271" w:lineRule="auto" w:before="124"/>
        <w:ind w:left="183" w:right="305"/>
        <w:jc w:val="both"/>
      </w:pPr>
      <w:r>
        <w:rPr/>
        <w:t>At the same time, Slovak HEIs have displayed a limited pattern of collaboration with external actors,</w:t>
      </w:r>
      <w:r>
        <w:rPr>
          <w:spacing w:val="1"/>
        </w:rPr>
        <w:t> </w:t>
      </w:r>
      <w:r>
        <w:rPr/>
        <w:t>whether government or the private sector. This results in part from the internal governance structure of</w:t>
      </w:r>
      <w:r>
        <w:rPr>
          <w:spacing w:val="1"/>
        </w:rPr>
        <w:t> </w:t>
      </w:r>
      <w:r>
        <w:rPr/>
        <w:t>HEIs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set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law,</w:t>
      </w:r>
      <w:r>
        <w:rPr>
          <w:spacing w:val="-4"/>
        </w:rPr>
        <w:t> </w:t>
      </w:r>
      <w:r>
        <w:rPr/>
        <w:t>which</w:t>
      </w:r>
      <w:r>
        <w:rPr>
          <w:spacing w:val="-8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rectors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boards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trustees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limited</w:t>
      </w:r>
      <w:r>
        <w:rPr>
          <w:spacing w:val="-5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identify</w:t>
      </w:r>
      <w:r>
        <w:rPr>
          <w:spacing w:val="-12"/>
        </w:rPr>
        <w:t> </w:t>
      </w:r>
      <w:r>
        <w:rPr/>
        <w:t>and</w:t>
      </w:r>
      <w:r>
        <w:rPr>
          <w:spacing w:val="1"/>
        </w:rPr>
        <w:t> </w:t>
      </w:r>
      <w:r>
        <w:rPr/>
        <w:t>pursue institution-wide interests and academic senates at both institution and faculty levels with broad</w:t>
      </w:r>
      <w:r>
        <w:rPr>
          <w:spacing w:val="1"/>
        </w:rPr>
        <w:t> </w:t>
      </w:r>
      <w:r>
        <w:rPr/>
        <w:t>powers,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orientation.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The “top-down” culture of policy making in the Slovak Republic and the inward focus of HEIs contribute to</w:t>
      </w:r>
      <w:r>
        <w:rPr>
          <w:spacing w:val="-54"/>
        </w:rPr>
        <w:t> </w:t>
      </w:r>
      <w:r>
        <w:rPr/>
        <w:t>weakly developed norms and routines of collaboration in policy making. Even in areas of mutual interest,</w:t>
      </w:r>
      <w:r>
        <w:rPr>
          <w:spacing w:val="1"/>
        </w:rPr>
        <w:t> </w:t>
      </w:r>
      <w:r>
        <w:rPr/>
        <w:t>the lack of established communication and collaboration channels has hampered co-operation. This has</w:t>
      </w:r>
      <w:r>
        <w:rPr>
          <w:spacing w:val="1"/>
        </w:rPr>
        <w:t> </w:t>
      </w:r>
      <w:r>
        <w:rPr/>
        <w:t>been the case for instance between businesses and HEIs, despite efforts from both sides to increase co-</w:t>
      </w:r>
      <w:r>
        <w:rPr>
          <w:spacing w:val="-53"/>
        </w:rPr>
        <w:t> </w:t>
      </w:r>
      <w:r>
        <w:rPr/>
        <w:t>operation to address the long-standing issues of skills mismatch and research funding and performance</w:t>
      </w:r>
      <w:r>
        <w:rPr>
          <w:spacing w:val="1"/>
        </w:rPr>
        <w:t> </w:t>
      </w:r>
      <w:r>
        <w:rPr>
          <w:position w:val="1"/>
        </w:rPr>
        <w:t>(EBRD,</w:t>
      </w:r>
      <w:r>
        <w:rPr>
          <w:spacing w:val="1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[11]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4"/>
        <w:jc w:val="both"/>
      </w:pPr>
      <w:r>
        <w:rPr/>
        <w:t>The Digital Coalition of the Slovak Republic provides an example of the limitations of such collaborations</w:t>
      </w:r>
      <w:r>
        <w:rPr>
          <w:spacing w:val="1"/>
        </w:rPr>
        <w:t> </w:t>
      </w:r>
      <w:r>
        <w:rPr>
          <w:position w:val="1"/>
        </w:rPr>
        <w:t>(European Commission, 2017</w:t>
      </w:r>
      <w:r>
        <w:rPr>
          <w:sz w:val="13"/>
        </w:rPr>
        <w:t>[12]</w:t>
      </w:r>
      <w:r>
        <w:rPr>
          <w:position w:val="1"/>
        </w:rPr>
        <w:t>). A private-sector initiative aiming at improving digital skills and creating</w:t>
      </w:r>
      <w:r>
        <w:rPr>
          <w:spacing w:val="1"/>
          <w:position w:val="1"/>
        </w:rPr>
        <w:t> </w:t>
      </w:r>
      <w:r>
        <w:rPr/>
        <w:t>synergies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IT</w:t>
      </w:r>
      <w:r>
        <w:rPr>
          <w:spacing w:val="-4"/>
        </w:rPr>
        <w:t> </w:t>
      </w:r>
      <w:r>
        <w:rPr/>
        <w:t>associations,</w:t>
      </w:r>
      <w:r>
        <w:rPr>
          <w:spacing w:val="-7"/>
        </w:rPr>
        <w:t> </w:t>
      </w:r>
      <w:r>
        <w:rPr/>
        <w:t>industry</w:t>
      </w:r>
      <w:r>
        <w:rPr>
          <w:spacing w:val="-10"/>
        </w:rPr>
        <w:t> </w:t>
      </w:r>
      <w:r>
        <w:rPr/>
        <w:t>leaders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HEIs,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coalition</w:t>
      </w:r>
      <w:r>
        <w:rPr>
          <w:spacing w:val="-5"/>
        </w:rPr>
        <w:t> </w:t>
      </w:r>
      <w:r>
        <w:rPr/>
        <w:t>gathers</w:t>
      </w:r>
      <w:r>
        <w:rPr>
          <w:spacing w:val="-6"/>
        </w:rPr>
        <w:t> </w:t>
      </w:r>
      <w:r>
        <w:rPr/>
        <w:t>80</w:t>
      </w:r>
      <w:r>
        <w:rPr>
          <w:spacing w:val="-2"/>
        </w:rPr>
        <w:t> </w:t>
      </w:r>
      <w:r>
        <w:rPr/>
        <w:t>partners,</w:t>
      </w:r>
      <w:r>
        <w:rPr>
          <w:spacing w:val="-7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businesses and universities. Yet, it has had limited success in strengthening the ties between academic</w:t>
      </w:r>
      <w:r>
        <w:rPr>
          <w:spacing w:val="1"/>
        </w:rPr>
        <w:t> </w:t>
      </w:r>
      <w:r>
        <w:rPr/>
        <w:t>research and the private sector. Similarly, in a survey of universities and businesses by the University-</w:t>
      </w:r>
      <w:r>
        <w:rPr>
          <w:spacing w:val="1"/>
        </w:rPr>
        <w:t> </w:t>
      </w:r>
      <w:r>
        <w:rPr/>
        <w:t>Business Cooperation in 2017, Slovak HEIs emphasised the importance of developing mechanisms to</w:t>
      </w:r>
      <w:r>
        <w:rPr>
          <w:spacing w:val="1"/>
        </w:rPr>
        <w:t> </w:t>
      </w:r>
      <w:r>
        <w:rPr/>
        <w:t>enhance co-operation with businesses, whereas none of these mechanisms were in place in over 40% of</w:t>
      </w:r>
      <w:r>
        <w:rPr>
          <w:spacing w:val="-53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businesses in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sample</w:t>
      </w:r>
      <w:r>
        <w:rPr>
          <w:spacing w:val="1"/>
          <w:position w:val="1"/>
        </w:rPr>
        <w:t> </w:t>
      </w:r>
      <w:r>
        <w:rPr>
          <w:position w:val="1"/>
        </w:rPr>
        <w:t>(Galán-Muros</w:t>
      </w:r>
      <w:r>
        <w:rPr>
          <w:spacing w:val="-1"/>
          <w:position w:val="1"/>
        </w:rPr>
        <w:t> </w:t>
      </w:r>
      <w:r>
        <w:rPr>
          <w:position w:val="1"/>
        </w:rPr>
        <w:t>et</w:t>
      </w:r>
      <w:r>
        <w:rPr>
          <w:spacing w:val="1"/>
          <w:position w:val="1"/>
        </w:rPr>
        <w:t> </w:t>
      </w:r>
      <w:r>
        <w:rPr>
          <w:position w:val="1"/>
        </w:rPr>
        <w:t>al., 2018</w:t>
      </w:r>
      <w:r>
        <w:rPr>
          <w:sz w:val="13"/>
        </w:rPr>
        <w:t>[13]</w:t>
      </w:r>
      <w:r>
        <w:rPr>
          <w:position w:val="1"/>
        </w:rPr>
        <w:t>).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Heading7"/>
        <w:spacing w:before="184"/>
      </w:pPr>
      <w:bookmarkStart w:name="Lack of widely shared understanding of p" w:id="98"/>
      <w:bookmarkEnd w:id="98"/>
      <w:r>
        <w:rPr>
          <w:i w:val="0"/>
        </w:rPr>
      </w:r>
      <w:r>
        <w:rPr>
          <w:color w:val="616161"/>
        </w:rPr>
        <w:t>Lack</w:t>
      </w:r>
      <w:r>
        <w:rPr>
          <w:color w:val="616161"/>
          <w:spacing w:val="-3"/>
        </w:rPr>
        <w:t> </w:t>
      </w:r>
      <w:r>
        <w:rPr>
          <w:color w:val="616161"/>
        </w:rPr>
        <w:t>of</w:t>
      </w:r>
      <w:r>
        <w:rPr>
          <w:color w:val="616161"/>
          <w:spacing w:val="-7"/>
        </w:rPr>
        <w:t> </w:t>
      </w:r>
      <w:r>
        <w:rPr>
          <w:color w:val="616161"/>
        </w:rPr>
        <w:t>widely</w:t>
      </w:r>
      <w:r>
        <w:rPr>
          <w:color w:val="616161"/>
          <w:spacing w:val="-2"/>
        </w:rPr>
        <w:t> </w:t>
      </w:r>
      <w:r>
        <w:rPr>
          <w:color w:val="616161"/>
        </w:rPr>
        <w:t>shared</w:t>
      </w:r>
      <w:r>
        <w:rPr>
          <w:color w:val="616161"/>
          <w:spacing w:val="-6"/>
        </w:rPr>
        <w:t> </w:t>
      </w:r>
      <w:r>
        <w:rPr>
          <w:color w:val="616161"/>
        </w:rPr>
        <w:t>understanding</w:t>
      </w:r>
      <w:r>
        <w:rPr>
          <w:color w:val="616161"/>
          <w:spacing w:val="-4"/>
        </w:rPr>
        <w:t> </w:t>
      </w:r>
      <w:r>
        <w:rPr>
          <w:color w:val="616161"/>
        </w:rPr>
        <w:t>of</w:t>
      </w:r>
      <w:r>
        <w:rPr>
          <w:color w:val="616161"/>
          <w:spacing w:val="-2"/>
        </w:rPr>
        <w:t> </w:t>
      </w:r>
      <w:r>
        <w:rPr>
          <w:color w:val="616161"/>
        </w:rPr>
        <w:t>problems,</w:t>
      </w:r>
      <w:r>
        <w:rPr>
          <w:color w:val="616161"/>
          <w:spacing w:val="-5"/>
        </w:rPr>
        <w:t> </w:t>
      </w:r>
      <w:r>
        <w:rPr>
          <w:color w:val="616161"/>
        </w:rPr>
        <w:t>objectives</w:t>
      </w:r>
      <w:r>
        <w:rPr>
          <w:color w:val="616161"/>
          <w:spacing w:val="-3"/>
        </w:rPr>
        <w:t> </w:t>
      </w:r>
      <w:r>
        <w:rPr>
          <w:color w:val="616161"/>
        </w:rPr>
        <w:t>and</w:t>
      </w:r>
      <w:r>
        <w:rPr>
          <w:color w:val="616161"/>
          <w:spacing w:val="-5"/>
        </w:rPr>
        <w:t> </w:t>
      </w:r>
      <w:r>
        <w:rPr>
          <w:color w:val="616161"/>
        </w:rPr>
        <w:t>solutions</w:t>
      </w:r>
    </w:p>
    <w:p>
      <w:pPr>
        <w:pStyle w:val="BodyText"/>
        <w:spacing w:line="271" w:lineRule="auto" w:before="214"/>
        <w:ind w:left="183" w:right="302"/>
        <w:jc w:val="both"/>
      </w:pPr>
      <w:r>
        <w:rPr/>
        <w:t>Limited engagement and collaboration between government and stakeholders contributes to diverging</w:t>
      </w:r>
      <w:r>
        <w:rPr>
          <w:spacing w:val="1"/>
        </w:rPr>
        <w:t> </w:t>
      </w:r>
      <w:r>
        <w:rPr/>
        <w:t>views of the higher education system in the Slovak Republic. Several studies conducted by national and</w:t>
      </w:r>
      <w:r>
        <w:rPr>
          <w:spacing w:val="1"/>
        </w:rPr>
        <w:t> </w:t>
      </w:r>
      <w:r>
        <w:rPr>
          <w:position w:val="1"/>
        </w:rPr>
        <w:t>international bodies point to key problems in Slovak higher education (European Commission, 2018</w:t>
      </w:r>
      <w:r>
        <w:rPr>
          <w:sz w:val="13"/>
        </w:rPr>
        <w:t>[8]</w:t>
      </w:r>
      <w:r>
        <w:rPr>
          <w:position w:val="1"/>
        </w:rPr>
        <w:t>;</w:t>
      </w:r>
      <w:r>
        <w:rPr>
          <w:spacing w:val="1"/>
          <w:position w:val="1"/>
        </w:rPr>
        <w:t> </w:t>
      </w:r>
      <w:r>
        <w:rPr>
          <w:position w:val="1"/>
        </w:rPr>
        <w:t>OECD, 2020</w:t>
      </w:r>
      <w:r>
        <w:rPr>
          <w:sz w:val="13"/>
        </w:rPr>
        <w:t>[4]</w:t>
      </w:r>
      <w:r>
        <w:rPr>
          <w:position w:val="1"/>
        </w:rPr>
        <w:t>; MESA10, 2021</w:t>
      </w:r>
      <w:r>
        <w:rPr>
          <w:sz w:val="13"/>
        </w:rPr>
        <w:t>[9]</w:t>
      </w:r>
      <w:r>
        <w:rPr>
          <w:position w:val="1"/>
        </w:rPr>
        <w:t>). The “Performance of Slovak higher education” section in Chapter 2</w:t>
      </w:r>
      <w:r>
        <w:rPr>
          <w:spacing w:val="1"/>
          <w:position w:val="1"/>
        </w:rPr>
        <w:t> </w:t>
      </w:r>
      <w:r>
        <w:rPr>
          <w:spacing w:val="-1"/>
        </w:rPr>
        <w:t>echoes</w:t>
      </w:r>
      <w:r>
        <w:rPr>
          <w:spacing w:val="-10"/>
        </w:rPr>
        <w:t> </w:t>
      </w:r>
      <w:r>
        <w:rPr>
          <w:spacing w:val="-1"/>
        </w:rPr>
        <w:t>findings</w:t>
      </w:r>
      <w:r>
        <w:rPr>
          <w:spacing w:val="-9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13"/>
        </w:rPr>
        <w:t> </w:t>
      </w:r>
      <w:r>
        <w:rPr>
          <w:spacing w:val="-1"/>
        </w:rPr>
        <w:t>studies,</w:t>
      </w:r>
      <w:r>
        <w:rPr>
          <w:spacing w:val="-11"/>
        </w:rPr>
        <w:t> </w:t>
      </w:r>
      <w:r>
        <w:rPr>
          <w:spacing w:val="-1"/>
        </w:rPr>
        <w:t>showing</w:t>
      </w:r>
      <w:r>
        <w:rPr>
          <w:spacing w:val="-11"/>
        </w:rPr>
        <w:t> </w:t>
      </w:r>
      <w:r>
        <w:rPr>
          <w:spacing w:val="-1"/>
        </w:rPr>
        <w:t>persisting</w:t>
      </w:r>
      <w:r>
        <w:rPr>
          <w:spacing w:val="-9"/>
        </w:rPr>
        <w:t> </w:t>
      </w:r>
      <w:r>
        <w:rPr>
          <w:spacing w:val="-1"/>
        </w:rPr>
        <w:t>high</w:t>
      </w:r>
      <w:r>
        <w:rPr>
          <w:spacing w:val="-11"/>
        </w:rPr>
        <w:t> </w:t>
      </w:r>
      <w:r>
        <w:rPr>
          <w:spacing w:val="-1"/>
        </w:rPr>
        <w:t>rates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emigration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Slovak</w:t>
      </w:r>
      <w:r>
        <w:rPr>
          <w:spacing w:val="-7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(despite</w:t>
      </w:r>
      <w:r>
        <w:rPr>
          <w:spacing w:val="1"/>
        </w:rPr>
        <w:t> </w:t>
      </w:r>
      <w:r>
        <w:rPr/>
        <w:t>improvements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attracting</w:t>
      </w:r>
      <w:r>
        <w:rPr>
          <w:spacing w:val="-11"/>
        </w:rPr>
        <w:t> </w:t>
      </w:r>
      <w:r>
        <w:rPr/>
        <w:t>international</w:t>
      </w:r>
      <w:r>
        <w:rPr>
          <w:spacing w:val="-13"/>
        </w:rPr>
        <w:t> </w:t>
      </w:r>
      <w:r>
        <w:rPr/>
        <w:t>students),</w:t>
      </w:r>
      <w:r>
        <w:rPr>
          <w:spacing w:val="-12"/>
        </w:rPr>
        <w:t> </w:t>
      </w:r>
      <w:r>
        <w:rPr/>
        <w:t>high</w:t>
      </w:r>
      <w:r>
        <w:rPr>
          <w:spacing w:val="-10"/>
        </w:rPr>
        <w:t> </w:t>
      </w:r>
      <w:r>
        <w:rPr/>
        <w:t>rates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skills</w:t>
      </w:r>
      <w:r>
        <w:rPr>
          <w:spacing w:val="-13"/>
        </w:rPr>
        <w:t> </w:t>
      </w:r>
      <w:r>
        <w:rPr/>
        <w:t>mismatch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over-qualification,</w:t>
      </w:r>
      <w:r>
        <w:rPr>
          <w:spacing w:val="-1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low</w:t>
      </w:r>
      <w:r>
        <w:rPr>
          <w:spacing w:val="-2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visibility</w:t>
      </w:r>
      <w:r>
        <w:rPr>
          <w:spacing w:val="-3"/>
        </w:rPr>
        <w:t> </w:t>
      </w:r>
      <w:r>
        <w:rPr/>
        <w:t>of Slovak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innovation.</w:t>
      </w:r>
    </w:p>
    <w:p>
      <w:pPr>
        <w:pStyle w:val="BodyText"/>
        <w:spacing w:line="271" w:lineRule="auto" w:before="123"/>
        <w:ind w:left="183" w:right="301"/>
        <w:jc w:val="both"/>
      </w:pP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weaknesses.</w:t>
      </w:r>
      <w:r>
        <w:rPr>
          <w:spacing w:val="1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these</w:t>
      </w:r>
      <w:r>
        <w:rPr>
          <w:spacing w:val="-5"/>
        </w:rPr>
        <w:t> </w:t>
      </w:r>
      <w:r>
        <w:rPr/>
        <w:t>stakeholders,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high</w:t>
      </w:r>
      <w:r>
        <w:rPr>
          <w:spacing w:val="-5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leaving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country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Slovak</w:t>
      </w:r>
      <w:r>
        <w:rPr>
          <w:spacing w:val="-4"/>
        </w:rPr>
        <w:t> </w:t>
      </w:r>
      <w:r>
        <w:rPr/>
        <w:t>HEIs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rankings</w:t>
      </w:r>
      <w:r>
        <w:rPr>
          <w:spacing w:val="-5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evidence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system’s</w:t>
      </w:r>
      <w:r>
        <w:rPr>
          <w:spacing w:val="-5"/>
        </w:rPr>
        <w:t> </w:t>
      </w:r>
      <w:r>
        <w:rPr/>
        <w:t>low</w:t>
      </w:r>
      <w:r>
        <w:rPr>
          <w:spacing w:val="1"/>
        </w:rPr>
        <w:t> </w:t>
      </w:r>
      <w:r>
        <w:rPr/>
        <w:t>quality. They generally identified contributing factors, such as the system’s under-funding and a lack of</w:t>
      </w:r>
      <w:r>
        <w:rPr>
          <w:spacing w:val="1"/>
        </w:rPr>
        <w:t> </w:t>
      </w:r>
      <w:r>
        <w:rPr/>
        <w:t>incentives to develop high-quality, labour-market-relevant programmes. In contrast, a small but notable</w:t>
      </w:r>
      <w:r>
        <w:rPr>
          <w:spacing w:val="1"/>
        </w:rPr>
        <w:t> </w:t>
      </w:r>
      <w:r>
        <w:rPr/>
        <w:t>number of higher education institutional stakeholders interviewed by the OECD perceived the overall low</w:t>
      </w:r>
      <w:r>
        <w:rPr>
          <w:spacing w:val="1"/>
        </w:rPr>
        <w:t> </w:t>
      </w:r>
      <w:r>
        <w:rPr/>
        <w:t>quality of teaching and research in the Slovak Republic as driven by a small number of low-quality</w:t>
      </w:r>
      <w:r>
        <w:rPr>
          <w:spacing w:val="1"/>
        </w:rPr>
        <w:t> </w:t>
      </w:r>
      <w:r>
        <w:rPr/>
        <w:t>institutions in a highly heterogeneous landscape. They viewed the high rates of students abroad as the</w:t>
      </w:r>
      <w:r>
        <w:rPr>
          <w:spacing w:val="1"/>
        </w:rPr>
        <w:t> </w:t>
      </w:r>
      <w:r>
        <w:rPr/>
        <w:t>result of misconception about Slovak higher education rather than evidence of low quality, suggesting it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10"/>
        </w:rPr>
        <w:t> </w:t>
      </w:r>
      <w:r>
        <w:rPr>
          <w:spacing w:val="-1"/>
        </w:rPr>
        <w:t>be</w:t>
      </w:r>
      <w:r>
        <w:rPr>
          <w:spacing w:val="-10"/>
        </w:rPr>
        <w:t> </w:t>
      </w:r>
      <w:r>
        <w:rPr>
          <w:spacing w:val="-1"/>
        </w:rPr>
        <w:t>addressed</w:t>
      </w:r>
      <w:r>
        <w:rPr>
          <w:spacing w:val="-9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better</w:t>
      </w:r>
      <w:r>
        <w:rPr>
          <w:spacing w:val="-9"/>
        </w:rPr>
        <w:t> </w:t>
      </w:r>
      <w:r>
        <w:rPr>
          <w:spacing w:val="-1"/>
        </w:rPr>
        <w:t>signalling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quality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Slovak</w:t>
      </w:r>
      <w:r>
        <w:rPr>
          <w:spacing w:val="-6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employers.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Besides disagreement on the extent of the Slovak Republic’s performance challenges, the views of</w:t>
      </w:r>
      <w:r>
        <w:rPr>
          <w:spacing w:val="1"/>
        </w:rPr>
        <w:t> </w:t>
      </w:r>
      <w:r>
        <w:rPr/>
        <w:t>stakeholders interviewed by the OECD were particularly polarised in terms of the actions that should be</w:t>
      </w:r>
      <w:r>
        <w:rPr>
          <w:spacing w:val="1"/>
        </w:rPr>
        <w:t> </w:t>
      </w:r>
      <w:r>
        <w:rPr/>
        <w:t>taken to improve performance. Some higher education institutional stakeholders viewed higher education</w:t>
      </w:r>
      <w:r>
        <w:rPr>
          <w:spacing w:val="-53"/>
        </w:rPr>
        <w:t> </w:t>
      </w:r>
      <w:r>
        <w:rPr/>
        <w:t>governance arrangements as a key driver for the lack of quality improvement and strongly supported</w:t>
      </w:r>
      <w:r>
        <w:rPr>
          <w:spacing w:val="1"/>
        </w:rPr>
        <w:t> </w:t>
      </w:r>
      <w:r>
        <w:rPr/>
        <w:t>opening leadership positions to outsiders and/or changing the distribution of power between governing</w:t>
      </w:r>
      <w:r>
        <w:rPr>
          <w:spacing w:val="1"/>
        </w:rPr>
        <w:t> </w:t>
      </w:r>
      <w:r>
        <w:rPr/>
        <w:t>entities to strengthen the managerial capacity of rectors, for example. Conversely, other institutional</w:t>
      </w:r>
      <w:r>
        <w:rPr>
          <w:spacing w:val="1"/>
        </w:rPr>
        <w:t> </w:t>
      </w:r>
      <w:r>
        <w:rPr/>
        <w:t>stakeholders suggested that any intervention from government in university governance, in particular to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collegial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universities’</w:t>
      </w:r>
      <w:r>
        <w:rPr>
          <w:spacing w:val="1"/>
        </w:rPr>
        <w:t> </w:t>
      </w:r>
      <w:r>
        <w:rPr/>
        <w:t>self-governing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95"/>
        </w:rPr>
        <w:t>independence, in turn threatening academic freedom. This latter group suggests that reforms to the system</w:t>
      </w:r>
      <w:r>
        <w:rPr>
          <w:spacing w:val="1"/>
          <w:w w:val="95"/>
        </w:rPr>
        <w:t> </w:t>
      </w:r>
      <w:r>
        <w:rPr/>
        <w:t>should</w:t>
      </w:r>
      <w:r>
        <w:rPr>
          <w:spacing w:val="-2"/>
        </w:rPr>
        <w:t> </w:t>
      </w:r>
      <w:r>
        <w:rPr/>
        <w:t>focus only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funding</w:t>
      </w:r>
      <w:r>
        <w:rPr>
          <w:spacing w:val="-1"/>
        </w:rPr>
        <w:t> </w:t>
      </w:r>
      <w:r>
        <w:rPr/>
        <w:t>reforms.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Building the foundations of productive consultation requires trust and a shared base of evidence for</w:t>
      </w:r>
      <w:r>
        <w:rPr>
          <w:spacing w:val="1"/>
        </w:rPr>
        <w:t> </w:t>
      </w:r>
      <w:r>
        <w:rPr/>
        <w:t>discussion.</w:t>
      </w:r>
      <w:r>
        <w:rPr>
          <w:spacing w:val="-14"/>
        </w:rPr>
        <w:t> </w:t>
      </w:r>
      <w:r>
        <w:rPr/>
        <w:t>While</w:t>
      </w:r>
      <w:r>
        <w:rPr>
          <w:spacing w:val="-12"/>
        </w:rPr>
        <w:t> </w:t>
      </w:r>
      <w:r>
        <w:rPr/>
        <w:t>deepening</w:t>
      </w:r>
      <w:r>
        <w:rPr>
          <w:spacing w:val="-12"/>
        </w:rPr>
        <w:t> </w:t>
      </w:r>
      <w:r>
        <w:rPr/>
        <w:t>trust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long-term</w:t>
      </w:r>
      <w:r>
        <w:rPr>
          <w:spacing w:val="-6"/>
        </w:rPr>
        <w:t> </w:t>
      </w:r>
      <w:r>
        <w:rPr/>
        <w:t>undertaking,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possible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improve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shared</w:t>
      </w:r>
      <w:r>
        <w:rPr>
          <w:spacing w:val="-9"/>
        </w:rPr>
        <w:t> </w:t>
      </w:r>
      <w:r>
        <w:rPr/>
        <w:t>evidence</w:t>
      </w:r>
      <w:r>
        <w:rPr>
          <w:spacing w:val="1"/>
        </w:rPr>
        <w:t> </w:t>
      </w:r>
      <w:r>
        <w:rPr/>
        <w:t>base available to support the engagement of higher education stakeholders. For instance, stakeholder</w:t>
      </w:r>
      <w:r>
        <w:rPr>
          <w:spacing w:val="1"/>
        </w:rPr>
        <w:t> </w:t>
      </w:r>
      <w:r>
        <w:rPr/>
        <w:t>disagreements regarding the factors leading students to study abroad suggests a better understanding of</w:t>
      </w:r>
      <w:r>
        <w:rPr>
          <w:spacing w:val="-53"/>
        </w:rPr>
        <w:t> </w:t>
      </w:r>
      <w:r>
        <w:rPr/>
        <w:t>students’ needs and motivations is required. However, there has not been regular student, graduate or</w:t>
      </w:r>
      <w:r>
        <w:rPr>
          <w:spacing w:val="1"/>
        </w:rPr>
        <w:t> </w:t>
      </w:r>
      <w:r>
        <w:rPr/>
        <w:t>employer surveys that could provide a nuanced assessment of the learning experience of students or of</w:t>
      </w:r>
      <w:r>
        <w:rPr>
          <w:spacing w:val="1"/>
        </w:rPr>
        <w:t> </w:t>
      </w:r>
      <w:r>
        <w:rPr/>
        <w:t>employers’</w:t>
      </w:r>
      <w:r>
        <w:rPr>
          <w:spacing w:val="-8"/>
        </w:rPr>
        <w:t> </w:t>
      </w:r>
      <w:r>
        <w:rPr/>
        <w:t>perception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skills</w:t>
      </w:r>
      <w:r>
        <w:rPr>
          <w:spacing w:val="-8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Slovak</w:t>
      </w:r>
      <w:r>
        <w:rPr>
          <w:spacing w:val="-7"/>
        </w:rPr>
        <w:t> </w:t>
      </w:r>
      <w:r>
        <w:rPr/>
        <w:t>graduates.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situation</w:t>
      </w:r>
      <w:r>
        <w:rPr>
          <w:spacing w:val="-7"/>
        </w:rPr>
        <w:t> </w:t>
      </w:r>
      <w:r>
        <w:rPr/>
        <w:t>is,</w:t>
      </w:r>
      <w:r>
        <w:rPr>
          <w:spacing w:val="-7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poised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change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 new</w:t>
      </w:r>
      <w:r>
        <w:rPr>
          <w:spacing w:val="-3"/>
        </w:rPr>
        <w:t> </w:t>
      </w:r>
      <w:r>
        <w:rPr/>
        <w:t>student</w:t>
      </w:r>
      <w:r>
        <w:rPr>
          <w:spacing w:val="-3"/>
        </w:rPr>
        <w:t> </w:t>
      </w:r>
      <w:r>
        <w:rPr/>
        <w:t>survey</w:t>
      </w:r>
      <w:r>
        <w:rPr>
          <w:spacing w:val="-2"/>
        </w:rPr>
        <w:t> </w:t>
      </w:r>
      <w:r>
        <w:rPr/>
        <w:t>launched by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SAAHE,</w:t>
      </w:r>
      <w:r>
        <w:rPr>
          <w:spacing w:val="4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in </w:t>
      </w:r>
      <w:hyperlink w:history="true" w:anchor="_bookmark37">
        <w:r>
          <w:rPr/>
          <w:t>Box</w:t>
        </w:r>
        <w:r>
          <w:rPr>
            <w:spacing w:val="-1"/>
          </w:rPr>
          <w:t> </w:t>
        </w:r>
        <w:r>
          <w:rPr/>
          <w:t>3.2.</w:t>
        </w:r>
      </w:hyperlink>
    </w:p>
    <w:p>
      <w:pPr>
        <w:pStyle w:val="BodyText"/>
        <w:spacing w:line="271" w:lineRule="auto" w:before="122"/>
        <w:ind w:left="183" w:right="300"/>
        <w:jc w:val="both"/>
      </w:pPr>
      <w:r>
        <w:rPr>
          <w:spacing w:val="-1"/>
        </w:rPr>
        <w:t>Similarly,</w:t>
      </w:r>
      <w:r>
        <w:rPr>
          <w:spacing w:val="-15"/>
        </w:rPr>
        <w:t> </w:t>
      </w:r>
      <w:r>
        <w:rPr>
          <w:spacing w:val="-1"/>
        </w:rPr>
        <w:t>concerns</w:t>
      </w:r>
      <w:r>
        <w:rPr>
          <w:spacing w:val="-14"/>
        </w:rPr>
        <w:t> </w:t>
      </w:r>
      <w:r>
        <w:rPr>
          <w:spacing w:val="-1"/>
        </w:rPr>
        <w:t>about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use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national</w:t>
      </w:r>
      <w:r>
        <w:rPr>
          <w:spacing w:val="-13"/>
        </w:rPr>
        <w:t> </w:t>
      </w:r>
      <w:r>
        <w:rPr>
          <w:spacing w:val="-1"/>
        </w:rPr>
        <w:t>averages</w:t>
      </w:r>
      <w:r>
        <w:rPr>
          <w:spacing w:val="-12"/>
        </w:rPr>
        <w:t> </w:t>
      </w:r>
      <w:r>
        <w:rPr>
          <w:spacing w:val="-1"/>
        </w:rPr>
        <w:t>when</w:t>
      </w:r>
      <w:r>
        <w:rPr>
          <w:spacing w:val="-14"/>
        </w:rPr>
        <w:t> </w:t>
      </w:r>
      <w:r>
        <w:rPr>
          <w:spacing w:val="-1"/>
        </w:rPr>
        <w:t>looking</w:t>
      </w:r>
      <w:r>
        <w:rPr>
          <w:spacing w:val="-15"/>
        </w:rPr>
        <w:t> </w:t>
      </w:r>
      <w:r>
        <w:rPr>
          <w:spacing w:val="-1"/>
        </w:rPr>
        <w:t>at</w:t>
      </w:r>
      <w:r>
        <w:rPr>
          <w:spacing w:val="-15"/>
        </w:rPr>
        <w:t> </w:t>
      </w:r>
      <w:r>
        <w:rPr>
          <w:spacing w:val="-1"/>
        </w:rPr>
        <w:t>performance</w:t>
      </w:r>
      <w:r>
        <w:rPr>
          <w:spacing w:val="-15"/>
        </w:rPr>
        <w:t> </w:t>
      </w:r>
      <w:r>
        <w:rPr/>
        <w:t>data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an</w:t>
      </w:r>
      <w:r>
        <w:rPr>
          <w:spacing w:val="-14"/>
        </w:rPr>
        <w:t> </w:t>
      </w:r>
      <w:r>
        <w:rPr/>
        <w:t>international</w:t>
      </w:r>
      <w:r>
        <w:rPr>
          <w:spacing w:val="1"/>
        </w:rPr>
        <w:t> </w:t>
      </w:r>
      <w:r>
        <w:rPr>
          <w:spacing w:val="-1"/>
        </w:rPr>
        <w:t>context,</w:t>
      </w:r>
      <w:r>
        <w:rPr>
          <w:spacing w:val="-13"/>
        </w:rPr>
        <w:t> </w:t>
      </w:r>
      <w:r>
        <w:rPr>
          <w:spacing w:val="-1"/>
        </w:rPr>
        <w:t>rather</w:t>
      </w:r>
      <w:r>
        <w:rPr>
          <w:spacing w:val="-10"/>
        </w:rPr>
        <w:t> </w:t>
      </w:r>
      <w:r>
        <w:rPr>
          <w:spacing w:val="-1"/>
        </w:rPr>
        <w:t>than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deeper</w:t>
      </w:r>
      <w:r>
        <w:rPr>
          <w:spacing w:val="-12"/>
        </w:rPr>
        <w:t> </w:t>
      </w:r>
      <w:r>
        <w:rPr/>
        <w:t>exploration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heterogeneous</w:t>
      </w:r>
      <w:r>
        <w:rPr>
          <w:spacing w:val="-8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among</w:t>
      </w:r>
      <w:r>
        <w:rPr>
          <w:spacing w:val="-11"/>
        </w:rPr>
        <w:t> </w:t>
      </w:r>
      <w:r>
        <w:rPr/>
        <w:t>Slovak</w:t>
      </w:r>
      <w:r>
        <w:rPr>
          <w:spacing w:val="-1"/>
        </w:rPr>
        <w:t> </w:t>
      </w:r>
      <w:r>
        <w:rPr/>
        <w:t>HEIs,</w:t>
      </w:r>
      <w:r>
        <w:rPr>
          <w:spacing w:val="-10"/>
        </w:rPr>
        <w:t> </w:t>
      </w:r>
      <w:r>
        <w:rPr/>
        <w:t>call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more</w:t>
      </w:r>
      <w:r>
        <w:rPr>
          <w:spacing w:val="1"/>
        </w:rPr>
        <w:t> </w:t>
      </w:r>
      <w:r>
        <w:rPr/>
        <w:t>granular</w:t>
      </w:r>
      <w:r>
        <w:rPr>
          <w:spacing w:val="-5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higher</w:t>
      </w:r>
      <w:r>
        <w:rPr>
          <w:spacing w:val="-2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outcomes</w:t>
      </w:r>
      <w:r>
        <w:rPr>
          <w:spacing w:val="-9"/>
        </w:rPr>
        <w:t> </w:t>
      </w:r>
      <w:r>
        <w:rPr/>
        <w:t>measures.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example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analyse</w:t>
      </w:r>
      <w:r>
        <w:rPr>
          <w:spacing w:val="-6"/>
        </w:rPr>
        <w:t> </w:t>
      </w:r>
      <w:r>
        <w:rPr/>
        <w:t>labour</w:t>
      </w:r>
      <w:r>
        <w:rPr>
          <w:spacing w:val="1"/>
        </w:rPr>
        <w:t> </w:t>
      </w:r>
      <w:r>
        <w:rPr/>
        <w:t>market outcomes – employment rate and earnings – according to graduates’ programme, field of study</w:t>
      </w:r>
      <w:r>
        <w:rPr>
          <w:spacing w:val="1"/>
        </w:rPr>
        <w:t> </w:t>
      </w:r>
      <w:r>
        <w:rPr/>
        <w:t>and institution, taking account of graduate demographic characteristics and of the national and local</w:t>
      </w:r>
      <w:r>
        <w:rPr>
          <w:spacing w:val="1"/>
        </w:rPr>
        <w:t> </w:t>
      </w:r>
      <w:r>
        <w:rPr/>
        <w:t>economic</w:t>
      </w:r>
      <w:r>
        <w:rPr>
          <w:spacing w:val="-12"/>
        </w:rPr>
        <w:t> </w:t>
      </w:r>
      <w:r>
        <w:rPr/>
        <w:t>context.</w:t>
      </w:r>
      <w:r>
        <w:rPr>
          <w:spacing w:val="-9"/>
        </w:rPr>
        <w:t> </w:t>
      </w:r>
      <w:r>
        <w:rPr/>
        <w:t>Background</w:t>
      </w:r>
      <w:r>
        <w:rPr>
          <w:spacing w:val="-11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provided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OECD</w:t>
      </w:r>
      <w:r>
        <w:rPr>
          <w:spacing w:val="-9"/>
        </w:rPr>
        <w:t> </w:t>
      </w:r>
      <w:r>
        <w:rPr/>
        <w:t>suggests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while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4"/>
        </w:rPr>
        <w:t> </w:t>
      </w:r>
      <w:r>
        <w:rPr/>
        <w:t>Republic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capacity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identify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labour</w:t>
      </w:r>
      <w:r>
        <w:rPr>
          <w:spacing w:val="-10"/>
        </w:rPr>
        <w:t> </w:t>
      </w:r>
      <w:r>
        <w:rPr>
          <w:spacing w:val="-1"/>
        </w:rPr>
        <w:t>market</w:t>
      </w:r>
      <w:r>
        <w:rPr>
          <w:spacing w:val="-13"/>
        </w:rPr>
        <w:t> </w:t>
      </w:r>
      <w:r>
        <w:rPr/>
        <w:t>outcomes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graduates</w:t>
      </w:r>
      <w:r>
        <w:rPr>
          <w:spacing w:val="-12"/>
        </w:rPr>
        <w:t> </w:t>
      </w:r>
      <w:r>
        <w:rPr/>
        <w:t>shortly</w:t>
      </w:r>
      <w:r>
        <w:rPr>
          <w:spacing w:val="-14"/>
        </w:rPr>
        <w:t> </w:t>
      </w:r>
      <w:r>
        <w:rPr/>
        <w:t>after</w:t>
      </w:r>
      <w:r>
        <w:rPr>
          <w:spacing w:val="-12"/>
        </w:rPr>
        <w:t> </w:t>
      </w:r>
      <w:r>
        <w:rPr/>
        <w:t>graduation,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1"/>
        </w:rPr>
        <w:t> </w:t>
      </w:r>
      <w:r>
        <w:rPr/>
        <w:t>Centre of Scientific and Technical Information (CVTI) collects basic information on social and economic</w:t>
      </w:r>
      <w:r>
        <w:rPr>
          <w:spacing w:val="1"/>
        </w:rPr>
        <w:t> </w:t>
      </w:r>
      <w:r>
        <w:rPr/>
        <w:t>conditions of HEI students (during their study and shortly after graduation). However, this was little</w:t>
      </w:r>
      <w:r>
        <w:rPr>
          <w:spacing w:val="1"/>
        </w:rPr>
        <w:t> </w:t>
      </w:r>
      <w:r>
        <w:rPr/>
        <w:t>discussed</w:t>
      </w:r>
      <w:r>
        <w:rPr>
          <w:spacing w:val="-4"/>
        </w:rPr>
        <w:t> </w:t>
      </w:r>
      <w:r>
        <w:rPr/>
        <w:t>during the project,</w:t>
      </w:r>
      <w:r>
        <w:rPr>
          <w:spacing w:val="-2"/>
        </w:rPr>
        <w:t> </w:t>
      </w:r>
      <w:r>
        <w:rPr/>
        <w:t>suggesting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be widely</w:t>
      </w:r>
      <w:r>
        <w:rPr>
          <w:spacing w:val="-3"/>
        </w:rPr>
        <w:t> </w:t>
      </w:r>
      <w:r>
        <w:rPr/>
        <w:t>used.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Heading7"/>
        <w:spacing w:before="184"/>
      </w:pPr>
      <w:bookmarkStart w:name="Discontinuity and lack of alignment in r" w:id="99"/>
      <w:bookmarkEnd w:id="99"/>
      <w:r>
        <w:rPr>
          <w:i w:val="0"/>
        </w:rPr>
      </w:r>
      <w:r>
        <w:rPr>
          <w:color w:val="616161"/>
        </w:rPr>
        <w:t>Discontinuity</w:t>
      </w:r>
      <w:r>
        <w:rPr>
          <w:color w:val="616161"/>
          <w:spacing w:val="-3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lack</w:t>
      </w:r>
      <w:r>
        <w:rPr>
          <w:color w:val="616161"/>
          <w:spacing w:val="-5"/>
        </w:rPr>
        <w:t> </w:t>
      </w:r>
      <w:r>
        <w:rPr>
          <w:color w:val="616161"/>
        </w:rPr>
        <w:t>of</w:t>
      </w:r>
      <w:r>
        <w:rPr>
          <w:color w:val="616161"/>
          <w:spacing w:val="-6"/>
        </w:rPr>
        <w:t> </w:t>
      </w:r>
      <w:r>
        <w:rPr>
          <w:color w:val="616161"/>
        </w:rPr>
        <w:t>alignment</w:t>
      </w:r>
      <w:r>
        <w:rPr>
          <w:color w:val="616161"/>
          <w:spacing w:val="-2"/>
        </w:rPr>
        <w:t> </w:t>
      </w:r>
      <w:r>
        <w:rPr>
          <w:color w:val="616161"/>
        </w:rPr>
        <w:t>in</w:t>
      </w:r>
      <w:r>
        <w:rPr>
          <w:color w:val="616161"/>
          <w:spacing w:val="-5"/>
        </w:rPr>
        <w:t> </w:t>
      </w:r>
      <w:r>
        <w:rPr>
          <w:color w:val="616161"/>
        </w:rPr>
        <w:t>reform</w:t>
      </w:r>
      <w:r>
        <w:rPr>
          <w:color w:val="616161"/>
          <w:spacing w:val="-5"/>
        </w:rPr>
        <w:t> </w:t>
      </w:r>
      <w:r>
        <w:rPr>
          <w:color w:val="616161"/>
        </w:rPr>
        <w:t>efforts</w:t>
      </w:r>
    </w:p>
    <w:p>
      <w:pPr>
        <w:pStyle w:val="BodyText"/>
        <w:spacing w:line="271" w:lineRule="auto" w:before="214"/>
        <w:ind w:left="183" w:right="301"/>
        <w:jc w:val="both"/>
      </w:pPr>
      <w:r>
        <w:rPr/>
        <w:t>Reforming the higher education system requires different types of reforms, which need to be aligned in</w:t>
      </w:r>
      <w:r>
        <w:rPr>
          <w:spacing w:val="1"/>
        </w:rPr>
        <w:t> </w:t>
      </w:r>
      <w:r>
        <w:rPr/>
        <w:t>their objectives and co-ordinated in their implementation to be effective. Efforts are taking place in this</w:t>
      </w:r>
      <w:r>
        <w:rPr>
          <w:spacing w:val="1"/>
        </w:rPr>
        <w:t> </w:t>
      </w:r>
      <w:r>
        <w:rPr/>
        <w:t>regard, but they are recent. For instance, in 2018, the European Commission’s peer counselling on</w:t>
      </w:r>
      <w:r>
        <w:rPr>
          <w:spacing w:val="1"/>
        </w:rPr>
        <w:t> </w:t>
      </w:r>
      <w:r>
        <w:rPr/>
        <w:t>governance of higher education institutions in the Slovak Republic highlighted the disconnect between</w:t>
      </w:r>
      <w:r>
        <w:rPr>
          <w:spacing w:val="1"/>
        </w:rPr>
        <w:t> </w:t>
      </w:r>
      <w:r>
        <w:rPr/>
        <w:t>broad policy objectives, operational funding mechanisms, and the system of quality assurance (European</w:t>
      </w:r>
      <w:r>
        <w:rPr>
          <w:spacing w:val="-54"/>
        </w:rPr>
        <w:t> </w:t>
      </w:r>
      <w:r>
        <w:rPr>
          <w:position w:val="1"/>
        </w:rPr>
        <w:t>Commission, 2018</w:t>
      </w:r>
      <w:r>
        <w:rPr>
          <w:sz w:val="13"/>
        </w:rPr>
        <w:t>[8]</w:t>
      </w:r>
      <w:r>
        <w:rPr>
          <w:position w:val="1"/>
        </w:rPr>
        <w:t>). As an example, the annual revisions to the funding formula for HEIs are not</w:t>
      </w:r>
      <w:r>
        <w:rPr>
          <w:spacing w:val="1"/>
          <w:position w:val="1"/>
        </w:rPr>
        <w:t> </w:t>
      </w:r>
      <w:r>
        <w:rPr>
          <w:spacing w:val="-1"/>
        </w:rPr>
        <w:t>connected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broader</w:t>
      </w:r>
      <w:r>
        <w:rPr>
          <w:spacing w:val="-12"/>
        </w:rPr>
        <w:t> </w:t>
      </w:r>
      <w:r>
        <w:rPr>
          <w:spacing w:val="-1"/>
        </w:rPr>
        <w:t>policy</w:t>
      </w:r>
      <w:r>
        <w:rPr>
          <w:spacing w:val="-15"/>
        </w:rPr>
        <w:t> </w:t>
      </w:r>
      <w:r>
        <w:rPr>
          <w:spacing w:val="-1"/>
        </w:rPr>
        <w:t>framework,</w:t>
      </w:r>
      <w:r>
        <w:rPr>
          <w:spacing w:val="-12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>
          <w:spacing w:val="-1"/>
        </w:rPr>
        <w:t>may</w:t>
      </w:r>
      <w:r>
        <w:rPr>
          <w:spacing w:val="-16"/>
        </w:rPr>
        <w:t> </w:t>
      </w:r>
      <w:r>
        <w:rPr>
          <w:spacing w:val="-1"/>
        </w:rPr>
        <w:t>limit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effectiveness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incentives</w:t>
      </w:r>
      <w:r>
        <w:rPr>
          <w:spacing w:val="-11"/>
        </w:rPr>
        <w:t> </w:t>
      </w:r>
      <w:r>
        <w:rPr/>
        <w:t>built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funding</w:t>
      </w:r>
      <w:r>
        <w:rPr>
          <w:spacing w:val="1"/>
        </w:rPr>
        <w:t> </w:t>
      </w:r>
      <w:r>
        <w:rPr/>
        <w:t>formula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effectively</w:t>
      </w:r>
      <w:r>
        <w:rPr>
          <w:spacing w:val="-13"/>
        </w:rPr>
        <w:t> </w:t>
      </w:r>
      <w:r>
        <w:rPr/>
        <w:t>shift</w:t>
      </w:r>
      <w:r>
        <w:rPr>
          <w:spacing w:val="-10"/>
        </w:rPr>
        <w:t> </w:t>
      </w:r>
      <w:r>
        <w:rPr/>
        <w:t>institutional</w:t>
      </w:r>
      <w:r>
        <w:rPr>
          <w:spacing w:val="-10"/>
        </w:rPr>
        <w:t> </w:t>
      </w:r>
      <w:r>
        <w:rPr/>
        <w:t>behaviour.</w:t>
      </w:r>
      <w:r>
        <w:rPr>
          <w:spacing w:val="-10"/>
        </w:rPr>
        <w:t> </w:t>
      </w:r>
      <w:r>
        <w:rPr/>
        <w:t>Recent</w:t>
      </w:r>
      <w:r>
        <w:rPr>
          <w:spacing w:val="-10"/>
        </w:rPr>
        <w:t> </w:t>
      </w:r>
      <w:r>
        <w:rPr/>
        <w:t>OECD</w:t>
      </w:r>
      <w:r>
        <w:rPr>
          <w:spacing w:val="-7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further</w:t>
      </w:r>
      <w:r>
        <w:rPr>
          <w:spacing w:val="-9"/>
        </w:rPr>
        <w:t> </w:t>
      </w:r>
      <w:r>
        <w:rPr/>
        <w:t>suggests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quantitative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qualitative</w:t>
      </w:r>
      <w:r>
        <w:rPr>
          <w:spacing w:val="-11"/>
        </w:rPr>
        <w:t> </w:t>
      </w:r>
      <w:r>
        <w:rPr>
          <w:spacing w:val="-1"/>
        </w:rPr>
        <w:t>targets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>
          <w:spacing w:val="-1"/>
        </w:rPr>
        <w:t>rarely</w:t>
      </w:r>
      <w:r>
        <w:rPr>
          <w:spacing w:val="-14"/>
        </w:rPr>
        <w:t> </w:t>
      </w:r>
      <w:r>
        <w:rPr>
          <w:spacing w:val="-1"/>
        </w:rPr>
        <w:t>been</w:t>
      </w:r>
      <w:r>
        <w:rPr>
          <w:spacing w:val="-9"/>
        </w:rPr>
        <w:t> </w:t>
      </w:r>
      <w:r>
        <w:rPr>
          <w:spacing w:val="-1"/>
        </w:rPr>
        <w:t>established</w:t>
      </w:r>
      <w:r>
        <w:rPr>
          <w:spacing w:val="-6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new</w:t>
      </w:r>
      <w:r>
        <w:rPr>
          <w:spacing w:val="-10"/>
        </w:rPr>
        <w:t> </w:t>
      </w:r>
      <w:r>
        <w:rPr/>
        <w:t>policies</w:t>
      </w:r>
      <w:r>
        <w:rPr>
          <w:spacing w:val="-10"/>
        </w:rPr>
        <w:t> </w:t>
      </w:r>
      <w:r>
        <w:rPr/>
        <w:t>are</w:t>
      </w:r>
      <w:r>
        <w:rPr>
          <w:spacing w:val="-8"/>
        </w:rPr>
        <w:t> </w:t>
      </w:r>
      <w:r>
        <w:rPr/>
        <w:t>implemented,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performance</w:t>
      </w:r>
      <w:r>
        <w:rPr>
          <w:spacing w:val="1"/>
        </w:rPr>
        <w:t> </w:t>
      </w:r>
      <w:r>
        <w:rPr>
          <w:position w:val="1"/>
        </w:rPr>
        <w:t>indicators</w:t>
      </w:r>
      <w:r>
        <w:rPr>
          <w:spacing w:val="-1"/>
          <w:position w:val="1"/>
        </w:rPr>
        <w:t> </w:t>
      </w:r>
      <w:r>
        <w:rPr>
          <w:position w:val="1"/>
        </w:rPr>
        <w:t>in</w:t>
      </w:r>
      <w:r>
        <w:rPr>
          <w:spacing w:val="-2"/>
          <w:position w:val="1"/>
        </w:rPr>
        <w:t> </w:t>
      </w:r>
      <w:r>
        <w:rPr>
          <w:position w:val="1"/>
        </w:rPr>
        <w:t>use often</w:t>
      </w:r>
      <w:r>
        <w:rPr>
          <w:spacing w:val="1"/>
          <w:position w:val="1"/>
        </w:rPr>
        <w:t> </w:t>
      </w:r>
      <w:r>
        <w:rPr>
          <w:position w:val="1"/>
        </w:rPr>
        <w:t>vary</w:t>
      </w:r>
      <w:r>
        <w:rPr>
          <w:spacing w:val="-3"/>
          <w:position w:val="1"/>
        </w:rPr>
        <w:t> </w:t>
      </w:r>
      <w:r>
        <w:rPr>
          <w:position w:val="1"/>
        </w:rPr>
        <w:t>across</w:t>
      </w:r>
      <w:r>
        <w:rPr>
          <w:spacing w:val="-1"/>
          <w:position w:val="1"/>
        </w:rPr>
        <w:t> </w:t>
      </w:r>
      <w:r>
        <w:rPr>
          <w:position w:val="1"/>
        </w:rPr>
        <w:t>government</w:t>
      </w:r>
      <w:r>
        <w:rPr>
          <w:spacing w:val="-1"/>
          <w:position w:val="1"/>
        </w:rPr>
        <w:t> </w:t>
      </w:r>
      <w:r>
        <w:rPr>
          <w:position w:val="1"/>
        </w:rPr>
        <w:t>bodies</w:t>
      </w:r>
      <w:r>
        <w:rPr>
          <w:spacing w:val="6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[4]</w:t>
      </w:r>
      <w:r>
        <w:rPr>
          <w:position w:val="1"/>
        </w:rPr>
        <w:t>).</w:t>
      </w:r>
    </w:p>
    <w:p>
      <w:pPr>
        <w:pStyle w:val="BodyText"/>
        <w:spacing w:line="271" w:lineRule="auto" w:before="123"/>
        <w:ind w:left="183" w:right="301"/>
        <w:jc w:val="both"/>
      </w:pPr>
      <w:r>
        <w:rPr/>
        <w:t>The Slovak Republic’s national RRP described earlier (see </w:t>
      </w:r>
      <w:hyperlink w:history="true" w:anchor="_bookmark38">
        <w:r>
          <w:rPr/>
          <w:t>Box 3.3</w:t>
        </w:r>
      </w:hyperlink>
      <w:r>
        <w:rPr/>
        <w:t>) includes broad system-wide targets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references</w:t>
      </w:r>
      <w:r>
        <w:rPr>
          <w:spacing w:val="-12"/>
        </w:rPr>
        <w:t> </w:t>
      </w:r>
      <w:r>
        <w:rPr>
          <w:spacing w:val="-1"/>
        </w:rPr>
        <w:t>several</w:t>
      </w:r>
      <w:r>
        <w:rPr>
          <w:spacing w:val="-13"/>
        </w:rPr>
        <w:t> </w:t>
      </w:r>
      <w:r>
        <w:rPr>
          <w:spacing w:val="-1"/>
        </w:rPr>
        <w:t>reforms</w:t>
      </w:r>
      <w:r>
        <w:rPr>
          <w:spacing w:val="-11"/>
        </w:rPr>
        <w:t> </w:t>
      </w:r>
      <w:r>
        <w:rPr>
          <w:spacing w:val="-1"/>
        </w:rPr>
        <w:t>underway,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13"/>
        </w:rPr>
        <w:t> </w:t>
      </w:r>
      <w:r>
        <w:rPr/>
        <w:t>represents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step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direction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clarifying</w:t>
      </w:r>
      <w:r>
        <w:rPr>
          <w:spacing w:val="-12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objectives, the ways success will be measured, and to connect previously disconnected reform under a</w:t>
      </w:r>
      <w:r>
        <w:rPr>
          <w:spacing w:val="1"/>
        </w:rPr>
        <w:t> </w:t>
      </w:r>
      <w:r>
        <w:rPr/>
        <w:t>connected plan. However, it is not yet clear how policy instruments – such as the current funding formula</w:t>
      </w:r>
      <w:r>
        <w:rPr>
          <w:spacing w:val="1"/>
        </w:rPr>
        <w:t> </w:t>
      </w:r>
      <w:r>
        <w:rPr/>
        <w:t>or future performance contracts with HEIs – will incentivise HEIs to take action towards meeting these</w:t>
      </w:r>
      <w:r>
        <w:rPr>
          <w:spacing w:val="1"/>
        </w:rPr>
        <w:t> </w:t>
      </w:r>
      <w:r>
        <w:rPr/>
        <w:t>targets.</w:t>
      </w:r>
    </w:p>
    <w:p>
      <w:pPr>
        <w:pStyle w:val="BodyText"/>
        <w:spacing w:line="271" w:lineRule="auto" w:before="121"/>
        <w:ind w:left="183" w:right="301"/>
        <w:jc w:val="both"/>
      </w:pPr>
      <w:r>
        <w:rPr>
          <w:spacing w:val="-1"/>
        </w:rPr>
        <w:t>Similarly,</w:t>
      </w:r>
      <w:r>
        <w:rPr>
          <w:spacing w:val="-13"/>
        </w:rPr>
        <w:t> </w:t>
      </w:r>
      <w:r>
        <w:rPr>
          <w:spacing w:val="-1"/>
        </w:rPr>
        <w:t>concurrent</w:t>
      </w:r>
      <w:r>
        <w:rPr>
          <w:spacing w:val="-13"/>
        </w:rPr>
        <w:t> </w:t>
      </w:r>
      <w:r>
        <w:rPr>
          <w:spacing w:val="-1"/>
        </w:rPr>
        <w:t>higher</w:t>
      </w:r>
      <w:r>
        <w:rPr>
          <w:spacing w:val="-12"/>
        </w:rPr>
        <w:t> </w:t>
      </w:r>
      <w:r>
        <w:rPr>
          <w:spacing w:val="-1"/>
        </w:rPr>
        <w:t>education</w:t>
      </w:r>
      <w:r>
        <w:rPr>
          <w:spacing w:val="-13"/>
        </w:rPr>
        <w:t> </w:t>
      </w:r>
      <w:r>
        <w:rPr>
          <w:spacing w:val="-1"/>
        </w:rPr>
        <w:t>reforms</w:t>
      </w:r>
      <w:r>
        <w:rPr>
          <w:spacing w:val="-14"/>
        </w:rPr>
        <w:t> </w:t>
      </w:r>
      <w:r>
        <w:rPr>
          <w:spacing w:val="-1"/>
        </w:rPr>
        <w:t>reveal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weak</w:t>
      </w:r>
      <w:r>
        <w:rPr>
          <w:spacing w:val="-11"/>
        </w:rPr>
        <w:t> </w:t>
      </w:r>
      <w:r>
        <w:rPr>
          <w:spacing w:val="-1"/>
        </w:rPr>
        <w:t>alignment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policy</w:t>
      </w:r>
      <w:r>
        <w:rPr>
          <w:spacing w:val="-19"/>
        </w:rPr>
        <w:t> </w:t>
      </w:r>
      <w:r>
        <w:rPr/>
        <w:t>design</w:t>
      </w:r>
      <w:r>
        <w:rPr>
          <w:spacing w:val="-13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streams of reform. Most recently, the investment approach outlined in the national RRP focuses strongly</w:t>
      </w:r>
      <w:r>
        <w:rPr>
          <w:spacing w:val="1"/>
        </w:rPr>
        <w:t> </w:t>
      </w:r>
      <w:r>
        <w:rPr/>
        <w:t>on physical infrastructure with little investment in digital infrastructure – a potentially important aspect to</w:t>
      </w:r>
      <w:r>
        <w:rPr>
          <w:spacing w:val="1"/>
        </w:rPr>
        <w:t> </w:t>
      </w:r>
      <w:r>
        <w:rPr/>
        <w:t>modernising</w:t>
      </w:r>
      <w:r>
        <w:rPr>
          <w:spacing w:val="-11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making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Slovak</w:t>
      </w:r>
      <w:r>
        <w:rPr>
          <w:spacing w:val="-7"/>
        </w:rPr>
        <w:t> </w:t>
      </w:r>
      <w:r>
        <w:rPr/>
        <w:t>higher</w:t>
      </w:r>
      <w:r>
        <w:rPr>
          <w:spacing w:val="-10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system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flexible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to domestic and international students, itself a key government objective. The plan is also not explicit on</w:t>
      </w:r>
      <w:r>
        <w:rPr>
          <w:spacing w:val="1"/>
        </w:rPr>
        <w:t> </w:t>
      </w:r>
      <w:r>
        <w:rPr/>
        <w:t>how this new European funding might be used to support large-scale changes in the processes and</w:t>
      </w:r>
      <w:r>
        <w:rPr>
          <w:spacing w:val="1"/>
        </w:rPr>
        <w:t> </w:t>
      </w:r>
      <w:r>
        <w:rPr/>
        <w:t>practices of HEIs and government that aim to improve teaching and research quality. Such processes,</w:t>
      </w:r>
      <w:r>
        <w:rPr>
          <w:spacing w:val="1"/>
        </w:rPr>
        <w:t> </w:t>
      </w:r>
      <w:r>
        <w:rPr/>
        <w:t>such as the introduction of institutional contracts, revised and improved quality assurance processes and</w:t>
      </w:r>
      <w:r>
        <w:rPr>
          <w:spacing w:val="1"/>
        </w:rPr>
        <w:t> </w:t>
      </w:r>
      <w:r>
        <w:rPr/>
        <w:t>new institutional governance arrangements, require in particular that adequate human resources – with</w:t>
      </w:r>
      <w:r>
        <w:rPr>
          <w:spacing w:val="1"/>
        </w:rPr>
        <w:t> </w:t>
      </w:r>
      <w:r>
        <w:rPr/>
        <w:t>appropriate skills profiles – be in place in HEIs and government. As discussed in Action Step 2, “Using</w:t>
      </w:r>
      <w:r>
        <w:rPr>
          <w:spacing w:val="1"/>
        </w:rPr>
        <w:t> </w:t>
      </w:r>
      <w:r>
        <w:rPr/>
        <w:t>funding to support and reward higher education performance”, HEIs face constraints in the ways in which</w:t>
      </w:r>
      <w:r>
        <w:rPr>
          <w:spacing w:val="-53"/>
        </w:rPr>
        <w:t> </w:t>
      </w:r>
      <w:r>
        <w:rPr/>
        <w:t>they</w:t>
      </w:r>
      <w:r>
        <w:rPr>
          <w:spacing w:val="-12"/>
        </w:rPr>
        <w:t> </w:t>
      </w:r>
      <w:r>
        <w:rPr/>
        <w:t>can</w:t>
      </w:r>
      <w:r>
        <w:rPr>
          <w:spacing w:val="-9"/>
        </w:rPr>
        <w:t> </w:t>
      </w:r>
      <w:r>
        <w:rPr/>
        <w:t>manage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human</w:t>
      </w:r>
      <w:r>
        <w:rPr>
          <w:spacing w:val="-8"/>
        </w:rPr>
        <w:t> </w:t>
      </w:r>
      <w:r>
        <w:rPr/>
        <w:t>resources,</w:t>
      </w:r>
      <w:r>
        <w:rPr>
          <w:spacing w:val="-6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limitations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how</w:t>
      </w:r>
      <w:r>
        <w:rPr>
          <w:spacing w:val="-9"/>
        </w:rPr>
        <w:t> </w:t>
      </w:r>
      <w:r>
        <w:rPr/>
        <w:t>European</w:t>
      </w:r>
      <w:r>
        <w:rPr>
          <w:spacing w:val="-8"/>
        </w:rPr>
        <w:t> </w:t>
      </w:r>
      <w:r>
        <w:rPr/>
        <w:t>structural</w:t>
      </w:r>
      <w:r>
        <w:rPr>
          <w:spacing w:val="-9"/>
        </w:rPr>
        <w:t> </w:t>
      </w:r>
      <w:r>
        <w:rPr/>
        <w:t>funds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used,</w:t>
      </w:r>
      <w:r>
        <w:rPr>
          <w:spacing w:val="1"/>
        </w:rPr>
        <w:t> </w:t>
      </w:r>
      <w:r>
        <w:rPr/>
        <w:t>legislation on the employment of higher education staff, and the demographic profile of the 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workforce.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interplay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engagement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stakeholders</w:t>
      </w:r>
      <w:r>
        <w:rPr>
          <w:spacing w:val="-3"/>
        </w:rPr>
        <w:t> </w:t>
      </w:r>
      <w:r>
        <w:rPr/>
        <w:t>thus</w:t>
      </w:r>
      <w:r>
        <w:rPr>
          <w:spacing w:val="-1"/>
        </w:rPr>
        <w:t> </w:t>
      </w:r>
      <w:r>
        <w:rPr/>
        <w:t>appears</w:t>
      </w:r>
      <w:r>
        <w:rPr>
          <w:spacing w:val="-3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support</w:t>
      </w:r>
      <w:r>
        <w:rPr>
          <w:spacing w:val="-1"/>
        </w:rPr>
        <w:t> </w:t>
      </w:r>
      <w:r>
        <w:rPr/>
        <w:t>reform</w:t>
      </w:r>
      <w:r>
        <w:rPr>
          <w:spacing w:val="1"/>
        </w:rPr>
        <w:t> </w:t>
      </w:r>
      <w:r>
        <w:rPr/>
        <w:t>success.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Another</w:t>
      </w:r>
      <w:r>
        <w:rPr>
          <w:spacing w:val="-7"/>
        </w:rPr>
        <w:t> </w:t>
      </w:r>
      <w:r>
        <w:rPr/>
        <w:t>example</w:t>
      </w:r>
      <w:r>
        <w:rPr>
          <w:spacing w:val="-10"/>
        </w:rPr>
        <w:t> </w:t>
      </w:r>
      <w:r>
        <w:rPr/>
        <w:t>relates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assurance</w:t>
      </w:r>
      <w:r>
        <w:rPr>
          <w:spacing w:val="-9"/>
        </w:rPr>
        <w:t> </w:t>
      </w:r>
      <w:r>
        <w:rPr/>
        <w:t>processes.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SAAHE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carrying</w:t>
      </w:r>
      <w:r>
        <w:rPr>
          <w:spacing w:val="-9"/>
        </w:rPr>
        <w:t> </w:t>
      </w:r>
      <w:r>
        <w:rPr/>
        <w:t>out</w:t>
      </w:r>
      <w:r>
        <w:rPr>
          <w:spacing w:val="-10"/>
        </w:rPr>
        <w:t> </w:t>
      </w:r>
      <w:r>
        <w:rPr/>
        <w:t>prominent</w:t>
      </w:r>
      <w:r>
        <w:rPr>
          <w:spacing w:val="-7"/>
        </w:rPr>
        <w:t> </w:t>
      </w:r>
      <w:r>
        <w:rPr/>
        <w:t>reforms</w:t>
      </w:r>
      <w:r>
        <w:rPr>
          <w:spacing w:val="-9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accreditation</w:t>
      </w:r>
      <w:r>
        <w:rPr>
          <w:spacing w:val="55"/>
        </w:rPr>
        <w:t> </w:t>
      </w:r>
      <w:r>
        <w:rPr/>
        <w:t>system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parallel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proposed</w:t>
      </w:r>
      <w:r>
        <w:rPr>
          <w:spacing w:val="55"/>
        </w:rPr>
        <w:t> </w:t>
      </w:r>
      <w:r>
        <w:rPr/>
        <w:t>legislative</w:t>
      </w:r>
      <w:r>
        <w:rPr>
          <w:spacing w:val="56"/>
        </w:rPr>
        <w:t> </w:t>
      </w:r>
      <w:r>
        <w:rPr/>
        <w:t>amendment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work</w:t>
      </w:r>
      <w:r>
        <w:rPr>
          <w:spacing w:val="56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Republic’s RRP. While the SAAHE and MoE recently issued a National Action Plan for External</w:t>
      </w:r>
      <w:r>
        <w:rPr>
          <w:spacing w:val="1"/>
        </w:rPr>
        <w:t> </w:t>
      </w:r>
      <w:r>
        <w:rPr/>
        <w:t>Quality Assurance of HEIs (see </w:t>
      </w:r>
      <w:hyperlink w:history="true" w:anchor="_bookmark37">
        <w:r>
          <w:rPr/>
          <w:t>Box 3.2</w:t>
        </w:r>
      </w:hyperlink>
      <w:r>
        <w:rPr/>
        <w:t>). that offers a good starting point for developing a more concrete</w:t>
      </w:r>
      <w:r>
        <w:rPr>
          <w:spacing w:val="-53"/>
        </w:rPr>
        <w:t> </w:t>
      </w:r>
      <w:r>
        <w:rPr>
          <w:spacing w:val="-1"/>
        </w:rPr>
        <w:t>understanding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quality,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yet</w:t>
      </w:r>
      <w:r>
        <w:rPr>
          <w:spacing w:val="-10"/>
        </w:rPr>
        <w:t> </w:t>
      </w:r>
      <w:r>
        <w:rPr/>
        <w:t>clear</w:t>
      </w:r>
      <w:r>
        <w:rPr>
          <w:spacing w:val="-7"/>
        </w:rPr>
        <w:t> </w:t>
      </w:r>
      <w:r>
        <w:rPr/>
        <w:t>how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effort</w:t>
      </w:r>
      <w:r>
        <w:rPr>
          <w:spacing w:val="-10"/>
        </w:rPr>
        <w:t> </w:t>
      </w:r>
      <w:r>
        <w:rPr/>
        <w:t>may</w:t>
      </w:r>
      <w:r>
        <w:rPr>
          <w:spacing w:val="-14"/>
        </w:rPr>
        <w:t> </w:t>
      </w:r>
      <w:r>
        <w:rPr/>
        <w:t>help</w:t>
      </w:r>
      <w:r>
        <w:rPr>
          <w:spacing w:val="-8"/>
        </w:rPr>
        <w:t> </w:t>
      </w:r>
      <w:r>
        <w:rPr/>
        <w:t>guide</w:t>
      </w:r>
      <w:r>
        <w:rPr>
          <w:spacing w:val="-7"/>
        </w:rPr>
        <w:t> </w:t>
      </w:r>
      <w:r>
        <w:rPr/>
        <w:t>broader</w:t>
      </w:r>
      <w:r>
        <w:rPr>
          <w:spacing w:val="-10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reforms</w:t>
      </w:r>
      <w:r>
        <w:rPr>
          <w:spacing w:val="1"/>
        </w:rPr>
        <w:t> </w:t>
      </w:r>
      <w:r>
        <w:rPr/>
        <w:t>and investments currently envisioned. Input from stakeholders interviewed by the OECD suggest that this</w:t>
      </w:r>
      <w:r>
        <w:rPr>
          <w:spacing w:val="-54"/>
        </w:rPr>
        <w:t> </w:t>
      </w:r>
      <w:r>
        <w:rPr/>
        <w:t>lack of connection between different reforms results from a lack of co-ordination and communication</w:t>
      </w:r>
      <w:r>
        <w:rPr>
          <w:spacing w:val="1"/>
        </w:rPr>
        <w:t> </w:t>
      </w:r>
      <w:r>
        <w:rPr/>
        <w:t>channels between (and within) the bodies responsible for the various reforms within government, and</w:t>
      </w:r>
      <w:r>
        <w:rPr>
          <w:spacing w:val="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these</w:t>
      </w:r>
      <w:r>
        <w:rPr>
          <w:spacing w:val="1"/>
        </w:rPr>
        <w:t> </w:t>
      </w:r>
      <w:r>
        <w:rPr/>
        <w:t>bodies and HEIs.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Furthermore,</w:t>
      </w:r>
      <w:r>
        <w:rPr>
          <w:spacing w:val="-7"/>
        </w:rPr>
        <w:t> </w:t>
      </w:r>
      <w:r>
        <w:rPr/>
        <w:t>despite</w:t>
      </w:r>
      <w:r>
        <w:rPr>
          <w:spacing w:val="-6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among</w:t>
      </w:r>
      <w:r>
        <w:rPr>
          <w:spacing w:val="-8"/>
        </w:rPr>
        <w:t> </w:t>
      </w:r>
      <w:r>
        <w:rPr/>
        <w:t>recent</w:t>
      </w:r>
      <w:r>
        <w:rPr>
          <w:spacing w:val="-3"/>
        </w:rPr>
        <w:t> </w:t>
      </w:r>
      <w:r>
        <w:rPr/>
        <w:t>governments</w:t>
      </w:r>
      <w:r>
        <w:rPr>
          <w:spacing w:val="-5"/>
        </w:rPr>
        <w:t> </w:t>
      </w:r>
      <w:r>
        <w:rPr/>
        <w:t>around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reform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education, there is insufficient continuity in reform efforts. This is due, in part, to frequent political shifts,</w:t>
      </w:r>
      <w:r>
        <w:rPr>
          <w:spacing w:val="1"/>
        </w:rPr>
        <w:t> </w:t>
      </w:r>
      <w:r>
        <w:rPr>
          <w:position w:val="1"/>
        </w:rPr>
        <w:t>leading</w:t>
      </w:r>
      <w:r>
        <w:rPr>
          <w:spacing w:val="-6"/>
          <w:position w:val="1"/>
        </w:rPr>
        <w:t> </w:t>
      </w:r>
      <w:r>
        <w:rPr>
          <w:position w:val="1"/>
        </w:rPr>
        <w:t>to</w:t>
      </w:r>
      <w:r>
        <w:rPr>
          <w:spacing w:val="-6"/>
          <w:position w:val="1"/>
        </w:rPr>
        <w:t> </w:t>
      </w:r>
      <w:r>
        <w:rPr>
          <w:position w:val="1"/>
        </w:rPr>
        <w:t>difficulties</w:t>
      </w:r>
      <w:r>
        <w:rPr>
          <w:spacing w:val="-5"/>
          <w:position w:val="1"/>
        </w:rPr>
        <w:t> </w:t>
      </w:r>
      <w:r>
        <w:rPr>
          <w:position w:val="1"/>
        </w:rPr>
        <w:t>in</w:t>
      </w:r>
      <w:r>
        <w:rPr>
          <w:spacing w:val="-6"/>
          <w:position w:val="1"/>
        </w:rPr>
        <w:t> </w:t>
      </w:r>
      <w:r>
        <w:rPr>
          <w:position w:val="1"/>
        </w:rPr>
        <w:t>achieving</w:t>
      </w:r>
      <w:r>
        <w:rPr>
          <w:spacing w:val="-7"/>
          <w:position w:val="1"/>
        </w:rPr>
        <w:t> </w:t>
      </w:r>
      <w:r>
        <w:rPr>
          <w:position w:val="1"/>
        </w:rPr>
        <w:t>objectives</w:t>
      </w:r>
      <w:r>
        <w:rPr>
          <w:spacing w:val="-4"/>
          <w:position w:val="1"/>
        </w:rPr>
        <w:t> </w:t>
      </w:r>
      <w:r>
        <w:rPr>
          <w:position w:val="1"/>
        </w:rPr>
        <w:t>described</w:t>
      </w:r>
      <w:r>
        <w:rPr>
          <w:spacing w:val="-7"/>
          <w:position w:val="1"/>
        </w:rPr>
        <w:t> </w:t>
      </w:r>
      <w:r>
        <w:rPr>
          <w:position w:val="1"/>
        </w:rPr>
        <w:t>in</w:t>
      </w:r>
      <w:r>
        <w:rPr>
          <w:spacing w:val="-6"/>
          <w:position w:val="1"/>
        </w:rPr>
        <w:t> </w:t>
      </w:r>
      <w:r>
        <w:rPr>
          <w:position w:val="1"/>
        </w:rPr>
        <w:t>planning</w:t>
      </w:r>
      <w:r>
        <w:rPr>
          <w:spacing w:val="-5"/>
          <w:position w:val="1"/>
        </w:rPr>
        <w:t> </w:t>
      </w:r>
      <w:r>
        <w:rPr>
          <w:position w:val="1"/>
        </w:rPr>
        <w:t>documents</w:t>
      </w:r>
      <w:r>
        <w:rPr>
          <w:spacing w:val="2"/>
          <w:position w:val="1"/>
        </w:rPr>
        <w:t> </w:t>
      </w:r>
      <w:r>
        <w:rPr>
          <w:position w:val="1"/>
        </w:rPr>
        <w:t>(OECD,</w:t>
      </w:r>
      <w:r>
        <w:rPr>
          <w:spacing w:val="-6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[4]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According</w:t>
      </w:r>
      <w:r>
        <w:rPr>
          <w:spacing w:val="1"/>
          <w:position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co-operation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indicators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stronger</w:t>
      </w:r>
      <w:r>
        <w:rPr>
          <w:spacing w:val="11"/>
        </w:rPr>
        <w:t> </w:t>
      </w:r>
      <w:r>
        <w:rPr/>
        <w:t>evidence</w:t>
      </w:r>
      <w:r>
        <w:rPr>
          <w:spacing w:val="10"/>
        </w:rPr>
        <w:t> </w:t>
      </w:r>
      <w:r>
        <w:rPr/>
        <w:t>base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measure</w:t>
      </w:r>
      <w:r>
        <w:rPr>
          <w:spacing w:val="10"/>
        </w:rPr>
        <w:t> </w:t>
      </w:r>
      <w:r>
        <w:rPr/>
        <w:t>progress,</w:t>
      </w:r>
      <w:r>
        <w:rPr>
          <w:spacing w:val="10"/>
        </w:rPr>
        <w:t> </w:t>
      </w:r>
      <w:r>
        <w:rPr/>
        <w:t>could</w:t>
      </w:r>
      <w:r>
        <w:rPr>
          <w:spacing w:val="10"/>
        </w:rPr>
        <w:t> </w:t>
      </w:r>
      <w:r>
        <w:rPr/>
        <w:t>substantially</w:t>
      </w:r>
      <w:r>
        <w:rPr>
          <w:spacing w:val="8"/>
        </w:rPr>
        <w:t> </w:t>
      </w:r>
      <w:r>
        <w:rPr/>
        <w:t>improve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14"/>
        <w:jc w:val="both"/>
      </w:pPr>
      <w:r>
        <w:rPr/>
        <w:t>the identification of common objectives and priorities. In turn, common objectives and priorities, when set</w:t>
      </w:r>
      <w:r>
        <w:rPr>
          <w:spacing w:val="-5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medium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long</w:t>
      </w:r>
      <w:r>
        <w:rPr>
          <w:spacing w:val="1"/>
        </w:rPr>
        <w:t> </w:t>
      </w:r>
      <w:r>
        <w:rPr/>
        <w:t>term,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help improve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continuity</w:t>
      </w:r>
      <w:r>
        <w:rPr>
          <w:spacing w:val="-3"/>
        </w:rPr>
        <w:t> </w:t>
      </w:r>
      <w:r>
        <w:rPr/>
        <w:t>of reform</w:t>
      </w:r>
      <w:r>
        <w:rPr>
          <w:spacing w:val="3"/>
        </w:rPr>
        <w:t> </w:t>
      </w:r>
      <w:r>
        <w:rPr/>
        <w:t>efforts.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</w:pPr>
      <w:bookmarkStart w:name="Relevant international experience" w:id="100"/>
      <w:bookmarkEnd w:id="100"/>
      <w:r>
        <w:rPr>
          <w:b w:val="0"/>
          <w:i w:val="0"/>
        </w:rPr>
      </w:r>
      <w:r>
        <w:rPr/>
        <w:t>Relevant</w:t>
      </w:r>
      <w:r>
        <w:rPr>
          <w:spacing w:val="-9"/>
        </w:rPr>
        <w:t> </w:t>
      </w:r>
      <w:r>
        <w:rPr/>
        <w:t>international</w:t>
      </w:r>
      <w:r>
        <w:rPr>
          <w:spacing w:val="-10"/>
        </w:rPr>
        <w:t> </w:t>
      </w:r>
      <w:r>
        <w:rPr/>
        <w:t>experience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8"/>
        <w:jc w:val="both"/>
      </w:pPr>
      <w:r>
        <w:rPr/>
        <w:t>International approaches to developing and implementing comprehensive higher education reforms vary</w:t>
      </w:r>
      <w:r>
        <w:rPr>
          <w:spacing w:val="1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array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factors.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include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legal</w:t>
      </w:r>
      <w:r>
        <w:rPr>
          <w:spacing w:val="-11"/>
        </w:rPr>
        <w:t> </w:t>
      </w:r>
      <w:r>
        <w:rPr/>
        <w:t>underpinnings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historical</w:t>
      </w:r>
      <w:r>
        <w:rPr>
          <w:spacing w:val="-10"/>
        </w:rPr>
        <w:t> </w:t>
      </w:r>
      <w:r>
        <w:rPr/>
        <w:t>developments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have</w:t>
      </w:r>
      <w:r>
        <w:rPr>
          <w:spacing w:val="-53"/>
        </w:rPr>
        <w:t> </w:t>
      </w:r>
      <w:r>
        <w:rPr/>
        <w:t>shaped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operates,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autonomous HEIs work together. Another important factor is the extent to which data is collected and</w:t>
      </w:r>
      <w:r>
        <w:rPr>
          <w:spacing w:val="1"/>
        </w:rPr>
        <w:t> </w:t>
      </w:r>
      <w:r>
        <w:rPr/>
        <w:t>disseminated to create an agreed-upon evidence base on which government and higher education</w:t>
      </w:r>
      <w:r>
        <w:rPr>
          <w:spacing w:val="1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rely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targets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monitor</w:t>
      </w:r>
      <w:r>
        <w:rPr>
          <w:spacing w:val="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improvement.</w:t>
      </w:r>
    </w:p>
    <w:p>
      <w:pPr>
        <w:pStyle w:val="BodyText"/>
        <w:spacing w:line="271" w:lineRule="auto" w:before="121"/>
        <w:ind w:left="183" w:right="305"/>
        <w:jc w:val="both"/>
      </w:pPr>
      <w:r>
        <w:rPr/>
        <w:t>Latvia provides an example of a government-driven, long-term education strategy associated with clear</w:t>
      </w:r>
      <w:r>
        <w:rPr>
          <w:spacing w:val="1"/>
        </w:rPr>
        <w:t> </w:t>
      </w:r>
      <w:r>
        <w:rPr/>
        <w:t>indicators of performance. Norway provides an example of how stakeholder engagement is embedded in</w:t>
      </w:r>
      <w:r>
        <w:rPr>
          <w:spacing w:val="-53"/>
        </w:rPr>
        <w:t> </w:t>
      </w:r>
      <w:r>
        <w:rPr/>
        <w:t>policy making, shaping both the direction of</w:t>
      </w:r>
      <w:r>
        <w:rPr>
          <w:spacing w:val="55"/>
        </w:rPr>
        <w:t> </w:t>
      </w:r>
      <w:r>
        <w:rPr/>
        <w:t>policy and the monitoring of</w:t>
      </w:r>
      <w:r>
        <w:rPr>
          <w:spacing w:val="56"/>
        </w:rPr>
        <w:t> </w:t>
      </w:r>
      <w:r>
        <w:rPr/>
        <w:t>implementation. England</w:t>
      </w:r>
      <w:r>
        <w:rPr>
          <w:spacing w:val="1"/>
        </w:rPr>
        <w:t> </w:t>
      </w:r>
      <w:r>
        <w:rPr/>
        <w:t>(United Kingdom) provides an example of a system with a well-developed approach to conceptualising</w:t>
      </w:r>
      <w:r>
        <w:rPr>
          <w:spacing w:val="1"/>
        </w:rPr>
        <w:t> </w:t>
      </w:r>
      <w:r>
        <w:rPr/>
        <w:t>quality</w:t>
      </w:r>
      <w:r>
        <w:rPr>
          <w:spacing w:val="-7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identifying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measure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reward</w:t>
      </w:r>
      <w:r>
        <w:rPr>
          <w:spacing w:val="-3"/>
        </w:rPr>
        <w:t> </w:t>
      </w:r>
      <w:r>
        <w:rPr/>
        <w:t>progress</w:t>
      </w:r>
      <w:r>
        <w:rPr>
          <w:spacing w:val="-3"/>
        </w:rPr>
        <w:t> </w:t>
      </w:r>
      <w:r>
        <w:rPr/>
        <w:t>made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highly</w:t>
      </w:r>
      <w:r>
        <w:rPr>
          <w:spacing w:val="-7"/>
        </w:rPr>
        <w:t> </w:t>
      </w:r>
      <w:r>
        <w:rPr/>
        <w:t>autonomous</w:t>
      </w:r>
      <w:r>
        <w:rPr>
          <w:spacing w:val="-2"/>
        </w:rPr>
        <w:t> </w:t>
      </w:r>
      <w:r>
        <w:rPr/>
        <w:t>HEIs.</w:t>
      </w:r>
    </w:p>
    <w:p>
      <w:pPr>
        <w:pStyle w:val="BodyText"/>
      </w:pPr>
    </w:p>
    <w:p>
      <w:pPr>
        <w:pStyle w:val="Heading7"/>
      </w:pPr>
      <w:bookmarkStart w:name="Latvia: An example of comprehensive stra" w:id="101"/>
      <w:bookmarkEnd w:id="101"/>
      <w:r>
        <w:rPr>
          <w:i w:val="0"/>
        </w:rPr>
      </w:r>
      <w:r>
        <w:rPr>
          <w:color w:val="616161"/>
        </w:rPr>
        <w:t>Latvia:</w:t>
      </w:r>
      <w:r>
        <w:rPr>
          <w:color w:val="616161"/>
          <w:spacing w:val="-3"/>
        </w:rPr>
        <w:t> </w:t>
      </w:r>
      <w:r>
        <w:rPr>
          <w:color w:val="616161"/>
        </w:rPr>
        <w:t>An</w:t>
      </w:r>
      <w:r>
        <w:rPr>
          <w:color w:val="616161"/>
          <w:spacing w:val="-6"/>
        </w:rPr>
        <w:t> </w:t>
      </w:r>
      <w:r>
        <w:rPr>
          <w:color w:val="616161"/>
        </w:rPr>
        <w:t>example</w:t>
      </w:r>
      <w:r>
        <w:rPr>
          <w:color w:val="616161"/>
          <w:spacing w:val="-5"/>
        </w:rPr>
        <w:t> </w:t>
      </w:r>
      <w:r>
        <w:rPr>
          <w:color w:val="616161"/>
        </w:rPr>
        <w:t>of</w:t>
      </w:r>
      <w:r>
        <w:rPr>
          <w:color w:val="616161"/>
          <w:spacing w:val="-3"/>
        </w:rPr>
        <w:t> </w:t>
      </w:r>
      <w:r>
        <w:rPr>
          <w:color w:val="616161"/>
        </w:rPr>
        <w:t>comprehensive</w:t>
      </w:r>
      <w:r>
        <w:rPr>
          <w:color w:val="616161"/>
          <w:spacing w:val="-6"/>
        </w:rPr>
        <w:t> </w:t>
      </w:r>
      <w:r>
        <w:rPr>
          <w:color w:val="616161"/>
        </w:rPr>
        <w:t>strategy</w:t>
      </w:r>
      <w:r>
        <w:rPr>
          <w:color w:val="616161"/>
          <w:spacing w:val="-4"/>
        </w:rPr>
        <w:t> </w:t>
      </w:r>
      <w:r>
        <w:rPr>
          <w:color w:val="616161"/>
        </w:rPr>
        <w:t>development</w:t>
      </w:r>
    </w:p>
    <w:p>
      <w:pPr>
        <w:pStyle w:val="BodyText"/>
        <w:spacing w:line="271" w:lineRule="auto" w:before="215"/>
        <w:ind w:left="183" w:right="302"/>
        <w:jc w:val="both"/>
      </w:pPr>
      <w:r>
        <w:rPr>
          <w:rFonts w:ascii="Arial" w:hAnsi="Arial"/>
          <w:b/>
        </w:rPr>
        <w:t>Latvia’s Education Development Guidelines </w:t>
      </w:r>
      <w:r>
        <w:rPr/>
        <w:t>are a six-year mid-term strategy for education, which</w:t>
      </w:r>
      <w:r>
        <w:rPr>
          <w:spacing w:val="1"/>
        </w:rPr>
        <w:t> </w:t>
      </w:r>
      <w:r>
        <w:rPr>
          <w:spacing w:val="-1"/>
        </w:rPr>
        <w:t>ensure</w:t>
      </w:r>
      <w:r>
        <w:rPr>
          <w:spacing w:val="-8"/>
        </w:rPr>
        <w:t> </w:t>
      </w:r>
      <w:r>
        <w:rPr>
          <w:spacing w:val="-1"/>
        </w:rPr>
        <w:t>alignment,</w:t>
      </w:r>
      <w:r>
        <w:rPr>
          <w:spacing w:val="-11"/>
        </w:rPr>
        <w:t> </w:t>
      </w:r>
      <w:r>
        <w:rPr>
          <w:spacing w:val="-1"/>
        </w:rPr>
        <w:t>co-ordination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continuity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Latvia’s</w:t>
      </w:r>
      <w:r>
        <w:rPr>
          <w:spacing w:val="-9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policy</w:t>
      </w:r>
      <w:r>
        <w:rPr>
          <w:spacing w:val="-14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2014-20</w:t>
      </w:r>
      <w:r>
        <w:rPr>
          <w:spacing w:val="-9"/>
        </w:rPr>
        <w:t> </w:t>
      </w:r>
      <w:r>
        <w:rPr/>
        <w:t>planning</w:t>
      </w:r>
      <w:r>
        <w:rPr>
          <w:spacing w:val="-9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The guidelines define clear principles, goals, responsibilities and lines of action of education policy for all</w:t>
      </w:r>
      <w:r>
        <w:rPr>
          <w:spacing w:val="1"/>
        </w:rPr>
        <w:t> </w:t>
      </w:r>
      <w:r>
        <w:rPr/>
        <w:t>types and levels of education, coupled with indicators to monitor progress towards set goals. The main</w:t>
      </w:r>
      <w:r>
        <w:rPr>
          <w:spacing w:val="1"/>
        </w:rPr>
        <w:t> </w:t>
      </w:r>
      <w:r>
        <w:rPr>
          <w:spacing w:val="-1"/>
        </w:rPr>
        <w:t>purpose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guidelines,</w:t>
      </w:r>
      <w:r>
        <w:rPr>
          <w:spacing w:val="-8"/>
        </w:rPr>
        <w:t> </w:t>
      </w:r>
      <w:r>
        <w:rPr/>
        <w:t>adopted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2014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Parliament</w:t>
      </w:r>
      <w:r>
        <w:rPr>
          <w:spacing w:val="-8"/>
        </w:rPr>
        <w:t> </w:t>
      </w:r>
      <w:r>
        <w:rPr/>
        <w:t>(</w:t>
      </w:r>
      <w:r>
        <w:rPr>
          <w:rFonts w:ascii="Arial" w:hAnsi="Arial"/>
          <w:i/>
        </w:rPr>
        <w:t>Saeima</w:t>
      </w:r>
      <w:r>
        <w:rPr/>
        <w:t>),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achieve</w:t>
      </w:r>
      <w:r>
        <w:rPr>
          <w:spacing w:val="-8"/>
        </w:rPr>
        <w:t> </w:t>
      </w:r>
      <w:r>
        <w:rPr/>
        <w:t>high-quality</w:t>
      </w:r>
      <w:r>
        <w:rPr>
          <w:spacing w:val="-1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human welfare</w:t>
      </w:r>
      <w:r>
        <w:rPr>
          <w:spacing w:val="1"/>
        </w:rPr>
        <w:t> </w:t>
      </w:r>
      <w:r>
        <w:rPr/>
        <w:t>and sustainable national growth. Through the</w:t>
      </w:r>
      <w:r>
        <w:rPr>
          <w:spacing w:val="1"/>
        </w:rPr>
        <w:t> </w:t>
      </w:r>
      <w:r>
        <w:rPr/>
        <w:t>guidelines, the government aims to encourage actors of the education system to move toward national</w:t>
      </w:r>
      <w:r>
        <w:rPr>
          <w:spacing w:val="1"/>
        </w:rPr>
        <w:t> </w:t>
      </w:r>
      <w:r>
        <w:rPr>
          <w:position w:val="1"/>
        </w:rPr>
        <w:t>goals</w:t>
      </w:r>
      <w:r>
        <w:rPr>
          <w:spacing w:val="-1"/>
          <w:position w:val="1"/>
        </w:rPr>
        <w:t> </w:t>
      </w:r>
      <w:r>
        <w:rPr>
          <w:position w:val="1"/>
        </w:rPr>
        <w:t>and foster</w:t>
      </w:r>
      <w:r>
        <w:rPr>
          <w:spacing w:val="-2"/>
          <w:position w:val="1"/>
        </w:rPr>
        <w:t> </w:t>
      </w:r>
      <w:r>
        <w:rPr>
          <w:position w:val="1"/>
        </w:rPr>
        <w:t>a</w:t>
      </w:r>
      <w:r>
        <w:rPr>
          <w:spacing w:val="-2"/>
          <w:position w:val="1"/>
        </w:rPr>
        <w:t> </w:t>
      </w:r>
      <w:r>
        <w:rPr>
          <w:position w:val="1"/>
        </w:rPr>
        <w:t>strategic</w:t>
      </w:r>
      <w:r>
        <w:rPr>
          <w:spacing w:val="3"/>
          <w:position w:val="1"/>
        </w:rPr>
        <w:t> </w:t>
      </w:r>
      <w:r>
        <w:rPr>
          <w:position w:val="1"/>
        </w:rPr>
        <w:t>use</w:t>
      </w:r>
      <w:r>
        <w:rPr>
          <w:spacing w:val="-2"/>
          <w:position w:val="1"/>
        </w:rPr>
        <w:t> </w:t>
      </w:r>
      <w:r>
        <w:rPr>
          <w:position w:val="1"/>
        </w:rPr>
        <w:t>of resources</w:t>
      </w:r>
      <w:r>
        <w:rPr>
          <w:spacing w:val="3"/>
          <w:position w:val="1"/>
        </w:rPr>
        <w:t> </w:t>
      </w:r>
      <w:r>
        <w:rPr>
          <w:position w:val="1"/>
        </w:rPr>
        <w:t>(Government</w:t>
      </w:r>
      <w:r>
        <w:rPr>
          <w:spacing w:val="-2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Latvia,</w:t>
      </w:r>
      <w:r>
        <w:rPr>
          <w:spacing w:val="-2"/>
          <w:position w:val="1"/>
        </w:rPr>
        <w:t> </w:t>
      </w:r>
      <w:r>
        <w:rPr>
          <w:position w:val="1"/>
        </w:rPr>
        <w:t>2014</w:t>
      </w:r>
      <w:r>
        <w:rPr>
          <w:sz w:val="13"/>
        </w:rPr>
        <w:t>[14]</w:t>
      </w:r>
      <w:r>
        <w:rPr>
          <w:position w:val="1"/>
        </w:rPr>
        <w:t>).</w:t>
      </w:r>
    </w:p>
    <w:p>
      <w:pPr>
        <w:pStyle w:val="BodyText"/>
        <w:spacing w:line="271" w:lineRule="auto" w:before="124"/>
        <w:ind w:left="183" w:right="302"/>
        <w:jc w:val="both"/>
      </w:pPr>
      <w:r>
        <w:rPr/>
        <w:t>Latvia’s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education policy with broader national objectives. The government planning framework includes Latvia’s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Sustainable Development</w:t>
      </w:r>
      <w:r>
        <w:rPr>
          <w:spacing w:val="1"/>
        </w:rPr>
        <w:t> </w:t>
      </w:r>
      <w:r>
        <w:rPr/>
        <w:t>Strategy for</w:t>
      </w:r>
      <w:r>
        <w:rPr>
          <w:spacing w:val="1"/>
        </w:rPr>
        <w:t> </w:t>
      </w:r>
      <w:r>
        <w:rPr/>
        <w:t>2030 (Latvia 2030),</w:t>
      </w:r>
      <w:r>
        <w:rPr>
          <w:spacing w:val="1"/>
        </w:rPr>
        <w:t> </w:t>
      </w:r>
      <w:r>
        <w:rPr/>
        <w:t>which defines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economic development directions, the National Development Plan for Latvia 2014-20, which sets the</w:t>
      </w:r>
      <w:r>
        <w:rPr>
          <w:spacing w:val="1"/>
        </w:rPr>
        <w:t> </w:t>
      </w:r>
      <w:r>
        <w:rPr/>
        <w:t>medium-term</w:t>
      </w:r>
      <w:r>
        <w:rPr>
          <w:spacing w:val="-5"/>
        </w:rPr>
        <w:t> </w:t>
      </w:r>
      <w:r>
        <w:rPr/>
        <w:t>strategy,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sectoral</w:t>
      </w:r>
      <w:r>
        <w:rPr>
          <w:spacing w:val="-7"/>
        </w:rPr>
        <w:t> </w:t>
      </w:r>
      <w:r>
        <w:rPr/>
        <w:t>planning</w:t>
      </w:r>
      <w:r>
        <w:rPr>
          <w:spacing w:val="-9"/>
        </w:rPr>
        <w:t> </w:t>
      </w:r>
      <w:r>
        <w:rPr/>
        <w:t>documents,</w:t>
      </w:r>
      <w:r>
        <w:rPr>
          <w:spacing w:val="-9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Guidelines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Science,</w:t>
      </w:r>
      <w:r>
        <w:rPr>
          <w:spacing w:val="1"/>
        </w:rPr>
        <w:t> </w:t>
      </w:r>
      <w:r>
        <w:rPr>
          <w:position w:val="1"/>
        </w:rPr>
        <w:t>Technology</w:t>
      </w:r>
      <w:r>
        <w:rPr>
          <w:spacing w:val="-5"/>
          <w:position w:val="1"/>
        </w:rPr>
        <w:t> </w:t>
      </w:r>
      <w:r>
        <w:rPr>
          <w:position w:val="1"/>
        </w:rPr>
        <w:t>Development</w:t>
      </w:r>
      <w:r>
        <w:rPr>
          <w:spacing w:val="-1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Innovation</w:t>
      </w:r>
      <w:r>
        <w:rPr>
          <w:spacing w:val="4"/>
          <w:position w:val="1"/>
        </w:rPr>
        <w:t> </w:t>
      </w:r>
      <w:r>
        <w:rPr>
          <w:position w:val="1"/>
        </w:rPr>
        <w:t>(OECD,</w:t>
      </w:r>
      <w:r>
        <w:rPr>
          <w:spacing w:val="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[15]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5"/>
        <w:jc w:val="both"/>
      </w:pPr>
      <w:r>
        <w:rPr/>
        <w:t>The guidelines describe several education policy goals, such as developing educational infrastructure or</w:t>
      </w:r>
      <w:r>
        <w:rPr>
          <w:spacing w:val="1"/>
        </w:rPr>
        <w:t> </w:t>
      </w:r>
      <w:r>
        <w:rPr/>
        <w:t>improving efficiency of resources management through resource consolidation (Government of Latvia,</w:t>
      </w:r>
      <w:r>
        <w:rPr>
          <w:spacing w:val="1"/>
        </w:rPr>
        <w:t> </w:t>
      </w:r>
      <w:r>
        <w:rPr>
          <w:position w:val="1"/>
        </w:rPr>
        <w:t>2014</w:t>
      </w:r>
      <w:r>
        <w:rPr>
          <w:sz w:val="13"/>
        </w:rPr>
        <w:t>[14]</w:t>
      </w:r>
      <w:r>
        <w:rPr>
          <w:position w:val="1"/>
        </w:rPr>
        <w:t>). For each of the policy goals, lines of actions are defined with detailed activities, timelines,</w:t>
      </w:r>
      <w:r>
        <w:rPr>
          <w:spacing w:val="1"/>
          <w:position w:val="1"/>
        </w:rPr>
        <w:t> </w:t>
      </w:r>
      <w:r>
        <w:rPr/>
        <w:t>responsible bodies, outputs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(KPIs).</w:t>
      </w:r>
    </w:p>
    <w:p>
      <w:pPr>
        <w:pStyle w:val="BodyText"/>
        <w:spacing w:line="271" w:lineRule="auto" w:before="120"/>
        <w:ind w:left="183" w:right="297"/>
        <w:jc w:val="both"/>
      </w:pPr>
      <w:r>
        <w:rPr/>
        <w:t>For example, the line of action “international competitiveness” includes 10 activities, 6 policy outputs and</w:t>
      </w:r>
      <w:r>
        <w:rPr>
          <w:spacing w:val="1"/>
        </w:rPr>
        <w:t> </w:t>
      </w:r>
      <w:r>
        <w:rPr/>
        <w:t>12 KPIs. As part of this line of action, the activity “Support measures for international mobility and cross-</w:t>
      </w:r>
      <w:r>
        <w:rPr>
          <w:spacing w:val="1"/>
        </w:rPr>
        <w:t> </w:t>
      </w:r>
      <w:r>
        <w:rPr/>
        <w:t>border co-operation” is under the responsibility of the Ministry of Education and the National Centre for</w:t>
      </w:r>
      <w:r>
        <w:rPr>
          <w:spacing w:val="1"/>
        </w:rPr>
        <w:t> </w:t>
      </w:r>
      <w:r>
        <w:rPr/>
        <w:t>Education, with participation from members of industry, HEIs, social partners and the State Education</w:t>
      </w:r>
      <w:r>
        <w:rPr>
          <w:spacing w:val="1"/>
        </w:rPr>
        <w:t> </w:t>
      </w:r>
      <w:r>
        <w:rPr/>
        <w:t>Development Agency. This activity is to be developed by the second half of 2020, and falls within the</w:t>
      </w:r>
      <w:r>
        <w:rPr>
          <w:spacing w:val="1"/>
        </w:rPr>
        <w:t> </w:t>
      </w:r>
      <w:r>
        <w:rPr/>
        <w:t>funding of the EU Erasmus+ programme. For this activity, KPIs include the number and share of students</w:t>
      </w:r>
      <w:r>
        <w:rPr>
          <w:spacing w:val="-53"/>
        </w:rPr>
        <w:t> </w:t>
      </w:r>
      <w:r>
        <w:rPr/>
        <w:t>enrolled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mobility</w:t>
      </w:r>
      <w:r>
        <w:rPr>
          <w:spacing w:val="-11"/>
        </w:rPr>
        <w:t> </w:t>
      </w:r>
      <w:r>
        <w:rPr/>
        <w:t>or</w:t>
      </w:r>
      <w:r>
        <w:rPr>
          <w:spacing w:val="-6"/>
        </w:rPr>
        <w:t> </w:t>
      </w:r>
      <w:r>
        <w:rPr/>
        <w:t>exchange</w:t>
      </w:r>
      <w:r>
        <w:rPr>
          <w:spacing w:val="-8"/>
        </w:rPr>
        <w:t> </w:t>
      </w:r>
      <w:r>
        <w:rPr/>
        <w:t>programme.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interim</w:t>
      </w:r>
      <w:r>
        <w:rPr>
          <w:spacing w:val="-3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showed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Latvia</w:t>
      </w:r>
      <w:r>
        <w:rPr>
          <w:spacing w:val="-5"/>
        </w:rPr>
        <w:t> </w:t>
      </w:r>
      <w:r>
        <w:rPr/>
        <w:t>outperformed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2017</w:t>
      </w:r>
      <w:r>
        <w:rPr>
          <w:spacing w:val="-6"/>
        </w:rPr>
        <w:t> </w:t>
      </w:r>
      <w:r>
        <w:rPr/>
        <w:t>target</w:t>
      </w:r>
      <w:r>
        <w:rPr>
          <w:spacing w:val="-8"/>
        </w:rPr>
        <w:t> </w:t>
      </w:r>
      <w:r>
        <w:rPr/>
        <w:t>set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8"/>
        </w:rPr>
        <w:t> </w:t>
      </w:r>
      <w:r>
        <w:rPr/>
        <w:t>indicators</w:t>
      </w:r>
      <w:r>
        <w:rPr>
          <w:spacing w:val="-6"/>
        </w:rPr>
        <w:t> </w:t>
      </w:r>
      <w:r>
        <w:rPr/>
        <w:t>(2</w:t>
      </w:r>
      <w:r>
        <w:rPr>
          <w:spacing w:val="1"/>
        </w:rPr>
        <w:t> </w:t>
      </w:r>
      <w:r>
        <w:rPr/>
        <w:t>156</w:t>
      </w:r>
      <w:r>
        <w:rPr>
          <w:spacing w:val="-3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target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1 960)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under-performed</w:t>
      </w:r>
      <w:r>
        <w:rPr>
          <w:spacing w:val="-53"/>
        </w:rPr>
        <w:t> </w:t>
      </w:r>
      <w:r>
        <w:rPr/>
        <w:t>on the second indicator (8% of graduates compared to a 15% target) (Latvian Ministry of Education and</w:t>
      </w:r>
      <w:r>
        <w:rPr>
          <w:spacing w:val="1"/>
        </w:rPr>
        <w:t> </w:t>
      </w:r>
      <w:r>
        <w:rPr>
          <w:position w:val="1"/>
        </w:rPr>
        <w:t>Science, 2019</w:t>
      </w:r>
      <w:r>
        <w:rPr>
          <w:sz w:val="13"/>
        </w:rPr>
        <w:t>[16]</w:t>
      </w:r>
      <w:r>
        <w:rPr>
          <w:position w:val="1"/>
        </w:rPr>
        <w:t>). In addition to the interim evaluation, a final impact assessment to be issued in 2021 by</w:t>
      </w:r>
      <w:r>
        <w:rPr>
          <w:spacing w:val="-53"/>
          <w:position w:val="1"/>
        </w:rPr>
        <w:t> </w:t>
      </w:r>
      <w:r>
        <w:rPr/>
        <w:t>the Ministry of Education and Science will further help identify specific areas for improvement and shed</w:t>
      </w:r>
      <w:r>
        <w:rPr>
          <w:spacing w:val="1"/>
        </w:rPr>
        <w:t> </w:t>
      </w:r>
      <w:r>
        <w:rPr/>
        <w:t>light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lacking</w:t>
      </w:r>
      <w:r>
        <w:rPr>
          <w:spacing w:val="-3"/>
        </w:rPr>
        <w:t> </w:t>
      </w:r>
      <w:r>
        <w:rPr/>
        <w:t>but</w:t>
      </w:r>
      <w:r>
        <w:rPr>
          <w:spacing w:val="1"/>
        </w:rPr>
        <w:t> </w:t>
      </w:r>
      <w:r>
        <w:rPr/>
        <w:t>needed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progress.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0"/>
        <w:jc w:val="both"/>
      </w:pPr>
      <w:r>
        <w:rPr/>
        <w:t>Regular assessments of the guidelines serve as a basis to revise the policy objectives and indicators</w:t>
      </w:r>
      <w:r>
        <w:rPr>
          <w:spacing w:val="1"/>
        </w:rPr>
        <w:t> </w:t>
      </w:r>
      <w:r>
        <w:rPr/>
        <w:t>chosen.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2014-17</w:t>
      </w:r>
      <w:r>
        <w:rPr>
          <w:spacing w:val="-13"/>
        </w:rPr>
        <w:t> </w:t>
      </w:r>
      <w:r>
        <w:rPr/>
        <w:t>Guidelines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not</w:t>
      </w:r>
      <w:r>
        <w:rPr>
          <w:spacing w:val="-10"/>
        </w:rPr>
        <w:t> </w:t>
      </w:r>
      <w:r>
        <w:rPr/>
        <w:t>optimal</w:t>
      </w:r>
      <w:r>
        <w:rPr>
          <w:spacing w:val="-9"/>
        </w:rPr>
        <w:t> </w:t>
      </w:r>
      <w:r>
        <w:rPr/>
        <w:t>–</w:t>
      </w:r>
      <w:r>
        <w:rPr>
          <w:spacing w:val="-5"/>
        </w:rPr>
        <w:t> </w:t>
      </w:r>
      <w:r>
        <w:rPr/>
        <w:t>mainly</w:t>
      </w:r>
      <w:r>
        <w:rPr>
          <w:spacing w:val="-12"/>
        </w:rPr>
        <w:t> </w:t>
      </w:r>
      <w:r>
        <w:rPr/>
        <w:t>because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governance</w:t>
      </w:r>
      <w:r>
        <w:rPr>
          <w:spacing w:val="-9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diluting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responsibilities –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informed a new model for engaging stakeholders and defining their roles and responsibilities, established</w:t>
      </w:r>
      <w:r>
        <w:rPr>
          <w:spacing w:val="-53"/>
        </w:rPr>
        <w:t> </w:t>
      </w:r>
      <w:r>
        <w:rPr>
          <w:position w:val="1"/>
        </w:rPr>
        <w:t>in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2021-27</w:t>
      </w:r>
      <w:r>
        <w:rPr>
          <w:spacing w:val="-2"/>
          <w:position w:val="1"/>
        </w:rPr>
        <w:t> </w:t>
      </w:r>
      <w:r>
        <w:rPr>
          <w:position w:val="1"/>
        </w:rPr>
        <w:t>Guidelines</w:t>
      </w:r>
      <w:r>
        <w:rPr>
          <w:spacing w:val="1"/>
          <w:position w:val="1"/>
        </w:rPr>
        <w:t> </w:t>
      </w:r>
      <w:r>
        <w:rPr>
          <w:position w:val="1"/>
        </w:rPr>
        <w:t>(OECD,</w:t>
      </w:r>
      <w:r>
        <w:rPr>
          <w:spacing w:val="-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[15]</w:t>
      </w:r>
      <w:r>
        <w:rPr>
          <w:position w:val="1"/>
        </w:rPr>
        <w:t>).</w:t>
      </w:r>
    </w:p>
    <w:p>
      <w:pPr>
        <w:pStyle w:val="BodyText"/>
        <w:spacing w:before="1"/>
      </w:pPr>
    </w:p>
    <w:p>
      <w:pPr>
        <w:pStyle w:val="Heading7"/>
      </w:pPr>
      <w:bookmarkStart w:name="Norway: Providing a structure for stakeh" w:id="102"/>
      <w:bookmarkEnd w:id="102"/>
      <w:r>
        <w:rPr>
          <w:i w:val="0"/>
        </w:rPr>
      </w:r>
      <w:r>
        <w:rPr>
          <w:color w:val="616161"/>
        </w:rPr>
        <w:t>Norway:</w:t>
      </w:r>
      <w:r>
        <w:rPr>
          <w:color w:val="616161"/>
          <w:spacing w:val="-4"/>
        </w:rPr>
        <w:t> </w:t>
      </w:r>
      <w:r>
        <w:rPr>
          <w:color w:val="616161"/>
        </w:rPr>
        <w:t>Providing</w:t>
      </w:r>
      <w:r>
        <w:rPr>
          <w:color w:val="616161"/>
          <w:spacing w:val="-6"/>
        </w:rPr>
        <w:t> </w:t>
      </w:r>
      <w:r>
        <w:rPr>
          <w:color w:val="616161"/>
        </w:rPr>
        <w:t>a</w:t>
      </w:r>
      <w:r>
        <w:rPr>
          <w:color w:val="616161"/>
          <w:spacing w:val="-6"/>
        </w:rPr>
        <w:t> </w:t>
      </w:r>
      <w:r>
        <w:rPr>
          <w:color w:val="616161"/>
        </w:rPr>
        <w:t>structure</w:t>
      </w:r>
      <w:r>
        <w:rPr>
          <w:color w:val="616161"/>
          <w:spacing w:val="-8"/>
        </w:rPr>
        <w:t> </w:t>
      </w:r>
      <w:r>
        <w:rPr>
          <w:color w:val="616161"/>
        </w:rPr>
        <w:t>for</w:t>
      </w:r>
      <w:r>
        <w:rPr>
          <w:color w:val="616161"/>
          <w:spacing w:val="-4"/>
        </w:rPr>
        <w:t> </w:t>
      </w:r>
      <w:r>
        <w:rPr>
          <w:color w:val="616161"/>
        </w:rPr>
        <w:t>stakeholder</w:t>
      </w:r>
      <w:r>
        <w:rPr>
          <w:color w:val="616161"/>
          <w:spacing w:val="-7"/>
        </w:rPr>
        <w:t> </w:t>
      </w:r>
      <w:r>
        <w:rPr>
          <w:color w:val="616161"/>
        </w:rPr>
        <w:t>collaboration</w:t>
      </w:r>
    </w:p>
    <w:p>
      <w:pPr>
        <w:pStyle w:val="BodyText"/>
        <w:spacing w:line="271" w:lineRule="auto" w:before="212"/>
        <w:ind w:left="183" w:right="304"/>
        <w:jc w:val="both"/>
      </w:pPr>
      <w:r>
        <w:rPr>
          <w:rFonts w:ascii="Arial" w:hAnsi="Arial"/>
          <w:b/>
        </w:rPr>
        <w:t>Norway’s Skills Policy Council and the Future Skills Needs Committee </w:t>
      </w:r>
      <w:r>
        <w:rPr/>
        <w:t>were established by the</w:t>
      </w:r>
      <w:r>
        <w:rPr>
          <w:spacing w:val="1"/>
        </w:rPr>
        <w:t> </w:t>
      </w:r>
      <w:r>
        <w:rPr/>
        <w:t>Ministry</w:t>
      </w:r>
      <w:r>
        <w:rPr>
          <w:spacing w:val="-14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Education,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new</w:t>
      </w:r>
      <w:r>
        <w:rPr>
          <w:spacing w:val="-12"/>
        </w:rPr>
        <w:t> </w:t>
      </w:r>
      <w:r>
        <w:rPr/>
        <w:t>governance</w:t>
      </w:r>
      <w:r>
        <w:rPr>
          <w:spacing w:val="-8"/>
        </w:rPr>
        <w:t> </w:t>
      </w:r>
      <w:r>
        <w:rPr/>
        <w:t>arrangement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support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Norway’s</w:t>
      </w:r>
      <w:r>
        <w:rPr>
          <w:spacing w:val="-6"/>
        </w:rPr>
        <w:t> </w:t>
      </w:r>
      <w:r>
        <w:rPr/>
        <w:t>Skills</w:t>
      </w:r>
      <w:r>
        <w:rPr>
          <w:spacing w:val="1"/>
        </w:rPr>
        <w:t> </w:t>
      </w:r>
      <w:r>
        <w:rPr>
          <w:spacing w:val="-1"/>
        </w:rPr>
        <w:t>Strategy</w:t>
      </w:r>
      <w:r>
        <w:rPr>
          <w:spacing w:val="-14"/>
        </w:rPr>
        <w:t> </w:t>
      </w:r>
      <w:r>
        <w:rPr>
          <w:spacing w:val="-1"/>
        </w:rPr>
        <w:t>2017-21.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purpose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these</w:t>
      </w:r>
      <w:r>
        <w:rPr>
          <w:spacing w:val="-10"/>
        </w:rPr>
        <w:t> </w:t>
      </w:r>
      <w:r>
        <w:rPr>
          <w:spacing w:val="-1"/>
        </w:rPr>
        <w:t>bodies</w:t>
      </w:r>
      <w:r>
        <w:rPr>
          <w:spacing w:val="-10"/>
        </w:rPr>
        <w:t> </w:t>
      </w:r>
      <w:r>
        <w:rPr>
          <w:spacing w:val="-1"/>
        </w:rPr>
        <w:t>was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address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fragmentation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skills</w:t>
      </w:r>
      <w:r>
        <w:rPr>
          <w:spacing w:val="-8"/>
        </w:rPr>
        <w:t> </w:t>
      </w:r>
      <w:r>
        <w:rPr/>
        <w:t>policy</w:t>
      </w:r>
      <w:r>
        <w:rPr>
          <w:spacing w:val="-14"/>
        </w:rPr>
        <w:t> </w:t>
      </w:r>
      <w:r>
        <w:rPr/>
        <w:t>in</w:t>
      </w:r>
      <w:r>
        <w:rPr>
          <w:spacing w:val="-10"/>
        </w:rPr>
        <w:t> </w:t>
      </w:r>
      <w:r>
        <w:rPr/>
        <w:t>Norway,</w:t>
      </w:r>
      <w:r>
        <w:rPr>
          <w:spacing w:val="1"/>
        </w:rPr>
        <w:t> </w:t>
      </w:r>
      <w:r>
        <w:rPr/>
        <w:t>which resulted from the diversity of policy areas falling into the skills umbrella, the large number of</w:t>
      </w:r>
      <w:r>
        <w:rPr>
          <w:spacing w:val="1"/>
        </w:rPr>
        <w:t> </w:t>
      </w:r>
      <w:r>
        <w:rPr/>
        <w:t>stakeholders involved, and multiple levels of governance at which decisions regarding skills policy are</w:t>
      </w:r>
      <w:r>
        <w:rPr>
          <w:spacing w:val="1"/>
        </w:rPr>
        <w:t> </w:t>
      </w:r>
      <w:r>
        <w:rPr/>
        <w:t>taken.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bodies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expected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co-ordination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skills</w:t>
      </w:r>
      <w:r>
        <w:rPr>
          <w:spacing w:val="-10"/>
        </w:rPr>
        <w:t> </w:t>
      </w:r>
      <w:r>
        <w:rPr/>
        <w:t>policy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two</w:t>
      </w:r>
      <w:r>
        <w:rPr>
          <w:spacing w:val="-11"/>
        </w:rPr>
        <w:t> </w:t>
      </w:r>
      <w:r>
        <w:rPr/>
        <w:t>complementary</w:t>
      </w:r>
      <w:r>
        <w:rPr>
          <w:spacing w:val="-11"/>
        </w:rPr>
        <w:t> </w:t>
      </w:r>
      <w:r>
        <w:rPr/>
        <w:t>ways.</w:t>
      </w:r>
    </w:p>
    <w:p>
      <w:pPr>
        <w:pStyle w:val="BodyText"/>
        <w:spacing w:line="271" w:lineRule="auto" w:before="124"/>
        <w:ind w:left="183" w:right="306"/>
        <w:jc w:val="both"/>
      </w:pPr>
      <w:r>
        <w:rPr/>
        <w:t>The</w:t>
      </w:r>
      <w:r>
        <w:rPr>
          <w:spacing w:val="-6"/>
        </w:rPr>
        <w:t> </w:t>
      </w:r>
      <w:r>
        <w:rPr/>
        <w:t>Skills</w:t>
      </w:r>
      <w:r>
        <w:rPr>
          <w:spacing w:val="-3"/>
        </w:rPr>
        <w:t> </w:t>
      </w:r>
      <w:r>
        <w:rPr/>
        <w:t>Policy</w:t>
      </w:r>
      <w:r>
        <w:rPr>
          <w:spacing w:val="-7"/>
        </w:rPr>
        <w:t> </w:t>
      </w:r>
      <w:r>
        <w:rPr/>
        <w:t>Council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overarching</w:t>
      </w:r>
      <w:r>
        <w:rPr>
          <w:spacing w:val="-5"/>
        </w:rPr>
        <w:t> </w:t>
      </w:r>
      <w:r>
        <w:rPr/>
        <w:t>co-ordination</w:t>
      </w:r>
      <w:r>
        <w:rPr>
          <w:spacing w:val="-4"/>
        </w:rPr>
        <w:t> </w:t>
      </w:r>
      <w:r>
        <w:rPr/>
        <w:t>body</w:t>
      </w:r>
      <w:r>
        <w:rPr>
          <w:spacing w:val="-7"/>
        </w:rPr>
        <w:t> </w:t>
      </w:r>
      <w:r>
        <w:rPr/>
        <w:t>chaired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Education,</w:t>
      </w:r>
      <w:r>
        <w:rPr>
          <w:spacing w:val="-3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comprises representatives from ministries, local governments, and social partners such as employer and</w:t>
      </w:r>
      <w:r>
        <w:rPr>
          <w:spacing w:val="1"/>
        </w:rPr>
        <w:t> </w:t>
      </w:r>
      <w:r>
        <w:rPr>
          <w:position w:val="1"/>
        </w:rPr>
        <w:t>employees organisations (OECD, 2019</w:t>
      </w:r>
      <w:r>
        <w:rPr>
          <w:sz w:val="13"/>
        </w:rPr>
        <w:t>[17]</w:t>
      </w:r>
      <w:r>
        <w:rPr>
          <w:position w:val="1"/>
        </w:rPr>
        <w:t>). It brings together all actors with a role in skills policy to</w:t>
      </w:r>
      <w:r>
        <w:rPr>
          <w:spacing w:val="1"/>
          <w:position w:val="1"/>
        </w:rPr>
        <w:t> </w:t>
      </w:r>
      <w:r>
        <w:rPr/>
        <w:t>co-ordinate,</w:t>
      </w:r>
      <w:r>
        <w:rPr>
          <w:spacing w:val="-2"/>
        </w:rPr>
        <w:t> </w:t>
      </w:r>
      <w:r>
        <w:rPr/>
        <w:t>reflect 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 and review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tasked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skills</w:t>
      </w:r>
      <w:r>
        <w:rPr>
          <w:spacing w:val="-5"/>
        </w:rPr>
        <w:t> </w:t>
      </w:r>
      <w:r>
        <w:rPr/>
        <w:t>needs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Norway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short,</w:t>
      </w:r>
      <w:r>
        <w:rPr>
          <w:spacing w:val="-2"/>
        </w:rPr>
        <w:t> </w:t>
      </w:r>
      <w:r>
        <w:rPr/>
        <w:t>medium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term,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funded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It gathers, organises and builds on existing data and evidence, and informs the development</w:t>
      </w:r>
      <w:r>
        <w:rPr>
          <w:spacing w:val="1"/>
        </w:rPr>
        <w:t> </w:t>
      </w:r>
      <w:r>
        <w:rPr/>
        <w:t>of new evidence. Its missions also include facilitating the work of governing bodies through disseminating</w:t>
      </w:r>
      <w:r>
        <w:rPr>
          <w:spacing w:val="-53"/>
        </w:rPr>
        <w:t> </w:t>
      </w:r>
      <w:r>
        <w:rPr/>
        <w:t>evidence to different actors, and providing regular assessments of priority areas and skills needs. These</w:t>
      </w:r>
      <w:r>
        <w:rPr>
          <w:spacing w:val="1"/>
        </w:rPr>
        <w:t> </w:t>
      </w:r>
      <w:r>
        <w:rPr/>
        <w:t>assessments aim to inform agenda setting and policy planning at the national and regional levels, and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representatives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partners</w:t>
      </w:r>
      <w:r>
        <w:rPr>
          <w:spacing w:val="-6"/>
        </w:rPr>
        <w:t> </w:t>
      </w:r>
      <w:r>
        <w:rPr/>
        <w:t>(employers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labour</w:t>
      </w:r>
      <w:r>
        <w:rPr>
          <w:spacing w:val="-4"/>
        </w:rPr>
        <w:t> </w:t>
      </w:r>
      <w:r>
        <w:rPr/>
        <w:t>unions)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ministries,</w:t>
      </w:r>
      <w:r>
        <w:rPr>
          <w:spacing w:val="-7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experts,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builds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existing</w:t>
      </w:r>
      <w:r>
        <w:rPr>
          <w:spacing w:val="-13"/>
        </w:rPr>
        <w:t> </w:t>
      </w:r>
      <w:r>
        <w:rPr>
          <w:spacing w:val="-1"/>
        </w:rPr>
        <w:t>structures,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its</w:t>
      </w:r>
      <w:r>
        <w:rPr>
          <w:spacing w:val="-12"/>
        </w:rPr>
        <w:t> </w:t>
      </w:r>
      <w:r>
        <w:rPr>
          <w:spacing w:val="-1"/>
        </w:rPr>
        <w:t>secretariat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located</w:t>
      </w:r>
      <w:r>
        <w:rPr>
          <w:spacing w:val="-10"/>
        </w:rPr>
        <w:t> </w:t>
      </w:r>
      <w:r>
        <w:rPr/>
        <w:t>within</w:t>
      </w:r>
      <w:r>
        <w:rPr>
          <w:spacing w:val="-13"/>
        </w:rPr>
        <w:t> </w:t>
      </w:r>
      <w:r>
        <w:rPr/>
        <w:t>Skills</w:t>
      </w:r>
      <w:r>
        <w:rPr>
          <w:spacing w:val="-11"/>
        </w:rPr>
        <w:t> </w:t>
      </w:r>
      <w:r>
        <w:rPr/>
        <w:t>Norway,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pre-existing</w:t>
      </w:r>
      <w:r>
        <w:rPr>
          <w:spacing w:val="-12"/>
        </w:rPr>
        <w:t> </w:t>
      </w:r>
      <w:r>
        <w:rPr/>
        <w:t>directorate</w:t>
      </w:r>
      <w:r>
        <w:rPr>
          <w:spacing w:val="1"/>
        </w:rPr>
        <w:t> </w:t>
      </w:r>
      <w:r>
        <w:rPr>
          <w:position w:val="1"/>
        </w:rPr>
        <w:t>of the Ministry of Education and Research (OECD, 2020</w:t>
      </w:r>
      <w:r>
        <w:rPr>
          <w:sz w:val="13"/>
        </w:rPr>
        <w:t>[18]</w:t>
      </w:r>
      <w:r>
        <w:rPr>
          <w:position w:val="1"/>
        </w:rPr>
        <w:t>). Information and evidence produced is used</w:t>
      </w:r>
      <w:r>
        <w:rPr>
          <w:spacing w:val="1"/>
          <w:position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inform</w:t>
      </w:r>
      <w:r>
        <w:rPr>
          <w:spacing w:val="2"/>
        </w:rPr>
        <w:t> </w:t>
      </w:r>
      <w:r>
        <w:rPr/>
        <w:t>discussions,</w:t>
      </w:r>
      <w:r>
        <w:rPr>
          <w:spacing w:val="-3"/>
        </w:rPr>
        <w:t> </w:t>
      </w:r>
      <w:r>
        <w:rPr/>
        <w:t>reports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skills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made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Skills</w:t>
      </w:r>
      <w:r>
        <w:rPr>
          <w:spacing w:val="-2"/>
        </w:rPr>
        <w:t> </w:t>
      </w:r>
      <w:r>
        <w:rPr/>
        <w:t>Policy</w:t>
      </w:r>
      <w:r>
        <w:rPr>
          <w:spacing w:val="-4"/>
        </w:rPr>
        <w:t> </w:t>
      </w:r>
      <w:r>
        <w:rPr/>
        <w:t>Council.</w:t>
      </w:r>
    </w:p>
    <w:p>
      <w:pPr>
        <w:pStyle w:val="BodyText"/>
        <w:spacing w:line="271" w:lineRule="auto" w:before="120"/>
        <w:ind w:left="183" w:right="299"/>
        <w:jc w:val="both"/>
      </w:pPr>
      <w:r>
        <w:rPr/>
        <w:t>Norway’s Skills Policy Council and Skills Needs Committee have enabled greater co-ordination among</w:t>
      </w:r>
      <w:r>
        <w:rPr>
          <w:spacing w:val="1"/>
        </w:rPr>
        <w:t> </w:t>
      </w:r>
      <w:r>
        <w:rPr>
          <w:position w:val="1"/>
        </w:rPr>
        <w:t>different actors responsible for the skills policy and its implementation (OECD, 2020</w:t>
      </w:r>
      <w:r>
        <w:rPr>
          <w:sz w:val="13"/>
        </w:rPr>
        <w:t>[18]</w:t>
      </w:r>
      <w:r>
        <w:rPr>
          <w:position w:val="1"/>
        </w:rPr>
        <w:t>). The Skills Needs</w:t>
      </w:r>
      <w:r>
        <w:rPr>
          <w:spacing w:val="-53"/>
          <w:position w:val="1"/>
        </w:rPr>
        <w:t> </w:t>
      </w:r>
      <w:r>
        <w:rPr/>
        <w:t>Committee created common databases and integrated information systems that help inform the policy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ministries.</w:t>
      </w:r>
      <w:r>
        <w:rPr>
          <w:spacing w:val="1"/>
        </w:rPr>
        <w:t> </w:t>
      </w:r>
      <w:r>
        <w:rPr/>
        <w:t>Nevertheless, Norway’s example also shows that the creation of new bodies involving a diversity of</w:t>
      </w:r>
      <w:r>
        <w:rPr>
          <w:spacing w:val="1"/>
        </w:rPr>
        <w:t> </w:t>
      </w:r>
      <w:r>
        <w:rPr>
          <w:spacing w:val="-1"/>
        </w:rPr>
        <w:t>stakeholders</w:t>
      </w:r>
      <w:r>
        <w:rPr>
          <w:spacing w:val="-12"/>
        </w:rPr>
        <w:t> </w:t>
      </w:r>
      <w:r>
        <w:rPr>
          <w:spacing w:val="-1"/>
        </w:rPr>
        <w:t>requires</w:t>
      </w:r>
      <w:r>
        <w:rPr>
          <w:spacing w:val="-10"/>
        </w:rPr>
        <w:t> </w:t>
      </w:r>
      <w:r>
        <w:rPr>
          <w:spacing w:val="-1"/>
        </w:rPr>
        <w:t>defining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clear</w:t>
      </w:r>
      <w:r>
        <w:rPr>
          <w:spacing w:val="-12"/>
        </w:rPr>
        <w:t> </w:t>
      </w:r>
      <w:r>
        <w:rPr>
          <w:spacing w:val="-1"/>
        </w:rPr>
        <w:t>mandate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processes,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takes</w:t>
      </w:r>
      <w:r>
        <w:rPr>
          <w:spacing w:val="-12"/>
        </w:rPr>
        <w:t> </w:t>
      </w:r>
      <w:r>
        <w:rPr/>
        <w:t>time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build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tangible</w:t>
      </w:r>
      <w:r>
        <w:rPr>
          <w:spacing w:val="1"/>
        </w:rPr>
        <w:t> </w:t>
      </w:r>
      <w:r>
        <w:rPr/>
        <w:t>effects.</w:t>
      </w:r>
    </w:p>
    <w:p>
      <w:pPr>
        <w:pStyle w:val="BodyText"/>
        <w:spacing w:before="4"/>
      </w:pPr>
    </w:p>
    <w:p>
      <w:pPr>
        <w:pStyle w:val="Heading7"/>
      </w:pPr>
      <w:bookmarkStart w:name="England (United Kingdom): Using awards t" w:id="103"/>
      <w:bookmarkEnd w:id="103"/>
      <w:r>
        <w:rPr>
          <w:i w:val="0"/>
        </w:rPr>
      </w:r>
      <w:r>
        <w:rPr>
          <w:color w:val="616161"/>
        </w:rPr>
        <w:t>England</w:t>
      </w:r>
      <w:r>
        <w:rPr>
          <w:color w:val="616161"/>
          <w:spacing w:val="-5"/>
        </w:rPr>
        <w:t> </w:t>
      </w:r>
      <w:r>
        <w:rPr>
          <w:color w:val="616161"/>
        </w:rPr>
        <w:t>(United</w:t>
      </w:r>
      <w:r>
        <w:rPr>
          <w:color w:val="616161"/>
          <w:spacing w:val="-4"/>
        </w:rPr>
        <w:t> </w:t>
      </w:r>
      <w:r>
        <w:rPr>
          <w:color w:val="616161"/>
        </w:rPr>
        <w:t>Kingdom):</w:t>
      </w:r>
      <w:r>
        <w:rPr>
          <w:color w:val="616161"/>
          <w:spacing w:val="-2"/>
        </w:rPr>
        <w:t> </w:t>
      </w:r>
      <w:r>
        <w:rPr>
          <w:color w:val="616161"/>
        </w:rPr>
        <w:t>Using</w:t>
      </w:r>
      <w:r>
        <w:rPr>
          <w:color w:val="616161"/>
          <w:spacing w:val="-5"/>
        </w:rPr>
        <w:t> </w:t>
      </w:r>
      <w:r>
        <w:rPr>
          <w:color w:val="616161"/>
        </w:rPr>
        <w:t>awards</w:t>
      </w:r>
      <w:r>
        <w:rPr>
          <w:color w:val="616161"/>
          <w:spacing w:val="-6"/>
        </w:rPr>
        <w:t> </w:t>
      </w:r>
      <w:r>
        <w:rPr>
          <w:color w:val="616161"/>
        </w:rPr>
        <w:t>to</w:t>
      </w:r>
      <w:r>
        <w:rPr>
          <w:color w:val="616161"/>
          <w:spacing w:val="-6"/>
        </w:rPr>
        <w:t> </w:t>
      </w:r>
      <w:r>
        <w:rPr>
          <w:color w:val="616161"/>
        </w:rPr>
        <w:t>reward</w:t>
      </w:r>
      <w:r>
        <w:rPr>
          <w:color w:val="616161"/>
          <w:spacing w:val="-3"/>
        </w:rPr>
        <w:t> </w:t>
      </w:r>
      <w:r>
        <w:rPr>
          <w:color w:val="616161"/>
        </w:rPr>
        <w:t>quality</w:t>
      </w:r>
    </w:p>
    <w:p>
      <w:pPr>
        <w:spacing w:line="273" w:lineRule="auto" w:before="213"/>
        <w:ind w:left="183" w:right="302" w:firstLine="0"/>
        <w:jc w:val="both"/>
        <w:rPr>
          <w:sz w:val="20"/>
        </w:rPr>
      </w:pPr>
      <w:r>
        <w:rPr>
          <w:sz w:val="20"/>
        </w:rPr>
        <w:t>In </w:t>
      </w:r>
      <w:r>
        <w:rPr>
          <w:rFonts w:ascii="Arial"/>
          <w:b/>
          <w:sz w:val="20"/>
        </w:rPr>
        <w:t>England (United Kingdom)</w:t>
      </w:r>
      <w:r>
        <w:rPr>
          <w:sz w:val="20"/>
        </w:rPr>
        <w:t>, the </w:t>
      </w:r>
      <w:r>
        <w:rPr>
          <w:rFonts w:ascii="Arial"/>
          <w:b/>
          <w:sz w:val="20"/>
        </w:rPr>
        <w:t>Teaching Excellence and Student Outcomes Framework </w:t>
      </w:r>
      <w:r>
        <w:rPr>
          <w:sz w:val="20"/>
        </w:rPr>
        <w:t>(TEF),</w:t>
      </w:r>
      <w:r>
        <w:rPr>
          <w:spacing w:val="1"/>
          <w:sz w:val="20"/>
        </w:rPr>
        <w:t> </w:t>
      </w:r>
      <w:r>
        <w:rPr>
          <w:sz w:val="20"/>
        </w:rPr>
        <w:t>introduced by the Government of England, represents a unique approach to assessing and rewarding</w:t>
      </w:r>
      <w:r>
        <w:rPr>
          <w:spacing w:val="1"/>
          <w:sz w:val="20"/>
        </w:rPr>
        <w:t> </w:t>
      </w:r>
      <w:r>
        <w:rPr>
          <w:sz w:val="20"/>
        </w:rPr>
        <w:t>teaching</w:t>
      </w:r>
      <w:r>
        <w:rPr>
          <w:spacing w:val="-1"/>
          <w:sz w:val="20"/>
        </w:rPr>
        <w:t> </w:t>
      </w:r>
      <w:r>
        <w:rPr>
          <w:sz w:val="20"/>
        </w:rPr>
        <w:t>quality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HEIs</w:t>
      </w:r>
      <w:r>
        <w:rPr>
          <w:spacing w:val="-1"/>
          <w:sz w:val="20"/>
        </w:rPr>
        <w:t> </w:t>
      </w:r>
      <w:r>
        <w:rPr>
          <w:sz w:val="20"/>
        </w:rPr>
        <w:t>utilising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system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awards.</w:t>
      </w:r>
    </w:p>
    <w:p>
      <w:pPr>
        <w:pStyle w:val="BodyText"/>
        <w:spacing w:line="271" w:lineRule="auto" w:before="115"/>
        <w:ind w:left="183" w:right="302"/>
        <w:jc w:val="both"/>
      </w:pPr>
      <w:r>
        <w:rPr/>
        <w:t>The TEF was developed to “introduce a framework to recognise universities offering the highest teaching</w:t>
      </w:r>
      <w:r>
        <w:rPr>
          <w:spacing w:val="-53"/>
        </w:rPr>
        <w:t> </w:t>
      </w:r>
      <w:r>
        <w:rPr>
          <w:position w:val="1"/>
        </w:rPr>
        <w:t>quality” (Copeland, 2017</w:t>
      </w:r>
      <w:r>
        <w:rPr>
          <w:sz w:val="13"/>
        </w:rPr>
        <w:t>[19]</w:t>
      </w:r>
      <w:r>
        <w:rPr>
          <w:position w:val="1"/>
        </w:rPr>
        <w:t>). The primary goals of TEF, as set by the government, was to develop a</w:t>
      </w:r>
      <w:r>
        <w:rPr>
          <w:spacing w:val="1"/>
          <w:position w:val="1"/>
        </w:rPr>
        <w:t> </w:t>
      </w:r>
      <w:r>
        <w:rPr/>
        <w:t>framework that: better informed students’ choices about what and where to study; raised esteem for</w:t>
      </w:r>
      <w:r>
        <w:rPr>
          <w:spacing w:val="1"/>
        </w:rPr>
        <w:t> </w:t>
      </w:r>
      <w:r>
        <w:rPr/>
        <w:t>teaching; recognised and rewarded excellent teaching; better meets the needs of employers, business,</w:t>
      </w:r>
      <w:r>
        <w:rPr>
          <w:spacing w:val="1"/>
        </w:rPr>
        <w:t> </w:t>
      </w:r>
      <w:r>
        <w:rPr>
          <w:position w:val="1"/>
        </w:rPr>
        <w:t>industry and the professions” (UK Department for Education, 2017</w:t>
      </w:r>
      <w:r>
        <w:rPr>
          <w:sz w:val="13"/>
        </w:rPr>
        <w:t>[20]</w:t>
      </w:r>
      <w:r>
        <w:rPr>
          <w:position w:val="1"/>
        </w:rPr>
        <w:t>). TEF’s primary lever for rewarding</w:t>
      </w:r>
      <w:r>
        <w:rPr>
          <w:spacing w:val="1"/>
          <w:position w:val="1"/>
        </w:rPr>
        <w:t> </w:t>
      </w:r>
      <w:r>
        <w:rPr/>
        <w:t>HEI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award</w:t>
      </w:r>
      <w:r>
        <w:rPr>
          <w:spacing w:val="-2"/>
        </w:rPr>
        <w:t> </w:t>
      </w:r>
      <w:r>
        <w:rPr/>
        <w:t>system</w:t>
      </w:r>
      <w:r>
        <w:rPr>
          <w:spacing w:val="2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intended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reputational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allows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1"/>
        <w:jc w:val="both"/>
      </w:pPr>
      <w:r>
        <w:rPr/>
        <w:t>institutions to increase student fees, an important part of institutional funding in England. TEF “awards”</w:t>
      </w:r>
      <w:r>
        <w:rPr>
          <w:spacing w:val="1"/>
        </w:rPr>
        <w:t> </w:t>
      </w:r>
      <w:r>
        <w:rPr/>
        <w:t>involve</w:t>
      </w:r>
      <w:r>
        <w:rPr>
          <w:spacing w:val="-5"/>
        </w:rPr>
        <w:t> </w:t>
      </w:r>
      <w:r>
        <w:rPr/>
        <w:t>gold,</w:t>
      </w:r>
      <w:r>
        <w:rPr>
          <w:spacing w:val="-6"/>
        </w:rPr>
        <w:t> </w:t>
      </w:r>
      <w:r>
        <w:rPr/>
        <w:t>silver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bronze</w:t>
      </w:r>
      <w:r>
        <w:rPr>
          <w:spacing w:val="-4"/>
        </w:rPr>
        <w:t> </w:t>
      </w:r>
      <w:r>
        <w:rPr/>
        <w:t>levels.</w:t>
      </w:r>
      <w:r>
        <w:rPr>
          <w:spacing w:val="-5"/>
        </w:rPr>
        <w:t> </w:t>
      </w:r>
      <w:r>
        <w:rPr/>
        <w:t>HEIs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recipients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receive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award,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level,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their tuition fee cap from GBP 9 000 to GBP 9 250. England utilises a buffer body for the management,</w:t>
      </w:r>
      <w:r>
        <w:rPr>
          <w:spacing w:val="1"/>
        </w:rPr>
        <w:t> </w:t>
      </w:r>
      <w:r>
        <w:rPr/>
        <w:t>implementation and maintenance of the TEF: the Office for Students (OfS). The OfS is the independent</w:t>
      </w:r>
      <w:r>
        <w:rPr>
          <w:spacing w:val="1"/>
        </w:rPr>
        <w:t> </w:t>
      </w:r>
      <w:r>
        <w:rPr/>
        <w:t>regulator of higher education in England and has a range of additional duties alongside maintaining the</w:t>
      </w:r>
      <w:r>
        <w:rPr>
          <w:spacing w:val="1"/>
        </w:rPr>
        <w:t> </w:t>
      </w:r>
      <w:r>
        <w:rPr>
          <w:position w:val="1"/>
        </w:rPr>
        <w:t>TEF,</w:t>
      </w:r>
      <w:r>
        <w:rPr>
          <w:spacing w:val="-9"/>
          <w:position w:val="1"/>
        </w:rPr>
        <w:t> </w:t>
      </w:r>
      <w:r>
        <w:rPr>
          <w:position w:val="1"/>
        </w:rPr>
        <w:t>including</w:t>
      </w:r>
      <w:r>
        <w:rPr>
          <w:spacing w:val="-9"/>
          <w:position w:val="1"/>
        </w:rPr>
        <w:t> </w:t>
      </w:r>
      <w:r>
        <w:rPr>
          <w:position w:val="1"/>
        </w:rPr>
        <w:t>promoting</w:t>
      </w:r>
      <w:r>
        <w:rPr>
          <w:spacing w:val="-7"/>
          <w:position w:val="1"/>
        </w:rPr>
        <w:t> </w:t>
      </w:r>
      <w:r>
        <w:rPr>
          <w:position w:val="1"/>
        </w:rPr>
        <w:t>value</w:t>
      </w:r>
      <w:r>
        <w:rPr>
          <w:spacing w:val="-6"/>
          <w:position w:val="1"/>
        </w:rPr>
        <w:t> </w:t>
      </w:r>
      <w:r>
        <w:rPr>
          <w:position w:val="1"/>
        </w:rPr>
        <w:t>for</w:t>
      </w:r>
      <w:r>
        <w:rPr>
          <w:spacing w:val="-10"/>
          <w:position w:val="1"/>
        </w:rPr>
        <w:t> </w:t>
      </w:r>
      <w:r>
        <w:rPr>
          <w:position w:val="1"/>
        </w:rPr>
        <w:t>money</w:t>
      </w:r>
      <w:r>
        <w:rPr>
          <w:spacing w:val="-10"/>
          <w:position w:val="1"/>
        </w:rPr>
        <w:t> </w:t>
      </w:r>
      <w:r>
        <w:rPr>
          <w:position w:val="1"/>
        </w:rPr>
        <w:t>and</w:t>
      </w:r>
      <w:r>
        <w:rPr>
          <w:spacing w:val="-7"/>
          <w:position w:val="1"/>
        </w:rPr>
        <w:t> </w:t>
      </w:r>
      <w:r>
        <w:rPr>
          <w:position w:val="1"/>
        </w:rPr>
        <w:t>ensuring</w:t>
      </w:r>
      <w:r>
        <w:rPr>
          <w:spacing w:val="-9"/>
          <w:position w:val="1"/>
        </w:rPr>
        <w:t> </w:t>
      </w:r>
      <w:r>
        <w:rPr>
          <w:position w:val="1"/>
        </w:rPr>
        <w:t>student</w:t>
      </w:r>
      <w:r>
        <w:rPr>
          <w:spacing w:val="-9"/>
          <w:position w:val="1"/>
        </w:rPr>
        <w:t> </w:t>
      </w:r>
      <w:r>
        <w:rPr>
          <w:position w:val="1"/>
        </w:rPr>
        <w:t>choice</w:t>
      </w:r>
      <w:r>
        <w:rPr>
          <w:spacing w:val="-9"/>
          <w:position w:val="1"/>
        </w:rPr>
        <w:t> </w:t>
      </w:r>
      <w:r>
        <w:rPr>
          <w:position w:val="1"/>
        </w:rPr>
        <w:t>in</w:t>
      </w:r>
      <w:r>
        <w:rPr>
          <w:spacing w:val="-8"/>
          <w:position w:val="1"/>
        </w:rPr>
        <w:t> </w:t>
      </w:r>
      <w:r>
        <w:rPr>
          <w:position w:val="1"/>
        </w:rPr>
        <w:t>higher</w:t>
      </w:r>
      <w:r>
        <w:rPr>
          <w:spacing w:val="-8"/>
          <w:position w:val="1"/>
        </w:rPr>
        <w:t> </w:t>
      </w:r>
      <w:r>
        <w:rPr>
          <w:position w:val="1"/>
        </w:rPr>
        <w:t>education</w:t>
      </w:r>
      <w:r>
        <w:rPr>
          <w:spacing w:val="-4"/>
          <w:position w:val="1"/>
        </w:rPr>
        <w:t> </w:t>
      </w:r>
      <w:r>
        <w:rPr>
          <w:position w:val="1"/>
        </w:rPr>
        <w:t>(OfS,</w:t>
      </w:r>
      <w:r>
        <w:rPr>
          <w:spacing w:val="-9"/>
          <w:position w:val="1"/>
        </w:rPr>
        <w:t> </w:t>
      </w:r>
      <w:r>
        <w:rPr>
          <w:position w:val="1"/>
        </w:rPr>
        <w:t>2018</w:t>
      </w:r>
      <w:r>
        <w:rPr>
          <w:sz w:val="13"/>
        </w:rPr>
        <w:t>[21]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The TEF system is based on three key areas of assessment: teaching quality; learning environment; and</w:t>
      </w:r>
      <w:r>
        <w:rPr>
          <w:spacing w:val="1"/>
        </w:rPr>
        <w:t> </w:t>
      </w:r>
      <w:r>
        <w:rPr/>
        <w:t>student</w:t>
      </w:r>
      <w:r>
        <w:rPr>
          <w:spacing w:val="-5"/>
        </w:rPr>
        <w:t> </w:t>
      </w:r>
      <w:r>
        <w:rPr/>
        <w:t>outcomes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gain.</w:t>
      </w:r>
      <w:r>
        <w:rPr>
          <w:spacing w:val="-5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institutions</w:t>
      </w:r>
      <w:r>
        <w:rPr>
          <w:spacing w:val="-5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TEF</w:t>
      </w:r>
      <w:r>
        <w:rPr>
          <w:spacing w:val="-7"/>
        </w:rPr>
        <w:t> </w:t>
      </w:r>
      <w:r>
        <w:rPr/>
        <w:t>criteria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carried</w:t>
      </w:r>
      <w:r>
        <w:rPr>
          <w:spacing w:val="-8"/>
        </w:rPr>
        <w:t> </w:t>
      </w:r>
      <w:r>
        <w:rPr/>
        <w:t>out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panel of peers “comprised of experts in teaching and learning as well as student representatives and</w:t>
      </w:r>
      <w:r>
        <w:rPr>
          <w:spacing w:val="1"/>
        </w:rPr>
        <w:t> </w:t>
      </w:r>
      <w:r>
        <w:rPr>
          <w:position w:val="1"/>
        </w:rPr>
        <w:t>‘employment and widening participation experts’” (UK Department for Education, 2017</w:t>
      </w:r>
      <w:r>
        <w:rPr>
          <w:sz w:val="13"/>
        </w:rPr>
        <w:t>[20]</w:t>
      </w:r>
      <w:r>
        <w:rPr>
          <w:position w:val="1"/>
        </w:rPr>
        <w:t>). The TEF</w:t>
      </w:r>
      <w:r>
        <w:rPr>
          <w:spacing w:val="1"/>
          <w:position w:val="1"/>
        </w:rPr>
        <w:t> </w:t>
      </w:r>
      <w:r>
        <w:rPr/>
        <w:t>assessment panels access HEI data on the core metrics from centralised data sources, with individual</w:t>
      </w:r>
      <w:r>
        <w:rPr>
          <w:spacing w:val="1"/>
        </w:rPr>
        <w:t> </w:t>
      </w:r>
      <w:r>
        <w:rPr/>
        <w:t>HEIs’</w:t>
      </w:r>
      <w:r>
        <w:rPr>
          <w:spacing w:val="-8"/>
        </w:rPr>
        <w:t> </w:t>
      </w:r>
      <w:r>
        <w:rPr/>
        <w:t>submission</w:t>
      </w:r>
      <w:r>
        <w:rPr>
          <w:spacing w:val="-8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providing</w:t>
      </w:r>
      <w:r>
        <w:rPr>
          <w:spacing w:val="-7"/>
        </w:rPr>
        <w:t> </w:t>
      </w:r>
      <w:r>
        <w:rPr/>
        <w:t>additional</w:t>
      </w:r>
      <w:r>
        <w:rPr>
          <w:spacing w:val="-8"/>
        </w:rPr>
        <w:t> </w:t>
      </w:r>
      <w:r>
        <w:rPr/>
        <w:t>qualitative</w:t>
      </w:r>
      <w:r>
        <w:rPr>
          <w:spacing w:val="-8"/>
        </w:rPr>
        <w:t> </w:t>
      </w:r>
      <w:r>
        <w:rPr/>
        <w:t>context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further</w:t>
      </w:r>
      <w:r>
        <w:rPr>
          <w:spacing w:val="-7"/>
        </w:rPr>
        <w:t> </w:t>
      </w:r>
      <w:r>
        <w:rPr/>
        <w:t>evidence.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core metrics of the TEF rely largely on independent data, collected by buffer bodies or other government</w:t>
      </w:r>
      <w:r>
        <w:rPr>
          <w:spacing w:val="1"/>
        </w:rPr>
        <w:t> </w:t>
      </w:r>
      <w:r>
        <w:rPr/>
        <w:t>actors,</w:t>
      </w:r>
      <w:r>
        <w:rPr>
          <w:spacing w:val="-2"/>
        </w:rPr>
        <w:t> </w:t>
      </w:r>
      <w:r>
        <w:rPr/>
        <w:t>as outlined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40">
        <w:r>
          <w:rPr/>
          <w:t>Table</w:t>
        </w:r>
        <w:r>
          <w:rPr>
            <w:spacing w:val="1"/>
          </w:rPr>
          <w:t> </w:t>
        </w:r>
        <w:r>
          <w:rPr/>
          <w:t>3.1.</w:t>
        </w:r>
        <w:r>
          <w:rPr>
            <w:spacing w:val="-1"/>
          </w:rPr>
          <w:t> </w:t>
        </w:r>
        <w:r>
          <w:rPr/>
          <w:t>.</w:t>
        </w:r>
      </w:hyperlink>
    </w:p>
    <w:p>
      <w:pPr>
        <w:pStyle w:val="BodyText"/>
        <w:spacing w:before="10"/>
        <w:rPr>
          <w:sz w:val="28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40" w:id="104"/>
      <w:bookmarkEnd w:id="104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3.1.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TEF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metrics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aligned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with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aspects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quality</w:t>
      </w:r>
    </w:p>
    <w:p>
      <w:pPr>
        <w:pStyle w:val="BodyText"/>
        <w:spacing w:before="1"/>
        <w:rPr>
          <w:rFonts w:ascii="Arial"/>
          <w:b/>
          <w:sz w:val="16"/>
        </w:rPr>
      </w:pPr>
    </w:p>
    <w:tbl>
      <w:tblPr>
        <w:tblW w:w="0" w:type="auto"/>
        <w:jc w:val="left"/>
        <w:tblInd w:w="176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3690"/>
        <w:gridCol w:w="3687"/>
      </w:tblGrid>
      <w:tr>
        <w:trPr>
          <w:trHeight w:val="219" w:hRule="atLeast"/>
        </w:trPr>
        <w:tc>
          <w:tcPr>
            <w:tcW w:w="1999" w:type="dxa"/>
            <w:tcBorders>
              <w:left w:val="nil"/>
              <w:bottom w:val="single" w:sz="8" w:space="0" w:color="4E81BD"/>
              <w:right w:val="single" w:sz="4" w:space="0" w:color="D2D2D2"/>
            </w:tcBorders>
          </w:tcPr>
          <w:p>
            <w:pPr>
              <w:pStyle w:val="TableParagraph"/>
              <w:spacing w:line="189" w:lineRule="exact" w:before="11"/>
              <w:ind w:left="697" w:right="6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Aspects</w:t>
            </w:r>
          </w:p>
        </w:tc>
        <w:tc>
          <w:tcPr>
            <w:tcW w:w="3690" w:type="dxa"/>
            <w:tcBorders>
              <w:left w:val="single" w:sz="4" w:space="0" w:color="D2D2D2"/>
              <w:bottom w:val="single" w:sz="8" w:space="0" w:color="4E81BD"/>
              <w:right w:val="single" w:sz="4" w:space="0" w:color="D2D2D2"/>
            </w:tcBorders>
          </w:tcPr>
          <w:p>
            <w:pPr>
              <w:pStyle w:val="TableParagraph"/>
              <w:spacing w:line="189" w:lineRule="exact" w:before="11"/>
              <w:ind w:left="1599" w:right="159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Metric</w:t>
            </w:r>
          </w:p>
        </w:tc>
        <w:tc>
          <w:tcPr>
            <w:tcW w:w="3687" w:type="dxa"/>
            <w:tcBorders>
              <w:left w:val="single" w:sz="4" w:space="0" w:color="D2D2D2"/>
              <w:bottom w:val="single" w:sz="8" w:space="0" w:color="4E81BD"/>
              <w:right w:val="nil"/>
            </w:tcBorders>
          </w:tcPr>
          <w:p>
            <w:pPr>
              <w:pStyle w:val="TableParagraph"/>
              <w:spacing w:line="189" w:lineRule="exact" w:before="11"/>
              <w:ind w:left="1562" w:right="15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Source</w:t>
            </w:r>
          </w:p>
        </w:tc>
      </w:tr>
      <w:tr>
        <w:trPr>
          <w:trHeight w:val="201" w:hRule="atLeast"/>
        </w:trPr>
        <w:tc>
          <w:tcPr>
            <w:tcW w:w="9376" w:type="dxa"/>
            <w:gridSpan w:val="3"/>
            <w:tcBorders>
              <w:top w:val="single" w:sz="8" w:space="0" w:color="4E81BD"/>
              <w:left w:val="nil"/>
              <w:bottom w:val="single" w:sz="4" w:space="0" w:color="4E81BD"/>
              <w:right w:val="nil"/>
            </w:tcBorders>
          </w:tcPr>
          <w:p>
            <w:pPr>
              <w:pStyle w:val="TableParagraph"/>
              <w:spacing w:line="175" w:lineRule="exact" w:before="6"/>
              <w:ind w:left="3971" w:right="3962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Core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metrics</w:t>
            </w:r>
          </w:p>
        </w:tc>
      </w:tr>
      <w:tr>
        <w:trPr>
          <w:trHeight w:val="830" w:hRule="atLeast"/>
        </w:trPr>
        <w:tc>
          <w:tcPr>
            <w:tcW w:w="1999" w:type="dxa"/>
            <w:tcBorders>
              <w:top w:val="single" w:sz="4" w:space="0" w:color="4E81BD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Teaching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quality</w:t>
            </w:r>
          </w:p>
        </w:tc>
        <w:tc>
          <w:tcPr>
            <w:tcW w:w="3690" w:type="dxa"/>
            <w:tcBorders>
              <w:top w:val="single" w:sz="4" w:space="0" w:color="4E81BD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line="249" w:lineRule="auto" w:before="16"/>
              <w:ind w:left="103" w:right="275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Teaching on my course (a metric referencing whether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 are good at explaining concepts, and made their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subject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interesting,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intellectually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stimulating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</w:p>
          <w:p>
            <w:pPr>
              <w:pStyle w:val="TableParagraph"/>
              <w:spacing w:line="192" w:lineRule="exact" w:before="0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challenging)</w:t>
            </w:r>
          </w:p>
        </w:tc>
        <w:tc>
          <w:tcPr>
            <w:tcW w:w="3687" w:type="dxa"/>
            <w:tcBorders>
              <w:top w:val="single" w:sz="4" w:space="0" w:color="4E81BD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before="16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National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Survey</w:t>
            </w:r>
          </w:p>
        </w:tc>
      </w:tr>
      <w:tr>
        <w:trPr>
          <w:trHeight w:val="230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Teaching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quality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Assessment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feedback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before="16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National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Survey</w:t>
            </w:r>
          </w:p>
        </w:tc>
      </w:tr>
      <w:tr>
        <w:trPr>
          <w:trHeight w:val="630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Teaching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quality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line="249" w:lineRule="auto"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 voice (a metric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referencing the extent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 which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are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able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provide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feedback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their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HEI,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</w:p>
          <w:p>
            <w:pPr>
              <w:pStyle w:val="TableParagraph"/>
              <w:spacing w:before="0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whether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feedback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been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acted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upon)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before="16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National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Survey</w:t>
            </w:r>
          </w:p>
        </w:tc>
      </w:tr>
      <w:tr>
        <w:trPr>
          <w:trHeight w:val="230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Learning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environment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before="16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National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Survey</w:t>
            </w:r>
          </w:p>
        </w:tc>
      </w:tr>
      <w:tr>
        <w:trPr>
          <w:trHeight w:val="230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Learning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environment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Learning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resources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before="16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National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Survey</w:t>
            </w:r>
          </w:p>
        </w:tc>
      </w:tr>
      <w:tr>
        <w:trPr>
          <w:trHeight w:val="230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Learning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environment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Continuation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before="16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Higher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Statistics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</w:p>
        </w:tc>
      </w:tr>
      <w:tr>
        <w:trPr>
          <w:trHeight w:val="429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line="200" w:lineRule="atLeast" w:before="6"/>
              <w:ind w:left="122" w:right="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learning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gain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Sustained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employment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further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study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line="200" w:lineRule="atLeast" w:before="6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Longitudinal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dataset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3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years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after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qualification</w:t>
            </w:r>
          </w:p>
        </w:tc>
      </w:tr>
      <w:tr>
        <w:trPr>
          <w:trHeight w:val="429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line="200" w:lineRule="atLeast" w:before="8"/>
              <w:ind w:left="122" w:right="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learning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gain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Above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median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earnings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threshold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further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study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line="200" w:lineRule="atLeast" w:before="8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Longitudinal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dataset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3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years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after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qualification</w:t>
            </w:r>
          </w:p>
        </w:tc>
      </w:tr>
      <w:tr>
        <w:trPr>
          <w:trHeight w:val="830" w:hRule="atLeast"/>
        </w:trPr>
        <w:tc>
          <w:tcPr>
            <w:tcW w:w="1999" w:type="dxa"/>
            <w:tcBorders>
              <w:top w:val="single" w:sz="4" w:space="0" w:color="D2D2D2"/>
              <w:left w:val="nil"/>
              <w:bottom w:val="single" w:sz="4" w:space="0" w:color="4E81BD"/>
              <w:right w:val="single" w:sz="4" w:space="0" w:color="D2D2D2"/>
            </w:tcBorders>
          </w:tcPr>
          <w:p>
            <w:pPr>
              <w:pStyle w:val="TableParagraph"/>
              <w:spacing w:line="252" w:lineRule="auto" w:before="16"/>
              <w:ind w:left="122" w:right="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learning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gain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bottom w:val="single" w:sz="4" w:space="0" w:color="4E81BD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Highly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skilled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employment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further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study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bottom w:val="single" w:sz="4" w:space="0" w:color="4E81BD"/>
              <w:right w:val="nil"/>
            </w:tcBorders>
          </w:tcPr>
          <w:p>
            <w:pPr>
              <w:pStyle w:val="TableParagraph"/>
              <w:spacing w:line="249" w:lineRule="auto" w:before="16"/>
              <w:ind w:left="102" w:right="9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Destination of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Leavers from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Higher Education declared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activity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6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months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after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qualification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(subsequently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replaced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Survey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captured</w:t>
            </w:r>
          </w:p>
          <w:p>
            <w:pPr>
              <w:pStyle w:val="TableParagraph"/>
              <w:spacing w:line="192" w:lineRule="exact" w:before="2"/>
              <w:ind w:left="10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15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months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after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graduation)</w:t>
            </w:r>
          </w:p>
        </w:tc>
      </w:tr>
      <w:tr>
        <w:trPr>
          <w:trHeight w:val="230" w:hRule="atLeast"/>
        </w:trPr>
        <w:tc>
          <w:tcPr>
            <w:tcW w:w="9376" w:type="dxa"/>
            <w:gridSpan w:val="3"/>
            <w:tcBorders>
              <w:top w:val="single" w:sz="4" w:space="0" w:color="4E81BD"/>
              <w:left w:val="nil"/>
              <w:bottom w:val="single" w:sz="4" w:space="0" w:color="4E81BD"/>
              <w:right w:val="nil"/>
            </w:tcBorders>
          </w:tcPr>
          <w:p>
            <w:pPr>
              <w:pStyle w:val="TableParagraph"/>
              <w:spacing w:before="16"/>
              <w:ind w:left="3973" w:right="3962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Supplementary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metrics</w:t>
            </w:r>
          </w:p>
        </w:tc>
      </w:tr>
      <w:tr>
        <w:trPr>
          <w:trHeight w:val="431" w:hRule="atLeast"/>
        </w:trPr>
        <w:tc>
          <w:tcPr>
            <w:tcW w:w="1999" w:type="dxa"/>
            <w:tcBorders>
              <w:top w:val="single" w:sz="4" w:space="0" w:color="4E81BD"/>
              <w:left w:val="nil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Teaching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quality</w:t>
            </w:r>
          </w:p>
        </w:tc>
        <w:tc>
          <w:tcPr>
            <w:tcW w:w="3690" w:type="dxa"/>
            <w:tcBorders>
              <w:top w:val="single" w:sz="4" w:space="0" w:color="4E81BD"/>
              <w:left w:val="single" w:sz="4" w:space="0" w:color="D2D2D2"/>
              <w:bottom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before="16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Grade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inflation</w:t>
            </w:r>
          </w:p>
        </w:tc>
        <w:tc>
          <w:tcPr>
            <w:tcW w:w="3687" w:type="dxa"/>
            <w:tcBorders>
              <w:top w:val="single" w:sz="4" w:space="0" w:color="4E81BD"/>
              <w:left w:val="single" w:sz="4" w:space="0" w:color="D2D2D2"/>
              <w:bottom w:val="single" w:sz="4" w:space="0" w:color="D2D2D2"/>
              <w:right w:val="nil"/>
            </w:tcBorders>
          </w:tcPr>
          <w:p>
            <w:pPr>
              <w:pStyle w:val="TableParagraph"/>
              <w:spacing w:line="200" w:lineRule="atLeast" w:before="8"/>
              <w:ind w:left="102" w:right="55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Mandatory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provider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declaration for providers with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degree-awarding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powers</w:t>
            </w:r>
          </w:p>
        </w:tc>
      </w:tr>
      <w:tr>
        <w:trPr>
          <w:trHeight w:val="630" w:hRule="atLeast"/>
        </w:trPr>
        <w:tc>
          <w:tcPr>
            <w:tcW w:w="1999" w:type="dxa"/>
            <w:tcBorders>
              <w:top w:val="single" w:sz="4" w:space="0" w:color="D2D2D2"/>
              <w:left w:val="nil"/>
              <w:right w:val="single" w:sz="4" w:space="0" w:color="D2D2D2"/>
            </w:tcBorders>
          </w:tcPr>
          <w:p>
            <w:pPr>
              <w:pStyle w:val="TableParagraph"/>
              <w:spacing w:line="252" w:lineRule="auto" w:before="13"/>
              <w:ind w:left="122" w:right="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learning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gain</w:t>
            </w:r>
          </w:p>
        </w:tc>
        <w:tc>
          <w:tcPr>
            <w:tcW w:w="3690" w:type="dxa"/>
            <w:tcBorders>
              <w:top w:val="single" w:sz="4" w:space="0" w:color="D2D2D2"/>
              <w:left w:val="single" w:sz="4" w:space="0" w:color="D2D2D2"/>
              <w:right w:val="single" w:sz="4" w:space="0" w:color="D2D2D2"/>
            </w:tcBorders>
          </w:tcPr>
          <w:p>
            <w:pPr>
              <w:pStyle w:val="TableParagraph"/>
              <w:spacing w:line="249" w:lineRule="auto" w:before="13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Differential degree attainment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(a metric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referencing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differential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degree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completion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outcomes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</w:p>
          <w:p>
            <w:pPr>
              <w:pStyle w:val="TableParagraph"/>
              <w:spacing w:before="3"/>
              <w:ind w:left="10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disadvantaged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students)</w:t>
            </w:r>
          </w:p>
        </w:tc>
        <w:tc>
          <w:tcPr>
            <w:tcW w:w="3687" w:type="dxa"/>
            <w:tcBorders>
              <w:top w:val="single" w:sz="4" w:space="0" w:color="D2D2D2"/>
              <w:left w:val="single" w:sz="4" w:space="0" w:color="D2D2D2"/>
              <w:right w:val="nil"/>
            </w:tcBorders>
          </w:tcPr>
          <w:p>
            <w:pPr>
              <w:pStyle w:val="TableParagraph"/>
              <w:spacing w:line="252" w:lineRule="auto" w:before="13"/>
              <w:ind w:left="102" w:right="55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Mandatory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provider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declaration for providers with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degree-awarding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powers</w:t>
            </w:r>
          </w:p>
        </w:tc>
      </w:tr>
    </w:tbl>
    <w:p>
      <w:pPr>
        <w:spacing w:line="259" w:lineRule="auto" w:before="130"/>
        <w:ind w:left="183" w:right="304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 TEF acts as a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form of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performance-based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funding</w:t>
      </w:r>
      <w:r>
        <w:rPr>
          <w:rFonts w:ascii="Microsoft Sans Serif"/>
          <w:spacing w:val="28"/>
          <w:sz w:val="18"/>
        </w:rPr>
        <w:t> </w:t>
      </w:r>
      <w:r>
        <w:rPr>
          <w:rFonts w:ascii="Microsoft Sans Serif"/>
          <w:w w:val="80"/>
          <w:sz w:val="18"/>
        </w:rPr>
        <w:t>by enabling high-performing institutions to increase</w:t>
      </w:r>
      <w:r>
        <w:rPr>
          <w:rFonts w:ascii="Microsoft Sans Serif"/>
          <w:spacing w:val="29"/>
          <w:sz w:val="18"/>
        </w:rPr>
        <w:t> </w:t>
      </w:r>
      <w:r>
        <w:rPr>
          <w:rFonts w:ascii="Microsoft Sans Serif"/>
          <w:w w:val="80"/>
          <w:sz w:val="18"/>
        </w:rPr>
        <w:t>their funding,</w:t>
      </w:r>
      <w:r>
        <w:rPr>
          <w:rFonts w:ascii="Microsoft Sans Serif"/>
          <w:spacing w:val="29"/>
          <w:sz w:val="18"/>
        </w:rPr>
        <w:t> </w:t>
      </w:r>
      <w:r>
        <w:rPr>
          <w:rFonts w:ascii="Microsoft Sans Serif"/>
          <w:w w:val="80"/>
          <w:sz w:val="18"/>
        </w:rPr>
        <w:t>albeit through tuition</w:t>
      </w:r>
      <w:r>
        <w:rPr>
          <w:rFonts w:ascii="Microsoft Sans Serif"/>
          <w:spacing w:val="-3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 opposed to direct government funding. It similarly acts as a public transparency initiative, attempting to communicate directly with students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90"/>
          <w:sz w:val="18"/>
        </w:rPr>
        <w:t>about</w:t>
      </w:r>
      <w:r>
        <w:rPr>
          <w:rFonts w:ascii="Microsoft Sans Serif"/>
          <w:spacing w:val="-3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HEI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performance.</w:t>
      </w:r>
    </w:p>
    <w:p>
      <w:pPr>
        <w:spacing w:line="259" w:lineRule="auto" w:before="0"/>
        <w:ind w:left="183" w:right="301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5"/>
          <w:position w:val="1"/>
          <w:sz w:val="18"/>
        </w:rPr>
        <w:t>Sources:</w:t>
      </w:r>
      <w:r>
        <w:rPr>
          <w:rFonts w:ascii="Microsoft Sans Serif"/>
          <w:spacing w:val="1"/>
          <w:w w:val="85"/>
          <w:position w:val="1"/>
          <w:sz w:val="18"/>
        </w:rPr>
        <w:t> </w:t>
      </w:r>
      <w:r>
        <w:rPr>
          <w:rFonts w:ascii="Microsoft Sans Serif"/>
          <w:w w:val="85"/>
          <w:position w:val="1"/>
          <w:sz w:val="18"/>
        </w:rPr>
        <w:t>UK</w:t>
      </w:r>
      <w:r>
        <w:rPr>
          <w:rFonts w:ascii="Microsoft Sans Serif"/>
          <w:spacing w:val="1"/>
          <w:w w:val="85"/>
          <w:position w:val="1"/>
          <w:sz w:val="18"/>
        </w:rPr>
        <w:t> </w:t>
      </w:r>
      <w:r>
        <w:rPr>
          <w:rFonts w:ascii="Microsoft Sans Serif"/>
          <w:w w:val="85"/>
          <w:position w:val="1"/>
          <w:sz w:val="18"/>
        </w:rPr>
        <w:t>Department</w:t>
      </w:r>
      <w:r>
        <w:rPr>
          <w:rFonts w:ascii="Microsoft Sans Serif"/>
          <w:spacing w:val="1"/>
          <w:w w:val="85"/>
          <w:position w:val="1"/>
          <w:sz w:val="18"/>
        </w:rPr>
        <w:t> </w:t>
      </w:r>
      <w:r>
        <w:rPr>
          <w:rFonts w:ascii="Microsoft Sans Serif"/>
          <w:w w:val="85"/>
          <w:position w:val="1"/>
          <w:sz w:val="18"/>
        </w:rPr>
        <w:t>for</w:t>
      </w:r>
      <w:r>
        <w:rPr>
          <w:rFonts w:ascii="Microsoft Sans Serif"/>
          <w:spacing w:val="1"/>
          <w:w w:val="85"/>
          <w:position w:val="1"/>
          <w:sz w:val="18"/>
        </w:rPr>
        <w:t> </w:t>
      </w:r>
      <w:r>
        <w:rPr>
          <w:rFonts w:ascii="Microsoft Sans Serif"/>
          <w:w w:val="85"/>
          <w:position w:val="1"/>
          <w:sz w:val="18"/>
        </w:rPr>
        <w:t>Education</w:t>
      </w:r>
      <w:r>
        <w:rPr>
          <w:rFonts w:ascii="Microsoft Sans Serif"/>
          <w:spacing w:val="1"/>
          <w:w w:val="85"/>
          <w:position w:val="1"/>
          <w:sz w:val="18"/>
        </w:rPr>
        <w:t> </w:t>
      </w:r>
      <w:r>
        <w:rPr>
          <w:rFonts w:ascii="Microsoft Sans Serif"/>
          <w:w w:val="85"/>
          <w:position w:val="1"/>
          <w:sz w:val="18"/>
        </w:rPr>
        <w:t>(2017</w:t>
      </w:r>
      <w:r>
        <w:rPr>
          <w:rFonts w:ascii="Microsoft Sans Serif"/>
          <w:w w:val="85"/>
          <w:sz w:val="12"/>
        </w:rPr>
        <w:t>[20]</w:t>
      </w:r>
      <w:r>
        <w:rPr>
          <w:rFonts w:ascii="Microsoft Sans Serif"/>
          <w:w w:val="85"/>
          <w:position w:val="1"/>
          <w:sz w:val="18"/>
        </w:rPr>
        <w:t>),</w:t>
      </w:r>
      <w:r>
        <w:rPr>
          <w:rFonts w:ascii="Microsoft Sans Serif"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Teaching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Excellence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and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Student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Outcomes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Framework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Specification</w:t>
      </w:r>
      <w:r>
        <w:rPr>
          <w:rFonts w:ascii="Microsoft Sans Serif"/>
          <w:w w:val="85"/>
          <w:position w:val="1"/>
          <w:sz w:val="18"/>
        </w:rPr>
        <w:t>,</w:t>
      </w:r>
      <w:r>
        <w:rPr>
          <w:rFonts w:ascii="Microsoft Sans Serif"/>
          <w:spacing w:val="1"/>
          <w:w w:val="85"/>
          <w:position w:val="1"/>
          <w:sz w:val="18"/>
        </w:rPr>
        <w:t> </w:t>
      </w:r>
      <w:hyperlink r:id="rId127">
        <w:r>
          <w:rPr>
            <w:rFonts w:ascii="Microsoft Sans Serif"/>
            <w:color w:val="0000FF"/>
            <w:w w:val="80"/>
            <w:sz w:val="18"/>
            <w:u w:val="single" w:color="0000FF"/>
          </w:rPr>
          <w:t>https://assets.publishing.service.gov.uk/government/uploads/system/uploads/attachment_data/file/658490/Teaching_Excellence_and_Student</w:t>
        </w:r>
      </w:hyperlink>
    </w:p>
    <w:p>
      <w:pPr>
        <w:spacing w:line="256" w:lineRule="auto" w:before="0"/>
        <w:ind w:left="183" w:right="301" w:firstLine="0"/>
        <w:jc w:val="both"/>
        <w:rPr>
          <w:rFonts w:ascii="Microsoft Sans Serif"/>
          <w:sz w:val="18"/>
        </w:rPr>
      </w:pPr>
      <w:hyperlink r:id="rId127">
        <w:r>
          <w:rPr>
            <w:rFonts w:ascii="Microsoft Sans Serif"/>
            <w:color w:val="0000FF"/>
            <w:w w:val="80"/>
            <w:sz w:val="18"/>
            <w:u w:val="single" w:color="0000FF"/>
          </w:rPr>
          <w:t>_Outcomes_Framework_Specification.pdf</w:t>
        </w:r>
        <w:r>
          <w:rPr>
            <w:rFonts w:ascii="Microsoft Sans Serif"/>
            <w:w w:val="80"/>
            <w:sz w:val="18"/>
          </w:rPr>
          <w:t>, </w:t>
        </w:r>
      </w:hyperlink>
      <w:r>
        <w:rPr>
          <w:rFonts w:ascii="Microsoft Sans Serif"/>
          <w:w w:val="80"/>
          <w:sz w:val="18"/>
        </w:rPr>
        <w:t>and updated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with the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2018 TEF core and supplementary metrics accessed via James, G. et al.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(2019</w:t>
      </w:r>
      <w:r>
        <w:rPr>
          <w:rFonts w:ascii="Microsoft Sans Serif"/>
          <w:w w:val="90"/>
          <w:sz w:val="12"/>
        </w:rPr>
        <w:t>[22]</w:t>
      </w:r>
      <w:r>
        <w:rPr>
          <w:rFonts w:ascii="Microsoft Sans Serif"/>
          <w:w w:val="90"/>
          <w:position w:val="1"/>
          <w:sz w:val="18"/>
        </w:rPr>
        <w:t>),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Evaluation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of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the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Statistical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Elements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of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the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Teaching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Excellence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and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Student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Outcomes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Framework</w:t>
      </w:r>
      <w:r>
        <w:rPr>
          <w:rFonts w:ascii="Microsoft Sans Serif"/>
          <w:w w:val="90"/>
          <w:position w:val="1"/>
          <w:sz w:val="18"/>
        </w:rPr>
        <w:t>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hyperlink r:id="rId128">
        <w:r>
          <w:rPr>
            <w:rFonts w:ascii="Microsoft Sans Serif"/>
            <w:color w:val="0000FF"/>
            <w:w w:val="80"/>
            <w:sz w:val="18"/>
            <w:u w:val="single" w:color="0000FF"/>
          </w:rPr>
          <w:t>https://assets.publishing.service.gov.uk/government/uploads/system/uploads/attachment_data/file/940301/5._ONS_Statistical_Evaluation_-</w:t>
        </w:r>
      </w:hyperlink>
    </w:p>
    <w:p>
      <w:pPr>
        <w:spacing w:before="0"/>
        <w:ind w:left="183" w:right="0" w:firstLine="0"/>
        <w:jc w:val="left"/>
        <w:rPr>
          <w:rFonts w:ascii="Microsoft Sans Serif"/>
          <w:sz w:val="18"/>
        </w:rPr>
      </w:pPr>
      <w:hyperlink r:id="rId128">
        <w:r>
          <w:rPr>
            <w:rFonts w:ascii="Microsoft Sans Serif"/>
            <w:color w:val="0000FF"/>
            <w:w w:val="90"/>
            <w:sz w:val="18"/>
            <w:u w:val="single" w:color="0000FF"/>
          </w:rPr>
          <w:t>_accessible_Sept_2020.pdf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spacing w:after="0"/>
        <w:jc w:val="left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9"/>
        <w:rPr>
          <w:rFonts w:ascii="Microsoft Sans Serif"/>
          <w:sz w:val="8"/>
        </w:rPr>
      </w:pPr>
    </w:p>
    <w:p>
      <w:pPr>
        <w:pStyle w:val="BodyText"/>
        <w:spacing w:line="271" w:lineRule="auto" w:before="93"/>
        <w:ind w:left="183" w:right="302"/>
        <w:jc w:val="both"/>
      </w:pPr>
      <w:r>
        <w:rPr/>
        <w:t>Reports have found mixed evidence of impact, including that 52% of university applicants had heard of</w:t>
      </w:r>
      <w:r>
        <w:rPr>
          <w:spacing w:val="1"/>
        </w:rPr>
        <w:t> </w:t>
      </w:r>
      <w:r>
        <w:rPr/>
        <w:t>TEF, and 56% had heard of the associated awards. Regarding raising esteem for teaching, 66% of</w:t>
      </w:r>
      <w:r>
        <w:rPr>
          <w:spacing w:val="1"/>
        </w:rPr>
        <w:t> </w:t>
      </w:r>
      <w:r>
        <w:rPr/>
        <w:t>academics</w:t>
      </w:r>
      <w:r>
        <w:rPr>
          <w:spacing w:val="-8"/>
        </w:rPr>
        <w:t> </w:t>
      </w:r>
      <w:r>
        <w:rPr/>
        <w:t>contacted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independent</w:t>
      </w:r>
      <w:r>
        <w:rPr>
          <w:spacing w:val="-9"/>
        </w:rPr>
        <w:t> </w:t>
      </w:r>
      <w:r>
        <w:rPr/>
        <w:t>review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TEF</w:t>
      </w:r>
      <w:r>
        <w:rPr>
          <w:spacing w:val="-8"/>
        </w:rPr>
        <w:t> </w:t>
      </w:r>
      <w:r>
        <w:rPr/>
        <w:t>stated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had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impact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teaching</w:t>
      </w:r>
      <w:r>
        <w:rPr>
          <w:spacing w:val="-53"/>
        </w:rPr>
        <w:t> </w:t>
      </w:r>
      <w:r>
        <w:rPr/>
        <w:t>excellence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institution,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61%</w:t>
      </w:r>
      <w:r>
        <w:rPr>
          <w:spacing w:val="-5"/>
        </w:rPr>
        <w:t> </w:t>
      </w:r>
      <w:r>
        <w:rPr/>
        <w:t>stating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had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excellence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1"/>
        </w:rPr>
        <w:t>HE sector as a whole (Vivian et al., 2019</w:t>
      </w:r>
      <w:r>
        <w:rPr>
          <w:sz w:val="13"/>
        </w:rPr>
        <w:t>[23]</w:t>
      </w:r>
      <w:r>
        <w:rPr>
          <w:position w:val="1"/>
        </w:rPr>
        <w:t>). While recognition of the award level among students is</w:t>
      </w:r>
      <w:r>
        <w:rPr>
          <w:spacing w:val="1"/>
          <w:position w:val="1"/>
        </w:rPr>
        <w:t> </w:t>
      </w:r>
      <w:r>
        <w:rPr/>
        <w:t>reasonably</w:t>
      </w:r>
      <w:r>
        <w:rPr>
          <w:spacing w:val="-12"/>
        </w:rPr>
        <w:t> </w:t>
      </w:r>
      <w:r>
        <w:rPr/>
        <w:t>high</w:t>
      </w:r>
      <w:r>
        <w:rPr>
          <w:spacing w:val="-7"/>
        </w:rPr>
        <w:t> </w:t>
      </w:r>
      <w:r>
        <w:rPr/>
        <w:t>given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relatively</w:t>
      </w:r>
      <w:r>
        <w:rPr>
          <w:spacing w:val="-11"/>
        </w:rPr>
        <w:t> </w:t>
      </w:r>
      <w:r>
        <w:rPr/>
        <w:t>short</w:t>
      </w:r>
      <w:r>
        <w:rPr>
          <w:spacing w:val="-4"/>
        </w:rPr>
        <w:t> </w:t>
      </w:r>
      <w:r>
        <w:rPr/>
        <w:t>time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public</w:t>
      </w:r>
      <w:r>
        <w:rPr>
          <w:spacing w:val="-8"/>
        </w:rPr>
        <w:t> </w:t>
      </w:r>
      <w:r>
        <w:rPr/>
        <w:t>sphere,</w:t>
      </w:r>
      <w:r>
        <w:rPr>
          <w:spacing w:val="-8"/>
        </w:rPr>
        <w:t> </w:t>
      </w:r>
      <w:r>
        <w:rPr/>
        <w:t>concerns</w:t>
      </w:r>
      <w:r>
        <w:rPr>
          <w:spacing w:val="-7"/>
        </w:rPr>
        <w:t> </w:t>
      </w:r>
      <w:r>
        <w:rPr/>
        <w:t>have</w:t>
      </w:r>
      <w:r>
        <w:rPr>
          <w:spacing w:val="-9"/>
        </w:rPr>
        <w:t> </w:t>
      </w:r>
      <w:r>
        <w:rPr/>
        <w:t>been</w:t>
      </w:r>
      <w:r>
        <w:rPr>
          <w:spacing w:val="-8"/>
        </w:rPr>
        <w:t> </w:t>
      </w:r>
      <w:r>
        <w:rPr/>
        <w:t>raised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gold,</w:t>
      </w:r>
      <w:r>
        <w:rPr>
          <w:spacing w:val="-9"/>
        </w:rPr>
        <w:t> </w:t>
      </w:r>
      <w:r>
        <w:rPr/>
        <w:t>silver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bronze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overly</w:t>
      </w:r>
      <w:r>
        <w:rPr>
          <w:spacing w:val="-12"/>
        </w:rPr>
        <w:t> </w:t>
      </w:r>
      <w:r>
        <w:rPr/>
        <w:t>simplistic,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term</w:t>
      </w:r>
      <w:r>
        <w:rPr>
          <w:spacing w:val="-4"/>
        </w:rPr>
        <w:t> </w:t>
      </w:r>
      <w:r>
        <w:rPr/>
        <w:t>“bronze”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while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reality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sign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meeting</w:t>
      </w:r>
      <w:r>
        <w:rPr>
          <w:spacing w:val="1"/>
        </w:rPr>
        <w:t> </w:t>
      </w:r>
      <w:r>
        <w:rPr/>
        <w:t>or</w:t>
      </w:r>
      <w:r>
        <w:rPr>
          <w:spacing w:val="-6"/>
        </w:rPr>
        <w:t> </w:t>
      </w:r>
      <w:r>
        <w:rPr/>
        <w:t>exceeding</w:t>
      </w:r>
      <w:r>
        <w:rPr>
          <w:spacing w:val="-7"/>
        </w:rPr>
        <w:t> </w:t>
      </w:r>
      <w:r>
        <w:rPr/>
        <w:t>core</w:t>
      </w:r>
      <w:r>
        <w:rPr>
          <w:spacing w:val="-6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standards –</w:t>
      </w:r>
      <w:r>
        <w:rPr>
          <w:spacing w:val="-7"/>
        </w:rPr>
        <w:t> </w:t>
      </w:r>
      <w:r>
        <w:rPr/>
        <w:t>has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more</w:t>
      </w:r>
      <w:r>
        <w:rPr>
          <w:spacing w:val="-6"/>
        </w:rPr>
        <w:t> </w:t>
      </w:r>
      <w:r>
        <w:rPr/>
        <w:t>negative</w:t>
      </w:r>
      <w:r>
        <w:rPr>
          <w:spacing w:val="-6"/>
        </w:rPr>
        <w:t> </w:t>
      </w:r>
      <w:r>
        <w:rPr/>
        <w:t>implication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could</w:t>
      </w:r>
      <w:r>
        <w:rPr>
          <w:spacing w:val="-7"/>
        </w:rPr>
        <w:t> </w:t>
      </w:r>
      <w:r>
        <w:rPr/>
        <w:t>hurt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reputation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1"/>
        </w:rPr>
        <w:t>sector</w:t>
      </w:r>
      <w:r>
        <w:rPr>
          <w:spacing w:val="-1"/>
          <w:position w:val="1"/>
        </w:rPr>
        <w:t> </w:t>
      </w:r>
      <w:r>
        <w:rPr>
          <w:position w:val="1"/>
        </w:rPr>
        <w:t>(UK</w:t>
      </w:r>
      <w:r>
        <w:rPr>
          <w:spacing w:val="-1"/>
          <w:position w:val="1"/>
        </w:rPr>
        <w:t> </w:t>
      </w:r>
      <w:r>
        <w:rPr>
          <w:position w:val="1"/>
        </w:rPr>
        <w:t>Department</w:t>
      </w:r>
      <w:r>
        <w:rPr>
          <w:spacing w:val="-1"/>
          <w:position w:val="1"/>
        </w:rPr>
        <w:t> </w:t>
      </w:r>
      <w:r>
        <w:rPr>
          <w:position w:val="1"/>
        </w:rPr>
        <w:t>for</w:t>
      </w:r>
      <w:r>
        <w:rPr>
          <w:spacing w:val="-1"/>
          <w:position w:val="1"/>
        </w:rPr>
        <w:t> </w:t>
      </w:r>
      <w:r>
        <w:rPr>
          <w:position w:val="1"/>
        </w:rPr>
        <w:t>Education,</w:t>
      </w:r>
      <w:r>
        <w:rPr>
          <w:spacing w:val="-2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[24]</w:t>
      </w:r>
      <w:r>
        <w:rPr>
          <w:position w:val="1"/>
        </w:rPr>
        <w:t>).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</w:pPr>
      <w:bookmarkStart w:name="Proposed actions for the Slovak Republic" w:id="105"/>
      <w:bookmarkEnd w:id="105"/>
      <w:r>
        <w:rPr>
          <w:b w:val="0"/>
          <w:i w:val="0"/>
        </w:rPr>
      </w:r>
      <w:r>
        <w:rPr/>
        <w:t>Proposed</w:t>
      </w:r>
      <w:r>
        <w:rPr>
          <w:spacing w:val="-3"/>
        </w:rPr>
        <w:t> </w:t>
      </w:r>
      <w:r>
        <w:rPr/>
        <w:t>actions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Slovak</w:t>
      </w:r>
      <w:r>
        <w:rPr>
          <w:spacing w:val="-3"/>
        </w:rPr>
        <w:t> </w:t>
      </w:r>
      <w:r>
        <w:rPr/>
        <w:t>Republic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71" w:lineRule="auto"/>
        <w:ind w:left="183" w:right="301"/>
        <w:jc w:val="both"/>
      </w:pPr>
      <w:r>
        <w:rPr/>
        <w:t>The Slovak government has identified key performance challenges facing the higher education system.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there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strong</w:t>
      </w:r>
      <w:r>
        <w:rPr>
          <w:spacing w:val="-13"/>
        </w:rPr>
        <w:t> </w:t>
      </w:r>
      <w:r>
        <w:rPr>
          <w:spacing w:val="-1"/>
        </w:rPr>
        <w:t>impetus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reform</w:t>
      </w:r>
      <w:r>
        <w:rPr>
          <w:spacing w:val="-8"/>
        </w:rPr>
        <w:t> </w:t>
      </w:r>
      <w:r>
        <w:rPr/>
        <w:t>in</w:t>
      </w:r>
      <w:r>
        <w:rPr>
          <w:spacing w:val="-13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some</w:t>
      </w:r>
      <w:r>
        <w:rPr>
          <w:spacing w:val="-13"/>
        </w:rPr>
        <w:t> </w:t>
      </w:r>
      <w:r>
        <w:rPr/>
        <w:t>parts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Slovak</w:t>
      </w:r>
      <w:r>
        <w:rPr>
          <w:spacing w:val="-9"/>
        </w:rPr>
        <w:t> </w:t>
      </w:r>
      <w:r>
        <w:rPr/>
        <w:t>society,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 change as new European funding will soon be provided to the Slovak Republic, there are concerns</w:t>
      </w:r>
      <w:r>
        <w:rPr>
          <w:spacing w:val="1"/>
        </w:rPr>
        <w:t> </w:t>
      </w:r>
      <w:r>
        <w:rPr/>
        <w:t>within the higher education sector that reforms that are already underway – such as the reform of quality</w:t>
      </w:r>
      <w:r>
        <w:rPr>
          <w:spacing w:val="1"/>
        </w:rPr>
        <w:t> </w:t>
      </w:r>
      <w:r>
        <w:rPr>
          <w:spacing w:val="-1"/>
        </w:rPr>
        <w:t>assurance –</w:t>
      </w:r>
      <w:r>
        <w:rPr>
          <w:spacing w:val="-12"/>
        </w:rPr>
        <w:t> </w:t>
      </w:r>
      <w:r>
        <w:rPr>
          <w:spacing w:val="-1"/>
        </w:rPr>
        <w:t>constitute</w:t>
      </w:r>
      <w:r>
        <w:rPr>
          <w:spacing w:val="-12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important</w:t>
      </w:r>
      <w:r>
        <w:rPr>
          <w:spacing w:val="-12"/>
        </w:rPr>
        <w:t> </w:t>
      </w:r>
      <w:r>
        <w:rPr>
          <w:spacing w:val="-1"/>
        </w:rPr>
        <w:t>step</w:t>
      </w:r>
      <w:r>
        <w:rPr>
          <w:spacing w:val="-14"/>
        </w:rPr>
        <w:t> </w:t>
      </w:r>
      <w:r>
        <w:rPr>
          <w:spacing w:val="-1"/>
        </w:rPr>
        <w:t>forward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should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0"/>
        </w:rPr>
        <w:t> </w:t>
      </w:r>
      <w:r>
        <w:rPr>
          <w:spacing w:val="-1"/>
        </w:rPr>
        <w:t>implemented</w:t>
      </w:r>
      <w:r>
        <w:rPr>
          <w:spacing w:val="-14"/>
        </w:rPr>
        <w:t> </w:t>
      </w:r>
      <w:r>
        <w:rPr/>
        <w:t>before</w:t>
      </w:r>
      <w:r>
        <w:rPr>
          <w:spacing w:val="-12"/>
        </w:rPr>
        <w:t> </w:t>
      </w:r>
      <w:r>
        <w:rPr/>
        <w:t>considering</w:t>
      </w:r>
      <w:r>
        <w:rPr>
          <w:spacing w:val="-10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reforms. In addition, past reform attempts in higher education suggest Slovak authorities must take</w:t>
      </w:r>
      <w:r>
        <w:rPr>
          <w:spacing w:val="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care in designing, co-ordinating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implementing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reform</w:t>
      </w:r>
      <w:r>
        <w:rPr>
          <w:spacing w:val="3"/>
        </w:rPr>
        <w:t> </w:t>
      </w:r>
      <w:r>
        <w:rPr/>
        <w:t>plans.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Particular emphasis is thus needed on the co-ordination and sequencing of the various reform efforts</w:t>
      </w:r>
      <w:r>
        <w:rPr>
          <w:spacing w:val="1"/>
        </w:rPr>
        <w:t> </w:t>
      </w:r>
      <w:r>
        <w:rPr/>
        <w:t>underway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on</w:t>
      </w:r>
      <w:r>
        <w:rPr>
          <w:spacing w:val="-12"/>
        </w:rPr>
        <w:t> </w:t>
      </w:r>
      <w:r>
        <w:rPr/>
        <w:t>collaboration</w:t>
      </w:r>
      <w:r>
        <w:rPr>
          <w:spacing w:val="-10"/>
        </w:rPr>
        <w:t> </w:t>
      </w:r>
      <w:r>
        <w:rPr/>
        <w:t>with</w:t>
      </w:r>
      <w:r>
        <w:rPr>
          <w:spacing w:val="-12"/>
        </w:rPr>
        <w:t> </w:t>
      </w:r>
      <w:r>
        <w:rPr/>
        <w:t>HEIs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reform</w:t>
      </w:r>
      <w:r>
        <w:rPr>
          <w:spacing w:val="-8"/>
        </w:rPr>
        <w:t> </w:t>
      </w:r>
      <w:r>
        <w:rPr/>
        <w:t>design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implementation</w:t>
      </w:r>
      <w:r>
        <w:rPr>
          <w:spacing w:val="-13"/>
        </w:rPr>
        <w:t> </w:t>
      </w:r>
      <w:r>
        <w:rPr/>
        <w:t>process.</w:t>
      </w:r>
      <w:r>
        <w:rPr>
          <w:spacing w:val="-11"/>
        </w:rPr>
        <w:t> </w:t>
      </w:r>
      <w:r>
        <w:rPr/>
        <w:t>Reforms</w:t>
      </w:r>
      <w:r>
        <w:rPr>
          <w:spacing w:val="-53"/>
        </w:rPr>
        <w:t> </w:t>
      </w:r>
      <w:r>
        <w:rPr/>
        <w:t>should be guided by clear and widely supported objectives as well as indicators and reliable data to</w:t>
      </w:r>
      <w:r>
        <w:rPr>
          <w:spacing w:val="1"/>
        </w:rPr>
        <w:t> </w:t>
      </w:r>
      <w:r>
        <w:rPr/>
        <w:t>measure progress. Careful implementation planning is needed, taking into account the need for financial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human</w:t>
      </w:r>
      <w:r>
        <w:rPr>
          <w:spacing w:val="-9"/>
        </w:rPr>
        <w:t> </w:t>
      </w:r>
      <w:r>
        <w:rPr/>
        <w:t>resources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implement</w:t>
      </w:r>
      <w:r>
        <w:rPr>
          <w:spacing w:val="-9"/>
        </w:rPr>
        <w:t> </w:t>
      </w:r>
      <w:r>
        <w:rPr/>
        <w:t>reform,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both</w:t>
      </w:r>
      <w:r>
        <w:rPr>
          <w:spacing w:val="-7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HEI</w:t>
      </w:r>
      <w:r>
        <w:rPr>
          <w:spacing w:val="-9"/>
        </w:rPr>
        <w:t> </w:t>
      </w:r>
      <w:r>
        <w:rPr/>
        <w:t>(also</w:t>
      </w:r>
      <w:r>
        <w:rPr>
          <w:spacing w:val="-9"/>
        </w:rPr>
        <w:t> </w:t>
      </w:r>
      <w:r>
        <w:rPr/>
        <w:t>see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next</w:t>
      </w:r>
      <w:r>
        <w:rPr>
          <w:spacing w:val="-9"/>
        </w:rPr>
        <w:t> </w:t>
      </w:r>
      <w:r>
        <w:rPr/>
        <w:t>section,</w:t>
      </w:r>
      <w:r>
        <w:rPr>
          <w:spacing w:val="-9"/>
        </w:rPr>
        <w:t> </w:t>
      </w:r>
      <w:r>
        <w:rPr/>
        <w:t>“Using</w:t>
      </w:r>
      <w:r>
        <w:rPr>
          <w:spacing w:val="1"/>
        </w:rPr>
        <w:t> </w:t>
      </w:r>
      <w:r>
        <w:rPr/>
        <w:t>funding to</w:t>
      </w:r>
      <w:r>
        <w:rPr>
          <w:spacing w:val="-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reward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performance”).</w:t>
      </w:r>
    </w:p>
    <w:p>
      <w:pPr>
        <w:pStyle w:val="BodyText"/>
        <w:spacing w:line="271" w:lineRule="auto" w:before="120"/>
        <w:ind w:left="183" w:right="307"/>
        <w:jc w:val="both"/>
      </w:pPr>
      <w:r>
        <w:rPr/>
        <w:t>Examples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Latvia,</w:t>
      </w:r>
      <w:r>
        <w:rPr>
          <w:spacing w:val="55"/>
        </w:rPr>
        <w:t> </w:t>
      </w:r>
      <w:r>
        <w:rPr/>
        <w:t>Norway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England</w:t>
      </w:r>
      <w:r>
        <w:rPr>
          <w:spacing w:val="56"/>
        </w:rPr>
        <w:t> </w:t>
      </w:r>
      <w:r>
        <w:rPr/>
        <w:t>(United Kingdom)</w:t>
      </w:r>
      <w:r>
        <w:rPr>
          <w:spacing w:val="55"/>
        </w:rPr>
        <w:t> </w:t>
      </w:r>
      <w:r>
        <w:rPr/>
        <w:t>offer</w:t>
      </w:r>
      <w:r>
        <w:rPr>
          <w:spacing w:val="56"/>
        </w:rPr>
        <w:t> </w:t>
      </w:r>
      <w:r>
        <w:rPr/>
        <w:t>examples</w:t>
      </w:r>
      <w:r>
        <w:rPr>
          <w:spacing w:val="55"/>
        </w:rPr>
        <w:t> </w:t>
      </w:r>
      <w:r>
        <w:rPr/>
        <w:t>from</w:t>
      </w:r>
      <w:r>
        <w:rPr>
          <w:spacing w:val="56"/>
        </w:rPr>
        <w:t> </w:t>
      </w:r>
      <w:r>
        <w:rPr/>
        <w:t>which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 can draw to develop a long-term and regularly updated education strategy, to establish</w:t>
      </w:r>
      <w:r>
        <w:rPr>
          <w:spacing w:val="1"/>
        </w:rPr>
        <w:t> </w:t>
      </w:r>
      <w:r>
        <w:rPr/>
        <w:t>effective mechanisms for ongoing collaboration and engagement with stakeholders, and to conceptualise</w:t>
      </w:r>
      <w:r>
        <w:rPr>
          <w:spacing w:val="-53"/>
        </w:rPr>
        <w:t> </w:t>
      </w:r>
      <w:r>
        <w:rPr/>
        <w:t>and</w:t>
      </w:r>
      <w:r>
        <w:rPr>
          <w:spacing w:val="-2"/>
        </w:rPr>
        <w:t> </w:t>
      </w:r>
      <w:r>
        <w:rPr/>
        <w:t>measure</w:t>
      </w:r>
      <w:r>
        <w:rPr>
          <w:spacing w:val="-1"/>
        </w:rPr>
        <w:t> </w:t>
      </w:r>
      <w:r>
        <w:rPr/>
        <w:t>quality</w:t>
      </w:r>
      <w:r>
        <w:rPr>
          <w:spacing w:val="-4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271" w:lineRule="auto" w:before="123"/>
        <w:ind w:left="183" w:right="311"/>
        <w:jc w:val="both"/>
      </w:pPr>
      <w:r>
        <w:rPr/>
        <w:t>Three policy actions are recommended to Slovak authorities, which should be implemented in close</w:t>
      </w:r>
      <w:r>
        <w:rPr>
          <w:spacing w:val="1"/>
        </w:rPr>
        <w:t> </w:t>
      </w:r>
      <w:r>
        <w:rPr/>
        <w:t>collaboration with</w:t>
      </w:r>
      <w:r>
        <w:rPr>
          <w:spacing w:val="-1"/>
        </w:rPr>
        <w:t> </w:t>
      </w:r>
      <w:r>
        <w:rPr/>
        <w:t>HEIs.</w:t>
      </w:r>
    </w:p>
    <w:p>
      <w:pPr>
        <w:pStyle w:val="BodyText"/>
        <w:spacing w:before="11"/>
        <w:rPr>
          <w:sz w:val="19"/>
        </w:rPr>
      </w:pPr>
    </w:p>
    <w:p>
      <w:pPr>
        <w:pStyle w:val="Heading7"/>
        <w:spacing w:line="266" w:lineRule="auto"/>
        <w:ind w:right="868"/>
      </w:pPr>
      <w:bookmarkStart w:name="Policy action 1. Establish a small multi" w:id="106"/>
      <w:bookmarkEnd w:id="106"/>
      <w:r>
        <w:rPr>
          <w:i w:val="0"/>
        </w:rPr>
      </w:r>
      <w:r>
        <w:rPr>
          <w:color w:val="616161"/>
        </w:rPr>
        <w:t>Policy action 1. Establish a small multi-stakeholder Higher Education Task Force</w:t>
      </w:r>
      <w:r>
        <w:rPr>
          <w:color w:val="616161"/>
          <w:spacing w:val="1"/>
        </w:rPr>
        <w:t> </w:t>
      </w:r>
      <w:r>
        <w:rPr>
          <w:color w:val="616161"/>
        </w:rPr>
        <w:t>responsible for co-ordinating the development and implementation of higher education</w:t>
      </w:r>
      <w:r>
        <w:rPr>
          <w:color w:val="616161"/>
          <w:spacing w:val="-59"/>
        </w:rPr>
        <w:t> </w:t>
      </w:r>
      <w:r>
        <w:rPr>
          <w:color w:val="616161"/>
        </w:rPr>
        <w:t>reforms</w:t>
      </w:r>
    </w:p>
    <w:p>
      <w:pPr>
        <w:pStyle w:val="BodyText"/>
        <w:spacing w:line="271" w:lineRule="auto" w:before="187"/>
        <w:ind w:left="183" w:right="303"/>
        <w:jc w:val="both"/>
      </w:pPr>
      <w:r>
        <w:rPr/>
        <w:t>The</w:t>
      </w:r>
      <w:r>
        <w:rPr>
          <w:spacing w:val="-6"/>
        </w:rPr>
        <w:t> </w:t>
      </w:r>
      <w:r>
        <w:rPr/>
        <w:t>Slovak</w:t>
      </w:r>
      <w:r>
        <w:rPr>
          <w:spacing w:val="-3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considering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reforms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aim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transformative</w:t>
      </w:r>
      <w:r>
        <w:rPr>
          <w:spacing w:val="-5"/>
        </w:rPr>
        <w:t> </w:t>
      </w:r>
      <w:r>
        <w:rPr/>
        <w:t>change,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 within a relatively short timeframe. To balance the need for large-scale change with that of</w:t>
      </w:r>
      <w:r>
        <w:rPr>
          <w:spacing w:val="1"/>
        </w:rPr>
        <w:t> </w:t>
      </w:r>
      <w:r>
        <w:rPr/>
        <w:t>effective implementation, the Slovak Republic needs to establish structures and procedures that allow for</w:t>
      </w:r>
      <w:r>
        <w:rPr>
          <w:spacing w:val="-53"/>
        </w:rPr>
        <w:t> </w:t>
      </w:r>
      <w:r>
        <w:rPr/>
        <w:t>regular,</w:t>
      </w:r>
      <w:r>
        <w:rPr>
          <w:spacing w:val="-3"/>
        </w:rPr>
        <w:t> </w:t>
      </w:r>
      <w:r>
        <w:rPr/>
        <w:t>transparent and</w:t>
      </w:r>
      <w:r>
        <w:rPr>
          <w:spacing w:val="-2"/>
        </w:rPr>
        <w:t> </w:t>
      </w:r>
      <w:r>
        <w:rPr/>
        <w:t>results-oriented</w:t>
      </w:r>
      <w:r>
        <w:rPr>
          <w:spacing w:val="-2"/>
        </w:rPr>
        <w:t> </w:t>
      </w:r>
      <w:r>
        <w:rPr/>
        <w:t>consultation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 HEIs.</w:t>
      </w:r>
    </w:p>
    <w:p>
      <w:pPr>
        <w:pStyle w:val="BodyText"/>
        <w:spacing w:line="271" w:lineRule="auto" w:before="122"/>
        <w:ind w:left="183" w:right="300"/>
        <w:jc w:val="both"/>
      </w:pPr>
      <w:r>
        <w:rPr/>
        <w:t>We recommend that the Prime Minister’s Office establish a Higher Education Task Force (hereafter “the</w:t>
      </w:r>
      <w:r>
        <w:rPr>
          <w:spacing w:val="1"/>
        </w:rPr>
        <w:t> </w:t>
      </w:r>
      <w:r>
        <w:rPr/>
        <w:t>Task Force”) that works closely with the Ministry of Education. The Task Force would aim to expand and</w:t>
      </w:r>
      <w:r>
        <w:rPr>
          <w:spacing w:val="1"/>
        </w:rPr>
        <w:t> </w:t>
      </w:r>
      <w:r>
        <w:rPr/>
        <w:t>structure stakeholder engagement and serve as a steering body to develop a higher education strategy</w:t>
      </w:r>
      <w:r>
        <w:rPr>
          <w:spacing w:val="1"/>
        </w:rPr>
        <w:t> </w:t>
      </w:r>
      <w:r>
        <w:rPr/>
        <w:t>that connects the many reform efforts underway and clarifies their value to higher education stakeholders</w:t>
      </w:r>
      <w:r>
        <w:rPr>
          <w:spacing w:val="-5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public.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Task</w:t>
      </w:r>
      <w:r>
        <w:rPr>
          <w:spacing w:val="-9"/>
        </w:rPr>
        <w:t> </w:t>
      </w:r>
      <w:r>
        <w:rPr>
          <w:spacing w:val="-1"/>
        </w:rPr>
        <w:t>Force</w:t>
      </w:r>
      <w:r>
        <w:rPr>
          <w:spacing w:val="-13"/>
        </w:rPr>
        <w:t> </w:t>
      </w:r>
      <w:r>
        <w:rPr/>
        <w:t>should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broadly</w:t>
      </w:r>
      <w:r>
        <w:rPr>
          <w:spacing w:val="-14"/>
        </w:rPr>
        <w:t> </w:t>
      </w:r>
      <w:r>
        <w:rPr/>
        <w:t>inclusive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stakeholders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follow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agreed</w:t>
      </w:r>
      <w:r>
        <w:rPr>
          <w:spacing w:val="-13"/>
        </w:rPr>
        <w:t> </w:t>
      </w:r>
      <w:r>
        <w:rPr/>
        <w:t>schedule.</w:t>
      </w:r>
    </w:p>
    <w:p>
      <w:pPr>
        <w:pStyle w:val="BodyText"/>
        <w:spacing w:line="273" w:lineRule="auto" w:before="119"/>
        <w:ind w:left="183" w:right="301"/>
        <w:jc w:val="both"/>
      </w:pPr>
      <w:r>
        <w:rPr/>
        <w:t>The recommendation that the Task Force be accountable to the Prime Minister’s Office is meant to</w:t>
      </w:r>
      <w:r>
        <w:rPr>
          <w:spacing w:val="1"/>
        </w:rPr>
        <w:t> </w:t>
      </w:r>
      <w:r>
        <w:rPr/>
        <w:t>emphasise:</w:t>
      </w:r>
    </w:p>
    <w:p>
      <w:pPr>
        <w:spacing w:after="0" w:line="273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172" w:after="0"/>
        <w:ind w:left="862" w:right="301" w:hanging="339"/>
        <w:jc w:val="both"/>
        <w:rPr>
          <w:sz w:val="20"/>
        </w:rPr>
      </w:pPr>
      <w:r>
        <w:rPr>
          <w:sz w:val="20"/>
        </w:rPr>
        <w:t>The importance of higher education as an engine for economic prosperity and social well-being in</w:t>
      </w:r>
      <w:r>
        <w:rPr>
          <w:spacing w:val="-53"/>
          <w:sz w:val="20"/>
        </w:rPr>
        <w:t> </w:t>
      </w:r>
      <w:r>
        <w:rPr>
          <w:sz w:val="20"/>
        </w:rPr>
        <w:t>the Slovak</w:t>
      </w:r>
      <w:r>
        <w:rPr>
          <w:spacing w:val="2"/>
          <w:sz w:val="20"/>
        </w:rPr>
        <w:t> </w:t>
      </w:r>
      <w:r>
        <w:rPr>
          <w:sz w:val="20"/>
        </w:rPr>
        <w:t>Republic 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years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come.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8" w:lineRule="auto" w:before="51" w:after="0"/>
        <w:ind w:left="862" w:right="305" w:hanging="339"/>
        <w:jc w:val="both"/>
        <w:rPr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interdependencies</w:t>
      </w:r>
      <w:r>
        <w:rPr>
          <w:spacing w:val="-10"/>
          <w:sz w:val="20"/>
        </w:rPr>
        <w:t> </w:t>
      </w:r>
      <w:r>
        <w:rPr>
          <w:sz w:val="20"/>
        </w:rPr>
        <w:t>between</w:t>
      </w:r>
      <w:r>
        <w:rPr>
          <w:spacing w:val="-11"/>
          <w:sz w:val="20"/>
        </w:rPr>
        <w:t> </w:t>
      </w:r>
      <w:r>
        <w:rPr>
          <w:sz w:val="20"/>
        </w:rPr>
        <w:t>higher</w:t>
      </w:r>
      <w:r>
        <w:rPr>
          <w:spacing w:val="-10"/>
          <w:sz w:val="20"/>
        </w:rPr>
        <w:t> </w:t>
      </w:r>
      <w:r>
        <w:rPr>
          <w:sz w:val="20"/>
        </w:rPr>
        <w:t>education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wider</w:t>
      </w:r>
      <w:r>
        <w:rPr>
          <w:spacing w:val="-10"/>
          <w:sz w:val="20"/>
        </w:rPr>
        <w:t> </w:t>
      </w:r>
      <w:r>
        <w:rPr>
          <w:sz w:val="20"/>
        </w:rPr>
        <w:t>policy</w:t>
      </w:r>
      <w:r>
        <w:rPr>
          <w:spacing w:val="-11"/>
          <w:sz w:val="20"/>
        </w:rPr>
        <w:t> </w:t>
      </w:r>
      <w:r>
        <w:rPr>
          <w:sz w:val="20"/>
        </w:rPr>
        <w:t>issues</w:t>
      </w:r>
      <w:r>
        <w:rPr>
          <w:spacing w:val="-10"/>
          <w:sz w:val="20"/>
        </w:rPr>
        <w:t> </w:t>
      </w:r>
      <w:r>
        <w:rPr>
          <w:sz w:val="20"/>
        </w:rPr>
        <w:t>(e.g.</w:t>
      </w:r>
      <w:r>
        <w:rPr>
          <w:spacing w:val="-1"/>
          <w:sz w:val="20"/>
        </w:rPr>
        <w:t> </w:t>
      </w:r>
      <w:r>
        <w:rPr>
          <w:sz w:val="20"/>
        </w:rPr>
        <w:t>population</w:t>
      </w:r>
      <w:r>
        <w:rPr>
          <w:spacing w:val="-11"/>
          <w:sz w:val="20"/>
        </w:rPr>
        <w:t> </w:t>
      </w:r>
      <w:r>
        <w:rPr>
          <w:sz w:val="20"/>
        </w:rPr>
        <w:t>decline,</w:t>
      </w:r>
      <w:r>
        <w:rPr>
          <w:spacing w:val="1"/>
          <w:sz w:val="20"/>
        </w:rPr>
        <w:t> </w:t>
      </w:r>
      <w:r>
        <w:rPr>
          <w:sz w:val="20"/>
        </w:rPr>
        <w:t>vulnerability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Slovak</w:t>
      </w:r>
      <w:r>
        <w:rPr>
          <w:spacing w:val="-4"/>
          <w:sz w:val="20"/>
        </w:rPr>
        <w:t> </w:t>
      </w:r>
      <w:r>
        <w:rPr>
          <w:sz w:val="20"/>
        </w:rPr>
        <w:t>economy</w:t>
      </w:r>
      <w:r>
        <w:rPr>
          <w:spacing w:val="-13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automation,</w:t>
      </w:r>
      <w:r>
        <w:rPr>
          <w:spacing w:val="-7"/>
          <w:sz w:val="20"/>
        </w:rPr>
        <w:t> </w:t>
      </w:r>
      <w:r>
        <w:rPr>
          <w:sz w:val="20"/>
        </w:rPr>
        <w:t>perceptions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relatively</w:t>
      </w:r>
      <w:r>
        <w:rPr>
          <w:spacing w:val="-8"/>
          <w:sz w:val="20"/>
        </w:rPr>
        <w:t> </w:t>
      </w:r>
      <w:r>
        <w:rPr>
          <w:sz w:val="20"/>
        </w:rPr>
        <w:t>widespread</w:t>
      </w:r>
      <w:r>
        <w:rPr>
          <w:spacing w:val="-6"/>
          <w:sz w:val="20"/>
        </w:rPr>
        <w:t> </w:t>
      </w:r>
      <w:r>
        <w:rPr>
          <w:sz w:val="20"/>
        </w:rPr>
        <w:t>corruption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a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need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to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improve the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business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regulatory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environment</w:t>
      </w:r>
      <w:r>
        <w:rPr>
          <w:spacing w:val="3"/>
          <w:position w:val="1"/>
          <w:sz w:val="20"/>
        </w:rPr>
        <w:t> </w:t>
      </w:r>
      <w:r>
        <w:rPr>
          <w:position w:val="1"/>
          <w:sz w:val="20"/>
        </w:rPr>
        <w:t>–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see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OECD (2019</w:t>
      </w:r>
      <w:r>
        <w:rPr>
          <w:sz w:val="13"/>
        </w:rPr>
        <w:t>[25]</w:t>
      </w:r>
      <w:r>
        <w:rPr>
          <w:position w:val="1"/>
          <w:sz w:val="20"/>
        </w:rPr>
        <w:t>)).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393" w:lineRule="auto" w:before="51" w:after="0"/>
        <w:ind w:left="183" w:right="934" w:firstLine="340"/>
        <w:jc w:val="both"/>
        <w:rPr>
          <w:sz w:val="20"/>
        </w:rPr>
      </w:pPr>
      <w:r>
        <w:rPr>
          <w:sz w:val="20"/>
        </w:rPr>
        <w:t>The importance of aligning government-wide fiscal priorities with the policy reform agenda.</w:t>
      </w:r>
      <w:r>
        <w:rPr>
          <w:spacing w:val="-5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Task</w:t>
      </w:r>
      <w:r>
        <w:rPr>
          <w:spacing w:val="1"/>
          <w:sz w:val="20"/>
        </w:rPr>
        <w:t> </w:t>
      </w:r>
      <w:r>
        <w:rPr>
          <w:sz w:val="20"/>
        </w:rPr>
        <w:t>Force</w:t>
      </w:r>
      <w:r>
        <w:rPr>
          <w:spacing w:val="-1"/>
          <w:sz w:val="20"/>
        </w:rPr>
        <w:t> </w:t>
      </w:r>
      <w:r>
        <w:rPr>
          <w:sz w:val="20"/>
        </w:rPr>
        <w:t>would: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27" w:lineRule="exact" w:before="0" w:after="0"/>
        <w:ind w:left="862" w:right="0" w:hanging="339"/>
        <w:jc w:val="both"/>
        <w:rPr>
          <w:sz w:val="20"/>
        </w:rPr>
      </w:pPr>
      <w:r>
        <w:rPr>
          <w:sz w:val="20"/>
        </w:rPr>
        <w:t>Lead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process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stakeholder</w:t>
      </w:r>
      <w:r>
        <w:rPr>
          <w:spacing w:val="-4"/>
          <w:sz w:val="20"/>
        </w:rPr>
        <w:t> </w:t>
      </w:r>
      <w:r>
        <w:rPr>
          <w:sz w:val="20"/>
        </w:rPr>
        <w:t>engagement:</w:t>
      </w:r>
    </w:p>
    <w:p>
      <w:pPr>
        <w:pStyle w:val="ListParagraph"/>
        <w:numPr>
          <w:ilvl w:val="0"/>
          <w:numId w:val="16"/>
        </w:numPr>
        <w:tabs>
          <w:tab w:pos="1204" w:val="left" w:leader="none"/>
        </w:tabs>
        <w:spacing w:line="264" w:lineRule="auto" w:before="87" w:after="0"/>
        <w:ind w:left="1203" w:right="310" w:hanging="341"/>
        <w:jc w:val="both"/>
        <w:rPr>
          <w:sz w:val="20"/>
        </w:rPr>
      </w:pPr>
      <w:r>
        <w:rPr>
          <w:sz w:val="20"/>
        </w:rPr>
        <w:t>The process</w:t>
      </w:r>
      <w:r>
        <w:rPr>
          <w:spacing w:val="1"/>
          <w:sz w:val="20"/>
        </w:rPr>
        <w:t> </w:t>
      </w:r>
      <w:r>
        <w:rPr>
          <w:sz w:val="20"/>
        </w:rPr>
        <w:t>should allow for sufficient time and breadth of</w:t>
      </w:r>
      <w:r>
        <w:rPr>
          <w:spacing w:val="1"/>
          <w:sz w:val="20"/>
        </w:rPr>
        <w:t> </w:t>
      </w:r>
      <w:r>
        <w:rPr>
          <w:sz w:val="20"/>
        </w:rPr>
        <w:t>engagement to</w:t>
      </w:r>
      <w:r>
        <w:rPr>
          <w:spacing w:val="1"/>
          <w:sz w:val="20"/>
        </w:rPr>
        <w:t> </w:t>
      </w:r>
      <w:r>
        <w:rPr>
          <w:sz w:val="20"/>
        </w:rPr>
        <w:t>generate a</w:t>
      </w:r>
      <w:r>
        <w:rPr>
          <w:spacing w:val="1"/>
          <w:sz w:val="20"/>
        </w:rPr>
        <w:t> </w:t>
      </w:r>
      <w:r>
        <w:rPr>
          <w:sz w:val="20"/>
        </w:rPr>
        <w:t>productive national debate on the role of higher education for the country’s future prosperity,</w:t>
      </w:r>
      <w:r>
        <w:rPr>
          <w:spacing w:val="1"/>
          <w:sz w:val="20"/>
        </w:rPr>
        <w:t> </w:t>
      </w:r>
      <w:r>
        <w:rPr>
          <w:sz w:val="20"/>
        </w:rPr>
        <w:t>build</w:t>
      </w:r>
      <w:r>
        <w:rPr>
          <w:spacing w:val="-5"/>
          <w:sz w:val="20"/>
        </w:rPr>
        <w:t> </w:t>
      </w:r>
      <w:r>
        <w:rPr>
          <w:sz w:val="20"/>
        </w:rPr>
        <w:t>agreement</w:t>
      </w:r>
      <w:r>
        <w:rPr>
          <w:spacing w:val="-7"/>
          <w:sz w:val="20"/>
        </w:rPr>
        <w:t> </w:t>
      </w:r>
      <w:r>
        <w:rPr>
          <w:sz w:val="20"/>
        </w:rPr>
        <w:t>on</w:t>
      </w:r>
      <w:r>
        <w:rPr>
          <w:spacing w:val="-8"/>
          <w:sz w:val="20"/>
        </w:rPr>
        <w:t> </w:t>
      </w:r>
      <w:r>
        <w:rPr>
          <w:sz w:val="20"/>
        </w:rPr>
        <w:t>key</w:t>
      </w:r>
      <w:r>
        <w:rPr>
          <w:spacing w:val="-10"/>
          <w:sz w:val="20"/>
        </w:rPr>
        <w:t> </w:t>
      </w:r>
      <w:r>
        <w:rPr>
          <w:sz w:val="20"/>
        </w:rPr>
        <w:t>performance</w:t>
      </w:r>
      <w:r>
        <w:rPr>
          <w:spacing w:val="-8"/>
          <w:sz w:val="20"/>
        </w:rPr>
        <w:t> </w:t>
      </w:r>
      <w:r>
        <w:rPr>
          <w:sz w:val="20"/>
        </w:rPr>
        <w:t>challenges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higher</w:t>
      </w:r>
      <w:r>
        <w:rPr>
          <w:spacing w:val="-6"/>
          <w:sz w:val="20"/>
        </w:rPr>
        <w:t> </w:t>
      </w:r>
      <w:r>
        <w:rPr>
          <w:sz w:val="20"/>
        </w:rPr>
        <w:t>education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identify</w:t>
      </w:r>
      <w:r>
        <w:rPr>
          <w:spacing w:val="-10"/>
          <w:sz w:val="20"/>
        </w:rPr>
        <w:t> </w:t>
      </w:r>
      <w:r>
        <w:rPr>
          <w:sz w:val="20"/>
        </w:rPr>
        <w:t>key</w:t>
      </w:r>
      <w:r>
        <w:rPr>
          <w:spacing w:val="-11"/>
          <w:sz w:val="20"/>
        </w:rPr>
        <w:t> </w:t>
      </w:r>
      <w:r>
        <w:rPr>
          <w:sz w:val="20"/>
        </w:rPr>
        <w:t>solutions</w:t>
      </w:r>
      <w:r>
        <w:rPr>
          <w:spacing w:val="1"/>
          <w:sz w:val="20"/>
        </w:rPr>
        <w:t> </w:t>
      </w:r>
      <w:r>
        <w:rPr>
          <w:sz w:val="20"/>
        </w:rPr>
        <w:t>with broad</w:t>
      </w:r>
      <w:r>
        <w:rPr>
          <w:spacing w:val="-1"/>
          <w:sz w:val="20"/>
        </w:rPr>
        <w:t> </w:t>
      </w:r>
      <w:r>
        <w:rPr>
          <w:sz w:val="20"/>
        </w:rPr>
        <w:t>stakeholder</w:t>
      </w:r>
      <w:r>
        <w:rPr>
          <w:spacing w:val="-1"/>
          <w:sz w:val="20"/>
        </w:rPr>
        <w:t> </w:t>
      </w:r>
      <w:r>
        <w:rPr>
          <w:sz w:val="20"/>
        </w:rPr>
        <w:t>support.</w:t>
      </w:r>
    </w:p>
    <w:p>
      <w:pPr>
        <w:pStyle w:val="ListParagraph"/>
        <w:numPr>
          <w:ilvl w:val="0"/>
          <w:numId w:val="16"/>
        </w:numPr>
        <w:tabs>
          <w:tab w:pos="1204" w:val="left" w:leader="none"/>
        </w:tabs>
        <w:spacing w:line="266" w:lineRule="auto" w:before="73" w:after="0"/>
        <w:ind w:left="1203" w:right="301" w:hanging="341"/>
        <w:jc w:val="both"/>
        <w:rPr>
          <w:sz w:val="20"/>
        </w:rPr>
      </w:pP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process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engage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stakeholders</w:t>
      </w:r>
      <w:r>
        <w:rPr>
          <w:spacing w:val="1"/>
          <w:sz w:val="20"/>
        </w:rPr>
        <w:t> </w:t>
      </w:r>
      <w:r>
        <w:rPr>
          <w:sz w:val="20"/>
        </w:rPr>
        <w:t>beyond</w:t>
      </w:r>
      <w:r>
        <w:rPr>
          <w:spacing w:val="1"/>
          <w:sz w:val="20"/>
        </w:rPr>
        <w:t> </w:t>
      </w:r>
      <w:r>
        <w:rPr>
          <w:sz w:val="20"/>
        </w:rPr>
        <w:t>legally</w:t>
      </w:r>
      <w:r>
        <w:rPr>
          <w:spacing w:val="1"/>
          <w:sz w:val="20"/>
        </w:rPr>
        <w:t> </w:t>
      </w:r>
      <w:r>
        <w:rPr>
          <w:sz w:val="20"/>
        </w:rPr>
        <w:t>established</w:t>
      </w:r>
      <w:r>
        <w:rPr>
          <w:spacing w:val="1"/>
          <w:sz w:val="20"/>
        </w:rPr>
        <w:t> </w:t>
      </w:r>
      <w:r>
        <w:rPr>
          <w:sz w:val="20"/>
        </w:rPr>
        <w:t>consultation</w:t>
      </w:r>
      <w:r>
        <w:rPr>
          <w:spacing w:val="1"/>
          <w:sz w:val="20"/>
        </w:rPr>
        <w:t> </w:t>
      </w:r>
      <w:r>
        <w:rPr>
          <w:sz w:val="20"/>
        </w:rPr>
        <w:t>bodies</w:t>
      </w:r>
      <w:r>
        <w:rPr>
          <w:spacing w:val="1"/>
          <w:sz w:val="20"/>
        </w:rPr>
        <w:t> </w:t>
      </w:r>
      <w:r>
        <w:rPr>
          <w:sz w:val="20"/>
        </w:rPr>
        <w:t>to more effectively reach</w:t>
      </w:r>
      <w:r>
        <w:rPr>
          <w:spacing w:val="1"/>
          <w:sz w:val="20"/>
        </w:rPr>
        <w:t> </w:t>
      </w:r>
      <w:r>
        <w:rPr>
          <w:sz w:val="20"/>
        </w:rPr>
        <w:t>the users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system</w:t>
      </w:r>
      <w:r>
        <w:rPr>
          <w:spacing w:val="1"/>
          <w:sz w:val="20"/>
        </w:rPr>
        <w:t> </w:t>
      </w:r>
      <w:r>
        <w:rPr>
          <w:sz w:val="20"/>
        </w:rPr>
        <w:t>(students and employers) and individuals who play a critical role in the functioning of HEIs</w:t>
      </w:r>
      <w:r>
        <w:rPr>
          <w:spacing w:val="1"/>
          <w:sz w:val="20"/>
        </w:rPr>
        <w:t> </w:t>
      </w:r>
      <w:r>
        <w:rPr>
          <w:sz w:val="20"/>
        </w:rPr>
        <w:t>(academic</w:t>
      </w:r>
      <w:r>
        <w:rPr>
          <w:spacing w:val="1"/>
          <w:sz w:val="20"/>
        </w:rPr>
        <w:t> </w:t>
      </w:r>
      <w:r>
        <w:rPr>
          <w:sz w:val="20"/>
        </w:rPr>
        <w:t>staff</w:t>
      </w:r>
      <w:r>
        <w:rPr>
          <w:spacing w:val="1"/>
          <w:sz w:val="20"/>
        </w:rPr>
        <w:t> </w:t>
      </w:r>
      <w:r>
        <w:rPr>
          <w:sz w:val="20"/>
        </w:rPr>
        <w:t>– both</w:t>
      </w:r>
      <w:r>
        <w:rPr>
          <w:spacing w:val="1"/>
          <w:sz w:val="20"/>
        </w:rPr>
        <w:t> </w:t>
      </w:r>
      <w:r>
        <w:rPr>
          <w:sz w:val="20"/>
        </w:rPr>
        <w:t>tenured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fixed-term</w:t>
      </w:r>
      <w:r>
        <w:rPr>
          <w:spacing w:val="1"/>
          <w:sz w:val="20"/>
        </w:rPr>
        <w:t> </w:t>
      </w:r>
      <w:r>
        <w:rPr>
          <w:sz w:val="20"/>
        </w:rPr>
        <w:t>contracts –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professional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administrative</w:t>
      </w:r>
      <w:r>
        <w:rPr>
          <w:spacing w:val="-2"/>
          <w:sz w:val="20"/>
        </w:rPr>
        <w:t> </w:t>
      </w:r>
      <w:r>
        <w:rPr>
          <w:sz w:val="20"/>
        </w:rPr>
        <w:t>staff).</w:t>
      </w:r>
    </w:p>
    <w:p>
      <w:pPr>
        <w:pStyle w:val="ListParagraph"/>
        <w:numPr>
          <w:ilvl w:val="0"/>
          <w:numId w:val="16"/>
        </w:numPr>
        <w:tabs>
          <w:tab w:pos="1204" w:val="left" w:leader="none"/>
        </w:tabs>
        <w:spacing w:line="264" w:lineRule="auto" w:before="64" w:after="0"/>
        <w:ind w:left="1203" w:right="306" w:hanging="341"/>
        <w:jc w:val="both"/>
        <w:rPr>
          <w:sz w:val="20"/>
        </w:rPr>
      </w:pPr>
      <w:r>
        <w:rPr>
          <w:sz w:val="20"/>
        </w:rPr>
        <w:t>It should also include stakeholders in the broader economy and society, who represent the</w:t>
      </w:r>
      <w:r>
        <w:rPr>
          <w:spacing w:val="1"/>
          <w:sz w:val="20"/>
        </w:rPr>
        <w:t> </w:t>
      </w:r>
      <w:r>
        <w:rPr>
          <w:sz w:val="20"/>
        </w:rPr>
        <w:t>wider society. This includes businesses, non-HEI actors active in research, development,</w:t>
      </w:r>
      <w:r>
        <w:rPr>
          <w:spacing w:val="1"/>
          <w:sz w:val="20"/>
        </w:rPr>
        <w:t> </w:t>
      </w:r>
      <w:r>
        <w:rPr>
          <w:sz w:val="20"/>
        </w:rPr>
        <w:t>technology and innovation, as well as education and social actors (e.g. representatives from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education</w:t>
      </w:r>
      <w:r>
        <w:rPr>
          <w:spacing w:val="-1"/>
          <w:sz w:val="20"/>
        </w:rPr>
        <w:t> </w:t>
      </w:r>
      <w:r>
        <w:rPr>
          <w:sz w:val="20"/>
        </w:rPr>
        <w:t>system,</w:t>
      </w:r>
      <w:r>
        <w:rPr>
          <w:spacing w:val="-4"/>
          <w:sz w:val="20"/>
        </w:rPr>
        <w:t> </w:t>
      </w:r>
      <w:r>
        <w:rPr>
          <w:sz w:val="20"/>
        </w:rPr>
        <w:t>groups</w:t>
      </w:r>
      <w:r>
        <w:rPr>
          <w:spacing w:val="-2"/>
          <w:sz w:val="20"/>
        </w:rPr>
        <w:t> </w:t>
      </w:r>
      <w:r>
        <w:rPr>
          <w:sz w:val="20"/>
        </w:rPr>
        <w:t>representing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interests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disadvantaged</w:t>
      </w:r>
      <w:r>
        <w:rPr>
          <w:spacing w:val="-3"/>
          <w:sz w:val="20"/>
        </w:rPr>
        <w:t> </w:t>
      </w:r>
      <w:r>
        <w:rPr>
          <w:sz w:val="20"/>
        </w:rPr>
        <w:t>communities).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40" w:lineRule="auto" w:before="59" w:after="0"/>
        <w:ind w:left="862" w:right="0" w:hanging="339"/>
        <w:jc w:val="both"/>
        <w:rPr>
          <w:sz w:val="20"/>
        </w:rPr>
      </w:pPr>
      <w:r>
        <w:rPr>
          <w:sz w:val="20"/>
        </w:rPr>
        <w:t>Secure</w:t>
      </w:r>
      <w:r>
        <w:rPr>
          <w:spacing w:val="-6"/>
          <w:sz w:val="20"/>
        </w:rPr>
        <w:t> </w:t>
      </w:r>
      <w:r>
        <w:rPr>
          <w:sz w:val="20"/>
        </w:rPr>
        <w:t>appropriate</w:t>
      </w:r>
      <w:r>
        <w:rPr>
          <w:spacing w:val="-7"/>
          <w:sz w:val="20"/>
        </w:rPr>
        <w:t> </w:t>
      </w:r>
      <w:r>
        <w:rPr>
          <w:sz w:val="20"/>
        </w:rPr>
        <w:t>expertise:</w:t>
      </w:r>
    </w:p>
    <w:p>
      <w:pPr>
        <w:pStyle w:val="ListParagraph"/>
        <w:numPr>
          <w:ilvl w:val="0"/>
          <w:numId w:val="17"/>
        </w:numPr>
        <w:tabs>
          <w:tab w:pos="1204" w:val="left" w:leader="none"/>
        </w:tabs>
        <w:spacing w:line="268" w:lineRule="auto" w:before="87" w:after="0"/>
        <w:ind w:left="1203" w:right="298" w:hanging="341"/>
        <w:jc w:val="both"/>
        <w:rPr>
          <w:sz w:val="20"/>
        </w:rPr>
      </w:pP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Task</w:t>
      </w:r>
      <w:r>
        <w:rPr>
          <w:spacing w:val="-5"/>
          <w:sz w:val="20"/>
        </w:rPr>
        <w:t> </w:t>
      </w:r>
      <w:r>
        <w:rPr>
          <w:sz w:val="20"/>
        </w:rPr>
        <w:t>Force</w:t>
      </w:r>
      <w:r>
        <w:rPr>
          <w:spacing w:val="-12"/>
          <w:sz w:val="20"/>
        </w:rPr>
        <w:t> </w:t>
      </w:r>
      <w:r>
        <w:rPr>
          <w:sz w:val="20"/>
        </w:rPr>
        <w:t>should</w:t>
      </w:r>
      <w:r>
        <w:rPr>
          <w:spacing w:val="-8"/>
          <w:sz w:val="20"/>
        </w:rPr>
        <w:t> </w:t>
      </w:r>
      <w:r>
        <w:rPr>
          <w:sz w:val="20"/>
        </w:rPr>
        <w:t>create</w:t>
      </w:r>
      <w:r>
        <w:rPr>
          <w:spacing w:val="-9"/>
          <w:sz w:val="20"/>
        </w:rPr>
        <w:t> </w:t>
      </w:r>
      <w:r>
        <w:rPr>
          <w:sz w:val="20"/>
        </w:rPr>
        <w:t>an</w:t>
      </w:r>
      <w:r>
        <w:rPr>
          <w:spacing w:val="-7"/>
          <w:sz w:val="20"/>
        </w:rPr>
        <w:t> </w:t>
      </w:r>
      <w:r>
        <w:rPr>
          <w:sz w:val="20"/>
        </w:rPr>
        <w:t>expert</w:t>
      </w:r>
      <w:r>
        <w:rPr>
          <w:spacing w:val="-6"/>
          <w:sz w:val="20"/>
        </w:rPr>
        <w:t> </w:t>
      </w:r>
      <w:r>
        <w:rPr>
          <w:sz w:val="20"/>
        </w:rPr>
        <w:t>working</w:t>
      </w:r>
      <w:r>
        <w:rPr>
          <w:spacing w:val="-8"/>
          <w:sz w:val="20"/>
        </w:rPr>
        <w:t> </w:t>
      </w:r>
      <w:r>
        <w:rPr>
          <w:sz w:val="20"/>
        </w:rPr>
        <w:t>group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provide</w:t>
      </w:r>
      <w:r>
        <w:rPr>
          <w:spacing w:val="-9"/>
          <w:sz w:val="20"/>
        </w:rPr>
        <w:t> </w:t>
      </w:r>
      <w:r>
        <w:rPr>
          <w:sz w:val="20"/>
        </w:rPr>
        <w:t>recommendations</w:t>
      </w:r>
      <w:r>
        <w:rPr>
          <w:spacing w:val="-7"/>
          <w:sz w:val="20"/>
        </w:rPr>
        <w:t> </w:t>
      </w:r>
      <w:r>
        <w:rPr>
          <w:sz w:val="20"/>
        </w:rPr>
        <w:t>on</w:t>
      </w:r>
      <w:r>
        <w:rPr>
          <w:spacing w:val="-9"/>
          <w:sz w:val="20"/>
        </w:rPr>
        <w:t> </w:t>
      </w:r>
      <w:r>
        <w:rPr>
          <w:sz w:val="20"/>
        </w:rPr>
        <w:t>quality</w:t>
      </w:r>
      <w:r>
        <w:rPr>
          <w:spacing w:val="-53"/>
          <w:sz w:val="20"/>
        </w:rPr>
        <w:t> </w:t>
      </w:r>
      <w:r>
        <w:rPr>
          <w:sz w:val="20"/>
        </w:rPr>
        <w:t>concepts, metrics and data (Policy action 2), institutional contracts that deliver new targeted</w:t>
      </w:r>
      <w:r>
        <w:rPr>
          <w:spacing w:val="1"/>
          <w:sz w:val="20"/>
        </w:rPr>
        <w:t> </w:t>
      </w:r>
      <w:r>
        <w:rPr>
          <w:sz w:val="20"/>
        </w:rPr>
        <w:t>funding for key reform priorities (Policy action 6) and on the revision of funding allocation</w:t>
      </w:r>
      <w:r>
        <w:rPr>
          <w:spacing w:val="1"/>
          <w:sz w:val="20"/>
        </w:rPr>
        <w:t> </w:t>
      </w:r>
      <w:r>
        <w:rPr>
          <w:sz w:val="20"/>
        </w:rPr>
        <w:t>mechanisms (Policy action 7). The expert group should include both Slovak and international</w:t>
      </w:r>
      <w:r>
        <w:rPr>
          <w:spacing w:val="1"/>
          <w:sz w:val="20"/>
        </w:rPr>
        <w:t> </w:t>
      </w:r>
      <w:r>
        <w:rPr>
          <w:sz w:val="20"/>
        </w:rPr>
        <w:t>experts, and individuals with both practical responsibilities in government and HEIs (policy</w:t>
      </w:r>
      <w:r>
        <w:rPr>
          <w:spacing w:val="1"/>
          <w:sz w:val="20"/>
        </w:rPr>
        <w:t> </w:t>
      </w:r>
      <w:r>
        <w:rPr>
          <w:sz w:val="20"/>
        </w:rPr>
        <w:t>makers, bursars/senior HEI leaders in charge of budget and finance matters) and academic</w:t>
      </w:r>
      <w:r>
        <w:rPr>
          <w:spacing w:val="1"/>
          <w:sz w:val="20"/>
        </w:rPr>
        <w:t> </w:t>
      </w:r>
      <w:r>
        <w:rPr>
          <w:sz w:val="20"/>
        </w:rPr>
        <w:t>knowledge</w:t>
      </w:r>
      <w:r>
        <w:rPr>
          <w:spacing w:val="-1"/>
          <w:sz w:val="20"/>
        </w:rPr>
        <w:t> </w:t>
      </w:r>
      <w:r>
        <w:rPr>
          <w:sz w:val="20"/>
        </w:rPr>
        <w:t>of performance</w:t>
      </w:r>
      <w:r>
        <w:rPr>
          <w:spacing w:val="-2"/>
          <w:sz w:val="20"/>
        </w:rPr>
        <w:t> </w:t>
      </w:r>
      <w:r>
        <w:rPr>
          <w:sz w:val="20"/>
        </w:rPr>
        <w:t>measurement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financing</w:t>
      </w:r>
      <w:r>
        <w:rPr>
          <w:spacing w:val="-2"/>
          <w:sz w:val="20"/>
        </w:rPr>
        <w:t> </w:t>
      </w:r>
      <w:r>
        <w:rPr>
          <w:sz w:val="20"/>
        </w:rPr>
        <w:t>in higher education.</w:t>
      </w:r>
    </w:p>
    <w:p>
      <w:pPr>
        <w:pStyle w:val="ListParagraph"/>
        <w:numPr>
          <w:ilvl w:val="0"/>
          <w:numId w:val="17"/>
        </w:numPr>
        <w:tabs>
          <w:tab w:pos="1204" w:val="left" w:leader="none"/>
        </w:tabs>
        <w:spacing w:line="266" w:lineRule="auto" w:before="59" w:after="0"/>
        <w:ind w:left="1203" w:right="301" w:hanging="341"/>
        <w:jc w:val="both"/>
        <w:rPr>
          <w:sz w:val="20"/>
        </w:rPr>
      </w:pPr>
      <w:r>
        <w:rPr>
          <w:sz w:val="20"/>
        </w:rPr>
        <w:t>The Task Force should develop connections with the international higher education policy</w:t>
      </w:r>
      <w:r>
        <w:rPr>
          <w:spacing w:val="1"/>
          <w:sz w:val="20"/>
        </w:rPr>
        <w:t> </w:t>
      </w:r>
      <w:r>
        <w:rPr>
          <w:sz w:val="20"/>
        </w:rPr>
        <w:t>community, including university alliances and professional higher education associations, to</w:t>
      </w:r>
      <w:r>
        <w:rPr>
          <w:spacing w:val="1"/>
          <w:sz w:val="20"/>
        </w:rPr>
        <w:t> </w:t>
      </w:r>
      <w:r>
        <w:rPr>
          <w:sz w:val="20"/>
        </w:rPr>
        <w:t>obtain advice on specific issues (for instance, from countries that have set up institutional</w:t>
      </w:r>
      <w:r>
        <w:rPr>
          <w:spacing w:val="1"/>
          <w:sz w:val="20"/>
        </w:rPr>
        <w:t> </w:t>
      </w:r>
      <w:r>
        <w:rPr>
          <w:sz w:val="20"/>
        </w:rPr>
        <w:t>contracts). In particular, it could create an ongoing international expert advisory group to</w:t>
      </w:r>
      <w:r>
        <w:rPr>
          <w:spacing w:val="1"/>
          <w:sz w:val="20"/>
        </w:rPr>
        <w:t> </w:t>
      </w:r>
      <w:r>
        <w:rPr>
          <w:sz w:val="20"/>
        </w:rPr>
        <w:t>provide</w:t>
      </w:r>
      <w:r>
        <w:rPr>
          <w:spacing w:val="-8"/>
          <w:sz w:val="20"/>
        </w:rPr>
        <w:t> </w:t>
      </w:r>
      <w:r>
        <w:rPr>
          <w:sz w:val="20"/>
        </w:rPr>
        <w:t>advice</w:t>
      </w:r>
      <w:r>
        <w:rPr>
          <w:spacing w:val="-8"/>
          <w:sz w:val="20"/>
        </w:rPr>
        <w:t> </w:t>
      </w:r>
      <w:r>
        <w:rPr>
          <w:sz w:val="20"/>
        </w:rPr>
        <w:t>on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regular</w:t>
      </w:r>
      <w:r>
        <w:rPr>
          <w:spacing w:val="-5"/>
          <w:sz w:val="20"/>
        </w:rPr>
        <w:t> </w:t>
      </w:r>
      <w:r>
        <w:rPr>
          <w:sz w:val="20"/>
        </w:rPr>
        <w:t>basis</w:t>
      </w:r>
      <w:r>
        <w:rPr>
          <w:spacing w:val="-6"/>
          <w:sz w:val="20"/>
        </w:rPr>
        <w:t> </w:t>
      </w:r>
      <w:r>
        <w:rPr>
          <w:sz w:val="20"/>
        </w:rPr>
        <w:t>(e.g.</w:t>
      </w:r>
      <w:r>
        <w:rPr>
          <w:spacing w:val="1"/>
          <w:sz w:val="20"/>
        </w:rPr>
        <w:t> </w:t>
      </w:r>
      <w:r>
        <w:rPr>
          <w:sz w:val="20"/>
        </w:rPr>
        <w:t>annually)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Slovak Republic’s</w:t>
      </w:r>
      <w:r>
        <w:rPr>
          <w:spacing w:val="-6"/>
          <w:sz w:val="20"/>
        </w:rPr>
        <w:t> </w:t>
      </w:r>
      <w:r>
        <w:rPr>
          <w:sz w:val="20"/>
        </w:rPr>
        <w:t>government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key</w:t>
      </w:r>
      <w:r>
        <w:rPr>
          <w:spacing w:val="-53"/>
          <w:sz w:val="20"/>
        </w:rPr>
        <w:t> </w:t>
      </w:r>
      <w:r>
        <w:rPr>
          <w:sz w:val="20"/>
        </w:rPr>
        <w:t>higher</w:t>
      </w:r>
      <w:r>
        <w:rPr>
          <w:spacing w:val="-4"/>
          <w:sz w:val="20"/>
        </w:rPr>
        <w:t> </w:t>
      </w:r>
      <w:r>
        <w:rPr>
          <w:sz w:val="20"/>
        </w:rPr>
        <w:t>education</w:t>
      </w:r>
      <w:r>
        <w:rPr>
          <w:spacing w:val="-5"/>
          <w:sz w:val="20"/>
        </w:rPr>
        <w:t> </w:t>
      </w:r>
      <w:r>
        <w:rPr>
          <w:sz w:val="20"/>
        </w:rPr>
        <w:t>stakeholders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opportunities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improve</w:t>
      </w:r>
      <w:r>
        <w:rPr>
          <w:spacing w:val="-2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education</w:t>
      </w:r>
      <w:r>
        <w:rPr>
          <w:spacing w:val="-5"/>
          <w:sz w:val="20"/>
        </w:rPr>
        <w:t> </w:t>
      </w:r>
      <w:r>
        <w:rPr>
          <w:sz w:val="20"/>
        </w:rPr>
        <w:t>performance.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40" w:lineRule="auto" w:before="57" w:after="0"/>
        <w:ind w:left="862" w:right="0" w:hanging="339"/>
        <w:jc w:val="both"/>
        <w:rPr>
          <w:sz w:val="20"/>
        </w:rPr>
      </w:pPr>
      <w:r>
        <w:rPr>
          <w:sz w:val="20"/>
        </w:rPr>
        <w:t>Assess</w:t>
      </w:r>
      <w:r>
        <w:rPr>
          <w:spacing w:val="-6"/>
          <w:sz w:val="20"/>
        </w:rPr>
        <w:t> </w:t>
      </w:r>
      <w:r>
        <w:rPr>
          <w:sz w:val="20"/>
        </w:rPr>
        <w:t>reform</w:t>
      </w:r>
      <w:r>
        <w:rPr>
          <w:spacing w:val="-2"/>
          <w:sz w:val="20"/>
        </w:rPr>
        <w:t> </w:t>
      </w:r>
      <w:r>
        <w:rPr>
          <w:sz w:val="20"/>
        </w:rPr>
        <w:t>implementation</w:t>
      </w:r>
      <w:r>
        <w:rPr>
          <w:spacing w:val="-8"/>
          <w:sz w:val="20"/>
        </w:rPr>
        <w:t> </w:t>
      </w:r>
      <w:r>
        <w:rPr>
          <w:sz w:val="20"/>
        </w:rPr>
        <w:t>capacity:</w:t>
      </w:r>
    </w:p>
    <w:p>
      <w:pPr>
        <w:pStyle w:val="BodyText"/>
        <w:spacing w:line="266" w:lineRule="auto" w:before="90"/>
        <w:ind w:left="1203" w:right="304" w:hanging="341"/>
        <w:jc w:val="both"/>
      </w:pPr>
      <w:r>
        <w:rPr>
          <w:rFonts w:ascii="Courier New"/>
        </w:rPr>
        <w:t>o </w:t>
      </w:r>
      <w:r>
        <w:rPr/>
        <w:t>The Task Force should consider which key policy bodies are well positioned (especially in</w:t>
      </w:r>
      <w:r>
        <w:rPr>
          <w:spacing w:val="1"/>
        </w:rPr>
        <w:t> </w:t>
      </w:r>
      <w:r>
        <w:rPr/>
        <w:t>terms of their capacity) to lead and support the implementation of higher education reforms</w:t>
      </w:r>
      <w:r>
        <w:rPr>
          <w:spacing w:val="1"/>
        </w:rPr>
        <w:t> </w:t>
      </w:r>
      <w:r>
        <w:rPr/>
        <w:t>and how these bodies could work together. In particular, it should help identify the potential</w:t>
      </w:r>
      <w:r>
        <w:rPr>
          <w:spacing w:val="1"/>
        </w:rPr>
        <w:t> </w:t>
      </w:r>
      <w:r>
        <w:rPr>
          <w:w w:val="95"/>
        </w:rPr>
        <w:t>roles of the MoE, the Institute for Education Policies, SAAHE, the Research Agency, the Slovak</w:t>
      </w:r>
      <w:r>
        <w:rPr>
          <w:spacing w:val="1"/>
          <w:w w:val="95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(CVTI)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implementation.</w:t>
      </w:r>
    </w:p>
    <w:p>
      <w:pPr>
        <w:pStyle w:val="BodyText"/>
        <w:spacing w:line="271" w:lineRule="auto" w:before="139"/>
        <w:ind w:left="183"/>
      </w:pP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basis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above</w:t>
      </w:r>
      <w:r>
        <w:rPr>
          <w:spacing w:val="24"/>
        </w:rPr>
        <w:t> </w:t>
      </w:r>
      <w:r>
        <w:rPr/>
        <w:t>steps,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Task</w:t>
      </w:r>
      <w:r>
        <w:rPr>
          <w:spacing w:val="26"/>
        </w:rPr>
        <w:t> </w:t>
      </w:r>
      <w:r>
        <w:rPr/>
        <w:t>Force</w:t>
      </w:r>
      <w:r>
        <w:rPr>
          <w:spacing w:val="22"/>
        </w:rPr>
        <w:t> </w:t>
      </w:r>
      <w:r>
        <w:rPr/>
        <w:t>should</w:t>
      </w:r>
      <w:r>
        <w:rPr>
          <w:spacing w:val="22"/>
        </w:rPr>
        <w:t> </w:t>
      </w:r>
      <w:r>
        <w:rPr/>
        <w:t>develop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recommend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higher</w:t>
      </w:r>
      <w:r>
        <w:rPr>
          <w:spacing w:val="25"/>
        </w:rPr>
        <w:t> </w:t>
      </w:r>
      <w:r>
        <w:rPr/>
        <w:t>education</w:t>
      </w:r>
      <w:r>
        <w:rPr>
          <w:spacing w:val="-52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(see</w:t>
      </w:r>
      <w:r>
        <w:rPr>
          <w:spacing w:val="-2"/>
        </w:rPr>
        <w:t> </w:t>
      </w:r>
      <w:r>
        <w:rPr/>
        <w:t>Policy</w:t>
      </w:r>
      <w:r>
        <w:rPr>
          <w:spacing w:val="-3"/>
        </w:rPr>
        <w:t> </w:t>
      </w:r>
      <w:r>
        <w:rPr/>
        <w:t>action</w:t>
      </w:r>
      <w:r>
        <w:rPr>
          <w:spacing w:val="5"/>
        </w:rPr>
        <w:t> </w:t>
      </w:r>
      <w:r>
        <w:rPr/>
        <w:t>2).</w:t>
      </w:r>
    </w:p>
    <w:p>
      <w:pPr>
        <w:pStyle w:val="BodyText"/>
        <w:spacing w:line="273" w:lineRule="auto" w:before="119"/>
        <w:ind w:left="183"/>
      </w:pPr>
      <w:r>
        <w:rPr/>
        <w:t>In</w:t>
      </w:r>
      <w:r>
        <w:rPr>
          <w:spacing w:val="18"/>
        </w:rPr>
        <w:t> </w:t>
      </w:r>
      <w:r>
        <w:rPr/>
        <w:t>addition,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Task</w:t>
      </w:r>
      <w:r>
        <w:rPr>
          <w:spacing w:val="23"/>
        </w:rPr>
        <w:t> </w:t>
      </w:r>
      <w:r>
        <w:rPr/>
        <w:t>Force</w:t>
      </w:r>
      <w:r>
        <w:rPr>
          <w:spacing w:val="20"/>
        </w:rPr>
        <w:t> </w:t>
      </w:r>
      <w:r>
        <w:rPr/>
        <w:t>could</w:t>
      </w:r>
      <w:r>
        <w:rPr>
          <w:spacing w:val="20"/>
        </w:rPr>
        <w:t> </w:t>
      </w:r>
      <w:r>
        <w:rPr/>
        <w:t>play</w:t>
      </w:r>
      <w:r>
        <w:rPr>
          <w:spacing w:val="16"/>
        </w:rPr>
        <w:t> </w:t>
      </w:r>
      <w:r>
        <w:rPr/>
        <w:t>an</w:t>
      </w:r>
      <w:r>
        <w:rPr>
          <w:spacing w:val="20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role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helping</w:t>
      </w:r>
      <w:r>
        <w:rPr>
          <w:spacing w:val="19"/>
        </w:rPr>
        <w:t> </w:t>
      </w:r>
      <w:r>
        <w:rPr/>
        <w:t>government</w:t>
      </w:r>
      <w:r>
        <w:rPr>
          <w:spacing w:val="20"/>
        </w:rPr>
        <w:t> </w:t>
      </w:r>
      <w:r>
        <w:rPr/>
        <w:t>identify</w:t>
      </w:r>
      <w:r>
        <w:rPr>
          <w:spacing w:val="19"/>
        </w:rPr>
        <w:t> </w:t>
      </w:r>
      <w:r>
        <w:rPr/>
        <w:t>an</w:t>
      </w:r>
      <w:r>
        <w:rPr>
          <w:spacing w:val="2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public</w:t>
      </w:r>
      <w:r>
        <w:rPr>
          <w:spacing w:val="40"/>
        </w:rPr>
        <w:t> </w:t>
      </w:r>
      <w:r>
        <w:rPr/>
        <w:t>entity</w:t>
      </w:r>
      <w:r>
        <w:rPr>
          <w:spacing w:val="37"/>
        </w:rPr>
        <w:t> </w:t>
      </w:r>
      <w:r>
        <w:rPr/>
        <w:t>–</w:t>
      </w:r>
      <w:r>
        <w:rPr>
          <w:spacing w:val="-2"/>
        </w:rPr>
        <w:t> </w:t>
      </w:r>
      <w:r>
        <w:rPr/>
        <w:t>or</w:t>
      </w:r>
      <w:r>
        <w:rPr>
          <w:spacing w:val="37"/>
        </w:rPr>
        <w:t> </w:t>
      </w:r>
      <w:r>
        <w:rPr/>
        <w:t>consider</w:t>
      </w:r>
      <w:r>
        <w:rPr>
          <w:spacing w:val="38"/>
        </w:rPr>
        <w:t> </w:t>
      </w:r>
      <w:r>
        <w:rPr/>
        <w:t>creating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new</w:t>
      </w:r>
      <w:r>
        <w:rPr>
          <w:spacing w:val="40"/>
        </w:rPr>
        <w:t> </w:t>
      </w:r>
      <w:r>
        <w:rPr/>
        <w:t>one</w:t>
      </w:r>
      <w:r>
        <w:rPr>
          <w:spacing w:val="39"/>
        </w:rPr>
        <w:t> </w:t>
      </w:r>
      <w:r>
        <w:rPr/>
        <w:t>using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model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buffer</w:t>
      </w:r>
      <w:r>
        <w:rPr>
          <w:spacing w:val="38"/>
        </w:rPr>
        <w:t> </w:t>
      </w:r>
      <w:r>
        <w:rPr/>
        <w:t>bodies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OECD</w:t>
      </w:r>
      <w:r>
        <w:rPr>
          <w:spacing w:val="39"/>
        </w:rPr>
        <w:t> </w:t>
      </w:r>
      <w:r>
        <w:rPr/>
        <w:t>countries</w:t>
      </w:r>
    </w:p>
    <w:p>
      <w:pPr>
        <w:spacing w:after="0" w:line="273" w:lineRule="auto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2"/>
        <w:jc w:val="both"/>
      </w:pPr>
      <w:r>
        <w:rPr/>
        <w:t>(e.g. Ireland’s Higher Education Authority or New Zealand’s Tertiary Education Commission) – to ensure</w:t>
      </w:r>
      <w:r>
        <w:rPr>
          <w:spacing w:val="1"/>
        </w:rPr>
        <w:t> </w:t>
      </w:r>
      <w:r>
        <w:rPr/>
        <w:t>the strategic design and management of institutional contracts (see also Policy action 5). Such an entity</w:t>
      </w:r>
      <w:r>
        <w:rPr>
          <w:spacing w:val="1"/>
        </w:rPr>
        <w:t> </w:t>
      </w:r>
      <w:r>
        <w:rPr/>
        <w:t>should have the ability to provide guidance and support to HEIs in their data collection and strategic</w:t>
      </w:r>
      <w:r>
        <w:rPr>
          <w:spacing w:val="1"/>
        </w:rPr>
        <w:t> </w:t>
      </w:r>
      <w:r>
        <w:rPr>
          <w:spacing w:val="-1"/>
        </w:rPr>
        <w:t>reflection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their</w:t>
      </w:r>
      <w:r>
        <w:rPr>
          <w:spacing w:val="-9"/>
        </w:rPr>
        <w:t> </w:t>
      </w:r>
      <w:r>
        <w:rPr/>
        <w:t>profile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mission,</w:t>
      </w:r>
      <w:r>
        <w:rPr>
          <w:spacing w:val="-14"/>
        </w:rPr>
        <w:t> </w:t>
      </w:r>
      <w:r>
        <w:rPr/>
        <w:t>help</w:t>
      </w:r>
      <w:r>
        <w:rPr>
          <w:spacing w:val="-13"/>
        </w:rPr>
        <w:t> </w:t>
      </w:r>
      <w:r>
        <w:rPr/>
        <w:t>centralise</w:t>
      </w:r>
      <w:r>
        <w:rPr>
          <w:spacing w:val="-12"/>
        </w:rPr>
        <w:t> </w:t>
      </w:r>
      <w:r>
        <w:rPr/>
        <w:t>data</w:t>
      </w:r>
      <w:r>
        <w:rPr>
          <w:spacing w:val="-14"/>
        </w:rPr>
        <w:t> </w:t>
      </w:r>
      <w:r>
        <w:rPr/>
        <w:t>collection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dissemination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users,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help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various</w:t>
      </w:r>
      <w:r>
        <w:rPr>
          <w:spacing w:val="-8"/>
        </w:rPr>
        <w:t> </w:t>
      </w:r>
      <w:r>
        <w:rPr/>
        <w:t>areas</w:t>
      </w:r>
      <w:r>
        <w:rPr>
          <w:spacing w:val="-4"/>
        </w:rPr>
        <w:t> </w:t>
      </w:r>
      <w:r>
        <w:rPr/>
        <w:t>where</w:t>
      </w:r>
      <w:r>
        <w:rPr>
          <w:spacing w:val="-7"/>
        </w:rPr>
        <w:t> </w:t>
      </w:r>
      <w:r>
        <w:rPr/>
        <w:t>sector-wide,</w:t>
      </w:r>
      <w:r>
        <w:rPr>
          <w:spacing w:val="-9"/>
        </w:rPr>
        <w:t> </w:t>
      </w:r>
      <w:r>
        <w:rPr/>
        <w:t>co-ordinated</w:t>
      </w:r>
      <w:r>
        <w:rPr>
          <w:spacing w:val="-10"/>
        </w:rPr>
        <w:t> </w:t>
      </w:r>
      <w:r>
        <w:rPr/>
        <w:t>efforts</w:t>
      </w:r>
      <w:r>
        <w:rPr>
          <w:spacing w:val="-7"/>
        </w:rPr>
        <w:t> </w:t>
      </w:r>
      <w:r>
        <w:rPr/>
        <w:t>would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valuable,</w:t>
      </w:r>
      <w:r>
        <w:rPr>
          <w:spacing w:val="-9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scaling</w:t>
      </w:r>
      <w:r>
        <w:rPr>
          <w:spacing w:val="-7"/>
        </w:rPr>
        <w:t> </w:t>
      </w:r>
      <w:r>
        <w:rPr/>
        <w:t>up</w:t>
      </w:r>
      <w:r>
        <w:rPr>
          <w:spacing w:val="1"/>
        </w:rPr>
        <w:t> </w:t>
      </w:r>
      <w:r>
        <w:rPr/>
        <w:t>HEI-business</w:t>
      </w:r>
      <w:r>
        <w:rPr>
          <w:spacing w:val="-1"/>
        </w:rPr>
        <w:t> </w:t>
      </w:r>
      <w:r>
        <w:rPr/>
        <w:t>partnerships.</w:t>
      </w:r>
    </w:p>
    <w:p>
      <w:pPr>
        <w:pStyle w:val="BodyText"/>
        <w:spacing w:before="120"/>
        <w:ind w:left="183"/>
        <w:jc w:val="both"/>
      </w:pPr>
      <w:r>
        <w:rPr/>
        <w:t>Key</w:t>
      </w:r>
      <w:r>
        <w:rPr>
          <w:spacing w:val="-8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Task Force</w:t>
      </w:r>
      <w:r>
        <w:rPr>
          <w:spacing w:val="-4"/>
        </w:rPr>
        <w:t> </w:t>
      </w:r>
      <w:r>
        <w:rPr/>
        <w:t>operations</w:t>
      </w:r>
      <w:r>
        <w:rPr>
          <w:spacing w:val="-4"/>
        </w:rPr>
        <w:t> </w:t>
      </w:r>
      <w:r>
        <w:rPr/>
        <w:t>include the</w:t>
      </w:r>
      <w:r>
        <w:rPr>
          <w:spacing w:val="-4"/>
        </w:rPr>
        <w:t> </w:t>
      </w:r>
      <w:r>
        <w:rPr/>
        <w:t>following: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129" w:after="0"/>
        <w:ind w:left="862" w:right="315" w:hanging="339"/>
        <w:jc w:val="both"/>
        <w:rPr>
          <w:sz w:val="20"/>
        </w:rPr>
      </w:pPr>
      <w:r>
        <w:rPr>
          <w:sz w:val="20"/>
        </w:rPr>
        <w:t>Small</w:t>
      </w:r>
      <w:r>
        <w:rPr>
          <w:spacing w:val="1"/>
          <w:sz w:val="20"/>
        </w:rPr>
        <w:t> </w:t>
      </w:r>
      <w:r>
        <w:rPr>
          <w:sz w:val="20"/>
        </w:rPr>
        <w:t>size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an</w:t>
      </w:r>
      <w:r>
        <w:rPr>
          <w:spacing w:val="1"/>
          <w:sz w:val="20"/>
        </w:rPr>
        <w:t> </w:t>
      </w:r>
      <w:r>
        <w:rPr>
          <w:sz w:val="20"/>
        </w:rPr>
        <w:t>uneven</w:t>
      </w:r>
      <w:r>
        <w:rPr>
          <w:spacing w:val="1"/>
          <w:sz w:val="20"/>
        </w:rPr>
        <w:t> </w:t>
      </w:r>
      <w:r>
        <w:rPr>
          <w:sz w:val="20"/>
        </w:rPr>
        <w:t>number</w:t>
      </w:r>
      <w:r>
        <w:rPr>
          <w:spacing w:val="55"/>
          <w:sz w:val="20"/>
        </w:rPr>
        <w:t> </w:t>
      </w:r>
      <w:r>
        <w:rPr>
          <w:sz w:val="20"/>
        </w:rPr>
        <w:t>of</w:t>
      </w:r>
      <w:r>
        <w:rPr>
          <w:spacing w:val="56"/>
          <w:sz w:val="20"/>
        </w:rPr>
        <w:t> </w:t>
      </w:r>
      <w:r>
        <w:rPr>
          <w:sz w:val="20"/>
        </w:rPr>
        <w:t>members</w:t>
      </w:r>
      <w:r>
        <w:rPr>
          <w:spacing w:val="55"/>
          <w:sz w:val="20"/>
        </w:rPr>
        <w:t> </w:t>
      </w:r>
      <w:r>
        <w:rPr>
          <w:sz w:val="20"/>
        </w:rPr>
        <w:t>to</w:t>
      </w:r>
      <w:r>
        <w:rPr>
          <w:spacing w:val="56"/>
          <w:sz w:val="20"/>
        </w:rPr>
        <w:t> </w:t>
      </w:r>
      <w:r>
        <w:rPr>
          <w:sz w:val="20"/>
        </w:rPr>
        <w:t>facilitate</w:t>
      </w:r>
      <w:r>
        <w:rPr>
          <w:spacing w:val="55"/>
          <w:sz w:val="20"/>
        </w:rPr>
        <w:t> </w:t>
      </w:r>
      <w:r>
        <w:rPr>
          <w:sz w:val="20"/>
        </w:rPr>
        <w:t>deliberations</w:t>
      </w:r>
      <w:r>
        <w:rPr>
          <w:spacing w:val="56"/>
          <w:sz w:val="20"/>
        </w:rPr>
        <w:t> </w:t>
      </w:r>
      <w:r>
        <w:rPr>
          <w:sz w:val="20"/>
        </w:rPr>
        <w:t>and</w:t>
      </w:r>
      <w:r>
        <w:rPr>
          <w:spacing w:val="55"/>
          <w:sz w:val="20"/>
        </w:rPr>
        <w:t> </w:t>
      </w:r>
      <w:r>
        <w:rPr>
          <w:sz w:val="20"/>
        </w:rPr>
        <w:t>conclusions</w:t>
      </w:r>
      <w:r>
        <w:rPr>
          <w:spacing w:val="1"/>
          <w:sz w:val="20"/>
        </w:rPr>
        <w:t> </w:t>
      </w:r>
      <w:r>
        <w:rPr>
          <w:sz w:val="20"/>
        </w:rPr>
        <w:t>(e.g.</w:t>
      </w:r>
      <w:r>
        <w:rPr>
          <w:spacing w:val="-2"/>
          <w:sz w:val="20"/>
        </w:rPr>
        <w:t> </w:t>
      </w:r>
      <w:r>
        <w:rPr>
          <w:sz w:val="20"/>
        </w:rPr>
        <w:t>11</w:t>
      </w:r>
      <w:r>
        <w:rPr>
          <w:spacing w:val="-1"/>
          <w:sz w:val="20"/>
        </w:rPr>
        <w:t> </w:t>
      </w:r>
      <w:r>
        <w:rPr>
          <w:sz w:val="20"/>
        </w:rPr>
        <w:t>members).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53" w:after="0"/>
        <w:ind w:left="862" w:right="302" w:hanging="339"/>
        <w:jc w:val="both"/>
        <w:rPr>
          <w:sz w:val="20"/>
        </w:rPr>
      </w:pPr>
      <w:r>
        <w:rPr>
          <w:sz w:val="20"/>
        </w:rPr>
        <w:t>Include a minimum number of individuals representing policy makers (MoE, SAAHE, Institute for</w:t>
      </w:r>
      <w:r>
        <w:rPr>
          <w:spacing w:val="1"/>
          <w:sz w:val="20"/>
        </w:rPr>
        <w:t> </w:t>
      </w:r>
      <w:r>
        <w:rPr>
          <w:sz w:val="20"/>
        </w:rPr>
        <w:t>Education Policies, Research Agency, Ministry of Finance), higher education stakeholders (HEI</w:t>
      </w:r>
      <w:r>
        <w:rPr>
          <w:spacing w:val="1"/>
          <w:sz w:val="20"/>
        </w:rPr>
        <w:t> </w:t>
      </w:r>
      <w:r>
        <w:rPr>
          <w:sz w:val="20"/>
        </w:rPr>
        <w:t>leaders, academic and professional staff, students and recent graduates), employers and non-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governmental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organisations</w:t>
      </w:r>
      <w:r>
        <w:rPr>
          <w:spacing w:val="-7"/>
          <w:sz w:val="20"/>
        </w:rPr>
        <w:t> </w:t>
      </w:r>
      <w:r>
        <w:rPr>
          <w:sz w:val="20"/>
        </w:rPr>
        <w:t>working</w:t>
      </w:r>
      <w:r>
        <w:rPr>
          <w:spacing w:val="-14"/>
          <w:sz w:val="20"/>
        </w:rPr>
        <w:t> </w:t>
      </w:r>
      <w:r>
        <w:rPr>
          <w:sz w:val="20"/>
        </w:rPr>
        <w:t>on</w:t>
      </w:r>
      <w:r>
        <w:rPr>
          <w:spacing w:val="-13"/>
          <w:sz w:val="20"/>
        </w:rPr>
        <w:t> </w:t>
      </w:r>
      <w:r>
        <w:rPr>
          <w:sz w:val="20"/>
        </w:rPr>
        <w:t>matters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higher</w:t>
      </w:r>
      <w:r>
        <w:rPr>
          <w:spacing w:val="-12"/>
          <w:sz w:val="20"/>
        </w:rPr>
        <w:t> </w:t>
      </w:r>
      <w:r>
        <w:rPr>
          <w:sz w:val="20"/>
        </w:rPr>
        <w:t>education.</w:t>
      </w:r>
      <w:r>
        <w:rPr>
          <w:spacing w:val="-10"/>
          <w:sz w:val="20"/>
        </w:rPr>
        <w:t> </w:t>
      </w:r>
      <w:r>
        <w:rPr>
          <w:sz w:val="20"/>
        </w:rPr>
        <w:t>Members</w:t>
      </w:r>
      <w:r>
        <w:rPr>
          <w:spacing w:val="-12"/>
          <w:sz w:val="20"/>
        </w:rPr>
        <w:t> </w:t>
      </w:r>
      <w:r>
        <w:rPr>
          <w:sz w:val="20"/>
        </w:rPr>
        <w:t>should</w:t>
      </w:r>
      <w:r>
        <w:rPr>
          <w:spacing w:val="-11"/>
          <w:sz w:val="20"/>
        </w:rPr>
        <w:t> </w:t>
      </w:r>
      <w:r>
        <w:rPr>
          <w:sz w:val="20"/>
        </w:rPr>
        <w:t>be</w:t>
      </w:r>
      <w:r>
        <w:rPr>
          <w:spacing w:val="-12"/>
          <w:sz w:val="20"/>
        </w:rPr>
        <w:t> </w:t>
      </w:r>
      <w:r>
        <w:rPr>
          <w:sz w:val="20"/>
        </w:rPr>
        <w:t>proposed</w:t>
      </w:r>
      <w:r>
        <w:rPr>
          <w:spacing w:val="1"/>
          <w:sz w:val="20"/>
        </w:rPr>
        <w:t> </w:t>
      </w:r>
      <w:r>
        <w:rPr>
          <w:sz w:val="20"/>
        </w:rPr>
        <w:t>by the Ministry of Education. The Chair should be proposed by the Minister of Education and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agreed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upon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by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heads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SAAHE,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Rector’s</w:t>
      </w:r>
      <w:r>
        <w:rPr>
          <w:spacing w:val="-7"/>
          <w:sz w:val="20"/>
        </w:rPr>
        <w:t> </w:t>
      </w:r>
      <w:r>
        <w:rPr>
          <w:sz w:val="20"/>
        </w:rPr>
        <w:t>Conference,</w:t>
      </w:r>
      <w:r>
        <w:rPr>
          <w:spacing w:val="-10"/>
          <w:sz w:val="20"/>
        </w:rPr>
        <w:t> </w:t>
      </w:r>
      <w:r>
        <w:rPr>
          <w:sz w:val="20"/>
        </w:rPr>
        <w:t>Higher</w:t>
      </w:r>
      <w:r>
        <w:rPr>
          <w:spacing w:val="-8"/>
          <w:sz w:val="20"/>
        </w:rPr>
        <w:t> </w:t>
      </w:r>
      <w:r>
        <w:rPr>
          <w:sz w:val="20"/>
        </w:rPr>
        <w:t>Education</w:t>
      </w:r>
      <w:r>
        <w:rPr>
          <w:spacing w:val="-9"/>
          <w:sz w:val="20"/>
        </w:rPr>
        <w:t> </w:t>
      </w:r>
      <w:r>
        <w:rPr>
          <w:sz w:val="20"/>
        </w:rPr>
        <w:t>Council,</w:t>
      </w:r>
      <w:r>
        <w:rPr>
          <w:spacing w:val="-9"/>
          <w:sz w:val="20"/>
        </w:rPr>
        <w:t> </w:t>
      </w:r>
      <w:r>
        <w:rPr>
          <w:sz w:val="20"/>
        </w:rPr>
        <w:t>Student</w:t>
      </w:r>
      <w:r>
        <w:rPr>
          <w:spacing w:val="1"/>
          <w:sz w:val="20"/>
        </w:rPr>
        <w:t> </w:t>
      </w:r>
      <w:r>
        <w:rPr>
          <w:sz w:val="20"/>
        </w:rPr>
        <w:t>Higher Education Council and of an organisation representing employers and non-governmental</w:t>
      </w:r>
      <w:r>
        <w:rPr>
          <w:spacing w:val="1"/>
          <w:sz w:val="20"/>
        </w:rPr>
        <w:t> </w:t>
      </w:r>
      <w:r>
        <w:rPr>
          <w:sz w:val="20"/>
        </w:rPr>
        <w:t>organisations.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8" w:lineRule="auto" w:before="43" w:after="0"/>
        <w:ind w:left="862" w:right="299" w:hanging="339"/>
        <w:jc w:val="both"/>
        <w:rPr>
          <w:sz w:val="20"/>
        </w:rPr>
      </w:pPr>
      <w:r>
        <w:rPr>
          <w:sz w:val="20"/>
        </w:rPr>
        <w:t>Be supported by funding from the government to ensure adequate size and quality of Task Force</w:t>
      </w:r>
      <w:r>
        <w:rPr>
          <w:spacing w:val="1"/>
          <w:sz w:val="20"/>
        </w:rPr>
        <w:t> </w:t>
      </w:r>
      <w:r>
        <w:rPr>
          <w:sz w:val="20"/>
        </w:rPr>
        <w:t>staff.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40" w:lineRule="auto" w:before="49" w:after="0"/>
        <w:ind w:left="862" w:right="0" w:hanging="339"/>
        <w:jc w:val="both"/>
        <w:rPr>
          <w:sz w:val="20"/>
        </w:rPr>
      </w:pP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place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sufficient</w:t>
      </w:r>
      <w:r>
        <w:rPr>
          <w:spacing w:val="-1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period</w:t>
      </w:r>
      <w:r>
        <w:rPr>
          <w:spacing w:val="-3"/>
          <w:sz w:val="20"/>
        </w:rPr>
        <w:t> </w:t>
      </w:r>
      <w:r>
        <w:rPr>
          <w:sz w:val="20"/>
        </w:rPr>
        <w:t>(e.g. 24</w:t>
      </w:r>
      <w:r>
        <w:rPr>
          <w:spacing w:val="-1"/>
          <w:sz w:val="20"/>
        </w:rPr>
        <w:t> </w:t>
      </w:r>
      <w:r>
        <w:rPr>
          <w:sz w:val="20"/>
        </w:rPr>
        <w:t>months).</w:t>
      </w:r>
    </w:p>
    <w:p>
      <w:pPr>
        <w:pStyle w:val="BodyText"/>
        <w:spacing w:before="1"/>
        <w:rPr>
          <w:sz w:val="23"/>
        </w:rPr>
      </w:pPr>
    </w:p>
    <w:p>
      <w:pPr>
        <w:pStyle w:val="Heading7"/>
        <w:spacing w:line="266" w:lineRule="auto"/>
        <w:ind w:right="1077"/>
      </w:pPr>
      <w:bookmarkStart w:name="Policy action 2. Develop a mid-term high" w:id="107"/>
      <w:bookmarkEnd w:id="107"/>
      <w:r>
        <w:rPr>
          <w:i w:val="0"/>
        </w:rPr>
      </w:r>
      <w:r>
        <w:rPr>
          <w:color w:val="616161"/>
        </w:rPr>
        <w:t>Policy action 2. Develop a mid-term higher education vision and strategy articulating</w:t>
      </w:r>
      <w:r>
        <w:rPr>
          <w:color w:val="616161"/>
          <w:spacing w:val="-59"/>
        </w:rPr>
        <w:t> </w:t>
      </w:r>
      <w:r>
        <w:rPr>
          <w:color w:val="616161"/>
        </w:rPr>
        <w:t>linkages between</w:t>
      </w:r>
      <w:r>
        <w:rPr>
          <w:color w:val="616161"/>
          <w:spacing w:val="-1"/>
        </w:rPr>
        <w:t> </w:t>
      </w:r>
      <w:r>
        <w:rPr>
          <w:color w:val="616161"/>
        </w:rPr>
        <w:t>goals,</w:t>
      </w:r>
      <w:r>
        <w:rPr>
          <w:color w:val="616161"/>
          <w:spacing w:val="-3"/>
        </w:rPr>
        <w:t> </w:t>
      </w:r>
      <w:r>
        <w:rPr>
          <w:color w:val="616161"/>
        </w:rPr>
        <w:t>actions</w:t>
      </w:r>
      <w:r>
        <w:rPr>
          <w:color w:val="616161"/>
          <w:spacing w:val="-1"/>
        </w:rPr>
        <w:t> </w:t>
      </w:r>
      <w:r>
        <w:rPr>
          <w:color w:val="616161"/>
        </w:rPr>
        <w:t>and</w:t>
      </w:r>
      <w:r>
        <w:rPr>
          <w:color w:val="616161"/>
          <w:spacing w:val="-2"/>
        </w:rPr>
        <w:t> </w:t>
      </w:r>
      <w:r>
        <w:rPr>
          <w:color w:val="616161"/>
        </w:rPr>
        <w:t>monitoring</w:t>
      </w:r>
      <w:r>
        <w:rPr>
          <w:color w:val="616161"/>
          <w:spacing w:val="-1"/>
        </w:rPr>
        <w:t> </w:t>
      </w:r>
      <w:r>
        <w:rPr>
          <w:color w:val="616161"/>
        </w:rPr>
        <w:t>of</w:t>
      </w:r>
      <w:r>
        <w:rPr>
          <w:color w:val="616161"/>
          <w:spacing w:val="-1"/>
        </w:rPr>
        <w:t> </w:t>
      </w:r>
      <w:r>
        <w:rPr>
          <w:color w:val="616161"/>
        </w:rPr>
        <w:t>results</w:t>
      </w:r>
    </w:p>
    <w:p>
      <w:pPr>
        <w:pStyle w:val="BodyText"/>
        <w:spacing w:line="271" w:lineRule="auto" w:before="190"/>
        <w:ind w:left="183" w:right="309"/>
        <w:jc w:val="both"/>
      </w:pPr>
      <w:r>
        <w:rPr/>
        <w:t>On the basis of the work of the Task Force (Policy action 1) and the proposal of teaching and research</w:t>
      </w:r>
      <w:r>
        <w:rPr>
          <w:spacing w:val="1"/>
        </w:rPr>
        <w:t> </w:t>
      </w:r>
      <w:r>
        <w:rPr/>
        <w:t>quality concepts, indicators and data systems (Policy action 2), the MoE should adopt a higher education</w:t>
      </w:r>
      <w:r>
        <w:rPr>
          <w:spacing w:val="-53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implementation plan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connects</w:t>
      </w:r>
      <w:r>
        <w:rPr>
          <w:spacing w:val="-1"/>
        </w:rPr>
        <w:t> </w:t>
      </w:r>
      <w:r>
        <w:rPr/>
        <w:t>reform efforts into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coherent,</w:t>
      </w:r>
      <w:r>
        <w:rPr>
          <w:spacing w:val="-1"/>
        </w:rPr>
        <w:t> </w:t>
      </w:r>
      <w:r>
        <w:rPr/>
        <w:t>mid-term</w:t>
      </w:r>
      <w:r>
        <w:rPr>
          <w:spacing w:val="3"/>
        </w:rPr>
        <w:t> </w:t>
      </w:r>
      <w:r>
        <w:rPr/>
        <w:t>plan.</w:t>
      </w:r>
    </w:p>
    <w:p>
      <w:pPr>
        <w:pStyle w:val="BodyText"/>
        <w:spacing w:before="120"/>
        <w:ind w:left="183"/>
        <w:jc w:val="both"/>
      </w:pP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plan</w:t>
      </w:r>
      <w:r>
        <w:rPr>
          <w:spacing w:val="-3"/>
        </w:rPr>
        <w:t> </w:t>
      </w:r>
      <w:r>
        <w:rPr/>
        <w:t>should: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129" w:after="0"/>
        <w:ind w:left="862" w:right="301" w:hanging="339"/>
        <w:jc w:val="both"/>
        <w:rPr>
          <w:sz w:val="20"/>
        </w:rPr>
      </w:pPr>
      <w:r>
        <w:rPr>
          <w:sz w:val="20"/>
        </w:rPr>
        <w:t>Articulate the vision for the Slovak higher education system now and in the future, and how it is</w:t>
      </w:r>
      <w:r>
        <w:rPr>
          <w:spacing w:val="1"/>
          <w:sz w:val="20"/>
        </w:rPr>
        <w:t> </w:t>
      </w:r>
      <w:r>
        <w:rPr>
          <w:sz w:val="20"/>
        </w:rPr>
        <w:t>expected to contribute to economic prosperity and social well-being. Such a vision should take</w:t>
      </w:r>
      <w:r>
        <w:rPr>
          <w:spacing w:val="1"/>
          <w:sz w:val="20"/>
        </w:rPr>
        <w:t> </w:t>
      </w:r>
      <w:r>
        <w:rPr>
          <w:sz w:val="20"/>
        </w:rPr>
        <w:t>account of expected labour market changes, making use of tools such as skills assessment and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anticipation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(SAA)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systems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[for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further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details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on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SAA,</w:t>
      </w:r>
      <w:r>
        <w:rPr>
          <w:spacing w:val="2"/>
          <w:position w:val="1"/>
          <w:sz w:val="20"/>
        </w:rPr>
        <w:t> </w:t>
      </w:r>
      <w:r>
        <w:rPr>
          <w:position w:val="1"/>
          <w:sz w:val="20"/>
        </w:rPr>
        <w:t>see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OECD</w:t>
      </w:r>
      <w:r>
        <w:rPr>
          <w:spacing w:val="4"/>
          <w:position w:val="1"/>
          <w:sz w:val="20"/>
        </w:rPr>
        <w:t> </w:t>
      </w:r>
      <w:r>
        <w:rPr>
          <w:position w:val="1"/>
          <w:sz w:val="20"/>
        </w:rPr>
        <w:t>(2020</w:t>
      </w:r>
      <w:r>
        <w:rPr>
          <w:sz w:val="13"/>
        </w:rPr>
        <w:t>[4]</w:t>
      </w:r>
      <w:r>
        <w:rPr>
          <w:position w:val="1"/>
          <w:sz w:val="20"/>
        </w:rPr>
        <w:t>)].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8" w:lineRule="auto" w:before="43" w:after="0"/>
        <w:ind w:left="862" w:right="310" w:hanging="339"/>
        <w:jc w:val="both"/>
        <w:rPr>
          <w:sz w:val="20"/>
        </w:rPr>
      </w:pPr>
      <w:r>
        <w:rPr>
          <w:sz w:val="20"/>
        </w:rPr>
        <w:t>Connect the goals of the various higher education reforms underway with the vision, and identify</w:t>
      </w:r>
      <w:r>
        <w:rPr>
          <w:spacing w:val="1"/>
          <w:sz w:val="20"/>
        </w:rPr>
        <w:t> </w:t>
      </w:r>
      <w:r>
        <w:rPr>
          <w:sz w:val="20"/>
        </w:rPr>
        <w:t>the benefits of these reforms for key stakeholder groups, including prospective and current</w:t>
      </w:r>
      <w:r>
        <w:rPr>
          <w:spacing w:val="1"/>
          <w:sz w:val="20"/>
        </w:rPr>
        <w:t> </w:t>
      </w:r>
      <w:r>
        <w:rPr>
          <w:sz w:val="20"/>
        </w:rPr>
        <w:t>students,</w:t>
      </w:r>
      <w:r>
        <w:rPr>
          <w:spacing w:val="-2"/>
          <w:sz w:val="20"/>
        </w:rPr>
        <w:t> </w:t>
      </w:r>
      <w:r>
        <w:rPr>
          <w:sz w:val="20"/>
        </w:rPr>
        <w:t>graduates,</w:t>
      </w:r>
      <w:r>
        <w:rPr>
          <w:spacing w:val="-1"/>
          <w:sz w:val="20"/>
        </w:rPr>
        <w:t> </w:t>
      </w:r>
      <w:r>
        <w:rPr>
          <w:sz w:val="20"/>
        </w:rPr>
        <w:t>higher education</w:t>
      </w:r>
      <w:r>
        <w:rPr>
          <w:spacing w:val="-3"/>
          <w:sz w:val="20"/>
        </w:rPr>
        <w:t> </w:t>
      </w:r>
      <w:r>
        <w:rPr>
          <w:sz w:val="20"/>
        </w:rPr>
        <w:t>staff,</w:t>
      </w:r>
      <w:r>
        <w:rPr>
          <w:spacing w:val="-3"/>
          <w:sz w:val="20"/>
        </w:rPr>
        <w:t> </w:t>
      </w:r>
      <w:r>
        <w:rPr>
          <w:sz w:val="20"/>
        </w:rPr>
        <w:t>employers and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broader</w:t>
      </w:r>
      <w:r>
        <w:rPr>
          <w:spacing w:val="-3"/>
          <w:sz w:val="20"/>
        </w:rPr>
        <w:t> </w:t>
      </w:r>
      <w:r>
        <w:rPr>
          <w:sz w:val="20"/>
        </w:rPr>
        <w:t>Slovak</w:t>
      </w:r>
      <w:r>
        <w:rPr>
          <w:spacing w:val="-1"/>
          <w:sz w:val="20"/>
        </w:rPr>
        <w:t> </w:t>
      </w:r>
      <w:r>
        <w:rPr>
          <w:sz w:val="20"/>
        </w:rPr>
        <w:t>society.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50" w:after="0"/>
        <w:ind w:left="862" w:right="303" w:hanging="339"/>
        <w:jc w:val="both"/>
        <w:rPr>
          <w:sz w:val="20"/>
        </w:rPr>
      </w:pPr>
      <w:r>
        <w:rPr>
          <w:sz w:val="20"/>
        </w:rPr>
        <w:t>Identify thematic areas where the Slovak Republic may develop a comparative advantage in</w:t>
      </w:r>
      <w:r>
        <w:rPr>
          <w:spacing w:val="1"/>
          <w:sz w:val="20"/>
        </w:rPr>
        <w:t> </w:t>
      </w:r>
      <w:r>
        <w:rPr>
          <w:sz w:val="20"/>
        </w:rPr>
        <w:t>research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innovation,</w:t>
      </w:r>
      <w:r>
        <w:rPr>
          <w:spacing w:val="-13"/>
          <w:sz w:val="20"/>
        </w:rPr>
        <w:t> </w:t>
      </w:r>
      <w:r>
        <w:rPr>
          <w:sz w:val="20"/>
        </w:rPr>
        <w:t>teaching,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engagement</w:t>
      </w:r>
      <w:r>
        <w:rPr>
          <w:spacing w:val="-10"/>
          <w:sz w:val="20"/>
        </w:rPr>
        <w:t> </w:t>
      </w:r>
      <w:r>
        <w:rPr>
          <w:sz w:val="20"/>
        </w:rPr>
        <w:t>with</w:t>
      </w:r>
      <w:r>
        <w:rPr>
          <w:spacing w:val="-10"/>
          <w:sz w:val="20"/>
        </w:rPr>
        <w:t> </w:t>
      </w:r>
      <w:r>
        <w:rPr>
          <w:sz w:val="20"/>
        </w:rPr>
        <w:t>wider</w:t>
      </w:r>
      <w:r>
        <w:rPr>
          <w:spacing w:val="-10"/>
          <w:sz w:val="20"/>
        </w:rPr>
        <w:t> </w:t>
      </w:r>
      <w:r>
        <w:rPr>
          <w:sz w:val="20"/>
        </w:rPr>
        <w:t>society,</w:t>
      </w:r>
      <w:r>
        <w:rPr>
          <w:spacing w:val="-10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well</w:t>
      </w:r>
      <w:r>
        <w:rPr>
          <w:spacing w:val="-12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areas</w:t>
      </w:r>
      <w:r>
        <w:rPr>
          <w:spacing w:val="-9"/>
          <w:sz w:val="20"/>
        </w:rPr>
        <w:t> </w:t>
      </w:r>
      <w:r>
        <w:rPr>
          <w:sz w:val="20"/>
        </w:rPr>
        <w:t>where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country has a particular need to generate new knowledge. This should take account of other</w:t>
      </w:r>
      <w:r>
        <w:rPr>
          <w:spacing w:val="1"/>
          <w:sz w:val="20"/>
        </w:rPr>
        <w:t> </w:t>
      </w:r>
      <w:r>
        <w:rPr>
          <w:sz w:val="20"/>
        </w:rPr>
        <w:t>government policies, such as the Smart Specialisation Strategy developed by the Ministry of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Investments,</w:t>
      </w:r>
      <w:r>
        <w:rPr>
          <w:spacing w:val="-10"/>
          <w:position w:val="1"/>
          <w:sz w:val="20"/>
        </w:rPr>
        <w:t> </w:t>
      </w:r>
      <w:r>
        <w:rPr>
          <w:position w:val="1"/>
          <w:sz w:val="20"/>
        </w:rPr>
        <w:t>Regional</w:t>
      </w:r>
      <w:r>
        <w:rPr>
          <w:spacing w:val="-11"/>
          <w:position w:val="1"/>
          <w:sz w:val="20"/>
        </w:rPr>
        <w:t> </w:t>
      </w:r>
      <w:r>
        <w:rPr>
          <w:position w:val="1"/>
          <w:sz w:val="20"/>
        </w:rPr>
        <w:t>Development</w:t>
      </w:r>
      <w:r>
        <w:rPr>
          <w:spacing w:val="-10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Informatization</w:t>
      </w:r>
      <w:r>
        <w:rPr>
          <w:spacing w:val="-9"/>
          <w:position w:val="1"/>
          <w:sz w:val="20"/>
        </w:rPr>
        <w:t> </w:t>
      </w:r>
      <w:r>
        <w:rPr>
          <w:position w:val="1"/>
          <w:sz w:val="20"/>
        </w:rPr>
        <w:t>[see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MIRRI</w:t>
      </w:r>
      <w:r>
        <w:rPr>
          <w:spacing w:val="-9"/>
          <w:position w:val="1"/>
          <w:sz w:val="20"/>
        </w:rPr>
        <w:t> </w:t>
      </w:r>
      <w:r>
        <w:rPr>
          <w:position w:val="1"/>
          <w:sz w:val="20"/>
        </w:rPr>
        <w:t>(2020</w:t>
      </w:r>
      <w:r>
        <w:rPr>
          <w:sz w:val="13"/>
        </w:rPr>
        <w:t>[26]</w:t>
      </w:r>
      <w:r>
        <w:rPr>
          <w:position w:val="1"/>
          <w:sz w:val="20"/>
        </w:rPr>
        <w:t>)],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as</w:t>
      </w:r>
      <w:r>
        <w:rPr>
          <w:spacing w:val="-9"/>
          <w:position w:val="1"/>
          <w:sz w:val="20"/>
        </w:rPr>
        <w:t> </w:t>
      </w:r>
      <w:r>
        <w:rPr>
          <w:position w:val="1"/>
          <w:sz w:val="20"/>
        </w:rPr>
        <w:t>well</w:t>
      </w:r>
      <w:r>
        <w:rPr>
          <w:spacing w:val="-11"/>
          <w:position w:val="1"/>
          <w:sz w:val="20"/>
        </w:rPr>
        <w:t> </w:t>
      </w:r>
      <w:r>
        <w:rPr>
          <w:position w:val="1"/>
          <w:sz w:val="20"/>
        </w:rPr>
        <w:t>as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broader</w:t>
      </w:r>
      <w:r>
        <w:rPr>
          <w:spacing w:val="1"/>
          <w:position w:val="1"/>
          <w:sz w:val="20"/>
        </w:rPr>
        <w:t> </w:t>
      </w:r>
      <w:r>
        <w:rPr>
          <w:sz w:val="20"/>
        </w:rPr>
        <w:t>social issues and trends in the Slovak Republic, ranging from ageing and emigration to the social</w:t>
      </w:r>
      <w:r>
        <w:rPr>
          <w:spacing w:val="1"/>
          <w:sz w:val="20"/>
        </w:rPr>
        <w:t> </w:t>
      </w:r>
      <w:r>
        <w:rPr>
          <w:sz w:val="20"/>
        </w:rPr>
        <w:t>integration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Roma.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46" w:after="0"/>
        <w:ind w:left="862" w:right="300" w:hanging="339"/>
        <w:jc w:val="both"/>
        <w:rPr>
          <w:sz w:val="20"/>
        </w:rPr>
      </w:pPr>
      <w:r>
        <w:rPr>
          <w:sz w:val="20"/>
        </w:rPr>
        <w:t>Identify whether the three types of HEI profiles created by the 2007 Amendment to the Higher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Education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Act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should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strengthened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revisited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more</w:t>
      </w:r>
      <w:r>
        <w:rPr>
          <w:spacing w:val="-10"/>
          <w:sz w:val="20"/>
        </w:rPr>
        <w:t> </w:t>
      </w:r>
      <w:r>
        <w:rPr>
          <w:sz w:val="20"/>
        </w:rPr>
        <w:t>effectively</w:t>
      </w:r>
      <w:r>
        <w:rPr>
          <w:spacing w:val="-14"/>
          <w:sz w:val="20"/>
        </w:rPr>
        <w:t> </w:t>
      </w:r>
      <w:r>
        <w:rPr>
          <w:sz w:val="20"/>
        </w:rPr>
        <w:t>encourage</w:t>
      </w:r>
      <w:r>
        <w:rPr>
          <w:spacing w:val="-10"/>
          <w:sz w:val="20"/>
        </w:rPr>
        <w:t> </w:t>
      </w:r>
      <w:r>
        <w:rPr>
          <w:sz w:val="20"/>
        </w:rPr>
        <w:t>specialisation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meet</w:t>
      </w:r>
      <w:r>
        <w:rPr>
          <w:spacing w:val="55"/>
          <w:sz w:val="20"/>
        </w:rPr>
        <w:t> </w:t>
      </w:r>
      <w:r>
        <w:rPr>
          <w:sz w:val="20"/>
        </w:rPr>
        <w:t>economic</w:t>
      </w:r>
      <w:r>
        <w:rPr>
          <w:spacing w:val="56"/>
          <w:sz w:val="20"/>
        </w:rPr>
        <w:t> </w:t>
      </w:r>
      <w:r>
        <w:rPr>
          <w:sz w:val="20"/>
        </w:rPr>
        <w:t>and</w:t>
      </w:r>
      <w:r>
        <w:rPr>
          <w:spacing w:val="55"/>
          <w:sz w:val="20"/>
        </w:rPr>
        <w:t> </w:t>
      </w:r>
      <w:r>
        <w:rPr>
          <w:sz w:val="20"/>
        </w:rPr>
        <w:t>social</w:t>
      </w:r>
      <w:r>
        <w:rPr>
          <w:spacing w:val="56"/>
          <w:sz w:val="20"/>
        </w:rPr>
        <w:t> </w:t>
      </w:r>
      <w:r>
        <w:rPr>
          <w:sz w:val="20"/>
        </w:rPr>
        <w:t>needs,</w:t>
      </w:r>
      <w:r>
        <w:rPr>
          <w:spacing w:val="55"/>
          <w:sz w:val="20"/>
        </w:rPr>
        <w:t> </w:t>
      </w:r>
      <w:r>
        <w:rPr>
          <w:sz w:val="20"/>
        </w:rPr>
        <w:t>drawing</w:t>
      </w:r>
      <w:r>
        <w:rPr>
          <w:spacing w:val="56"/>
          <w:sz w:val="20"/>
        </w:rPr>
        <w:t> </w:t>
      </w:r>
      <w:r>
        <w:rPr>
          <w:sz w:val="20"/>
        </w:rPr>
        <w:t>on</w:t>
      </w:r>
      <w:r>
        <w:rPr>
          <w:spacing w:val="55"/>
          <w:sz w:val="20"/>
        </w:rPr>
        <w:t> </w:t>
      </w:r>
      <w:r>
        <w:rPr>
          <w:sz w:val="20"/>
        </w:rPr>
        <w:t>the</w:t>
      </w:r>
      <w:r>
        <w:rPr>
          <w:spacing w:val="56"/>
          <w:sz w:val="20"/>
        </w:rPr>
        <w:t> </w:t>
      </w:r>
      <w:r>
        <w:rPr>
          <w:sz w:val="20"/>
        </w:rPr>
        <w:t>experience</w:t>
      </w:r>
      <w:r>
        <w:rPr>
          <w:spacing w:val="56"/>
          <w:sz w:val="20"/>
        </w:rPr>
        <w:t> </w:t>
      </w:r>
      <w:r>
        <w:rPr>
          <w:sz w:val="20"/>
        </w:rPr>
        <w:t>of</w:t>
      </w:r>
      <w:r>
        <w:rPr>
          <w:spacing w:val="55"/>
          <w:sz w:val="20"/>
        </w:rPr>
        <w:t> </w:t>
      </w:r>
      <w:r>
        <w:rPr>
          <w:sz w:val="20"/>
        </w:rPr>
        <w:t>differentiated   systems</w:t>
      </w:r>
      <w:r>
        <w:rPr>
          <w:spacing w:val="1"/>
          <w:sz w:val="20"/>
        </w:rPr>
        <w:t> </w:t>
      </w:r>
      <w:r>
        <w:rPr>
          <w:sz w:val="20"/>
        </w:rPr>
        <w:t>(e.g.</w:t>
      </w:r>
      <w:r>
        <w:rPr>
          <w:spacing w:val="-3"/>
          <w:sz w:val="20"/>
        </w:rPr>
        <w:t> </w:t>
      </w:r>
      <w:r>
        <w:rPr>
          <w:sz w:val="20"/>
        </w:rPr>
        <w:t>Finland’s</w:t>
      </w:r>
      <w:r>
        <w:rPr>
          <w:spacing w:val="-2"/>
          <w:sz w:val="20"/>
        </w:rPr>
        <w:t> </w:t>
      </w:r>
      <w:r>
        <w:rPr>
          <w:sz w:val="20"/>
        </w:rPr>
        <w:t>Universities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Applied</w:t>
      </w:r>
      <w:r>
        <w:rPr>
          <w:spacing w:val="-3"/>
          <w:sz w:val="20"/>
        </w:rPr>
        <w:t> </w:t>
      </w:r>
      <w:r>
        <w:rPr>
          <w:sz w:val="20"/>
        </w:rPr>
        <w:t>Sciences,</w:t>
      </w:r>
      <w:r>
        <w:rPr>
          <w:spacing w:val="-3"/>
          <w:sz w:val="20"/>
        </w:rPr>
        <w:t> </w:t>
      </w:r>
      <w:r>
        <w:rPr>
          <w:sz w:val="20"/>
        </w:rPr>
        <w:t>Ireland’s</w:t>
      </w:r>
      <w:r>
        <w:rPr>
          <w:spacing w:val="-1"/>
          <w:sz w:val="20"/>
        </w:rPr>
        <w:t> </w:t>
      </w:r>
      <w:r>
        <w:rPr>
          <w:sz w:val="20"/>
        </w:rPr>
        <w:t>Technological</w:t>
      </w:r>
      <w:r>
        <w:rPr>
          <w:spacing w:val="-4"/>
          <w:sz w:val="20"/>
        </w:rPr>
        <w:t> </w:t>
      </w:r>
      <w:r>
        <w:rPr>
          <w:sz w:val="20"/>
        </w:rPr>
        <w:t>Universities).</w:t>
      </w:r>
    </w:p>
    <w:p>
      <w:pPr>
        <w:spacing w:after="0" w:line="271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172" w:after="0"/>
        <w:ind w:left="862" w:right="312" w:hanging="339"/>
        <w:jc w:val="both"/>
        <w:rPr>
          <w:sz w:val="20"/>
        </w:rPr>
      </w:pPr>
      <w:r>
        <w:rPr>
          <w:sz w:val="20"/>
        </w:rPr>
        <w:t>Identify</w:t>
      </w:r>
      <w:r>
        <w:rPr>
          <w:spacing w:val="1"/>
          <w:sz w:val="20"/>
        </w:rPr>
        <w:t> </w:t>
      </w:r>
      <w:r>
        <w:rPr>
          <w:sz w:val="20"/>
        </w:rPr>
        <w:t>potential</w:t>
      </w:r>
      <w:r>
        <w:rPr>
          <w:spacing w:val="1"/>
          <w:sz w:val="20"/>
        </w:rPr>
        <w:t> </w:t>
      </w:r>
      <w:r>
        <w:rPr>
          <w:sz w:val="20"/>
        </w:rPr>
        <w:t>scenarios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institutional</w:t>
      </w:r>
      <w:r>
        <w:rPr>
          <w:spacing w:val="1"/>
          <w:sz w:val="20"/>
        </w:rPr>
        <w:t> </w:t>
      </w:r>
      <w:r>
        <w:rPr>
          <w:sz w:val="20"/>
        </w:rPr>
        <w:t>groupings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support</w:t>
      </w:r>
      <w:r>
        <w:rPr>
          <w:spacing w:val="1"/>
          <w:sz w:val="20"/>
        </w:rPr>
        <w:t> </w:t>
      </w:r>
      <w:r>
        <w:rPr>
          <w:sz w:val="20"/>
        </w:rPr>
        <w:t>greater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performance,</w:t>
      </w:r>
      <w:r>
        <w:rPr>
          <w:spacing w:val="-3"/>
          <w:sz w:val="20"/>
        </w:rPr>
        <w:t> </w:t>
      </w:r>
      <w:r>
        <w:rPr>
          <w:sz w:val="20"/>
        </w:rPr>
        <w:t>especially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innovation,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concentrating resources:</w:t>
      </w:r>
    </w:p>
    <w:p>
      <w:pPr>
        <w:pStyle w:val="ListParagraph"/>
        <w:numPr>
          <w:ilvl w:val="0"/>
          <w:numId w:val="18"/>
        </w:numPr>
        <w:tabs>
          <w:tab w:pos="1204" w:val="left" w:leader="none"/>
        </w:tabs>
        <w:spacing w:line="264" w:lineRule="auto" w:before="65" w:after="0"/>
        <w:ind w:left="1203" w:right="310" w:hanging="341"/>
        <w:jc w:val="both"/>
        <w:rPr>
          <w:sz w:val="20"/>
        </w:rPr>
      </w:pPr>
      <w:r>
        <w:rPr>
          <w:sz w:val="20"/>
        </w:rPr>
        <w:t>Scenarios could include a range of options from collaborations maintaining distinct identities,</w:t>
      </w:r>
      <w:r>
        <w:rPr>
          <w:spacing w:val="1"/>
          <w:sz w:val="20"/>
        </w:rPr>
        <w:t> </w:t>
      </w:r>
      <w:r>
        <w:rPr>
          <w:sz w:val="20"/>
        </w:rPr>
        <w:t>consortia where identities are maintained but more activities are shared, to full mergers. The</w:t>
      </w:r>
      <w:r>
        <w:rPr>
          <w:spacing w:val="1"/>
          <w:sz w:val="20"/>
        </w:rPr>
        <w:t> </w:t>
      </w:r>
      <w:r>
        <w:rPr>
          <w:sz w:val="20"/>
        </w:rPr>
        <w:t>approaches taken by France and Finland, discussed in this report, provide examples in this</w:t>
      </w:r>
      <w:r>
        <w:rPr>
          <w:spacing w:val="1"/>
          <w:sz w:val="20"/>
        </w:rPr>
        <w:t> </w:t>
      </w:r>
      <w:r>
        <w:rPr>
          <w:sz w:val="20"/>
        </w:rPr>
        <w:t>area.</w:t>
      </w:r>
    </w:p>
    <w:p>
      <w:pPr>
        <w:pStyle w:val="ListParagraph"/>
        <w:numPr>
          <w:ilvl w:val="0"/>
          <w:numId w:val="18"/>
        </w:numPr>
        <w:tabs>
          <w:tab w:pos="1204" w:val="left" w:leader="none"/>
        </w:tabs>
        <w:spacing w:line="261" w:lineRule="auto" w:before="72" w:after="0"/>
        <w:ind w:left="1203" w:right="309" w:hanging="341"/>
        <w:jc w:val="both"/>
        <w:rPr>
          <w:sz w:val="20"/>
        </w:rPr>
      </w:pPr>
      <w:r>
        <w:rPr>
          <w:sz w:val="20"/>
        </w:rPr>
        <w:t>The scenarios should identify the local and regional implications of these approaches in</w:t>
      </w:r>
      <w:r>
        <w:rPr>
          <w:spacing w:val="1"/>
          <w:sz w:val="20"/>
        </w:rPr>
        <w:t> </w:t>
      </w:r>
      <w:r>
        <w:rPr>
          <w:sz w:val="20"/>
        </w:rPr>
        <w:t>co-ordination with regional actors, given the importance of HEIs in the economic development</w:t>
      </w:r>
      <w:r>
        <w:rPr>
          <w:spacing w:val="-53"/>
          <w:sz w:val="20"/>
        </w:rPr>
        <w:t> </w:t>
      </w:r>
      <w:r>
        <w:rPr>
          <w:sz w:val="20"/>
        </w:rPr>
        <w:t>of regions and</w:t>
      </w:r>
      <w:r>
        <w:rPr>
          <w:spacing w:val="-2"/>
          <w:sz w:val="20"/>
        </w:rPr>
        <w:t> </w:t>
      </w:r>
      <w:r>
        <w:rPr>
          <w:sz w:val="20"/>
        </w:rPr>
        <w:t>cities.</w:t>
      </w:r>
    </w:p>
    <w:p>
      <w:pPr>
        <w:pStyle w:val="ListParagraph"/>
        <w:numPr>
          <w:ilvl w:val="0"/>
          <w:numId w:val="18"/>
        </w:numPr>
        <w:tabs>
          <w:tab w:pos="1204" w:val="left" w:leader="none"/>
        </w:tabs>
        <w:spacing w:line="266" w:lineRule="auto" w:before="70" w:after="0"/>
        <w:ind w:left="1203" w:right="306" w:hanging="341"/>
        <w:jc w:val="both"/>
        <w:rPr>
          <w:sz w:val="20"/>
        </w:rPr>
      </w:pPr>
      <w:r>
        <w:rPr>
          <w:sz w:val="20"/>
        </w:rPr>
        <w:t>Scenarios should also identify the financial incentives that government would provide to</w:t>
      </w:r>
      <w:r>
        <w:rPr>
          <w:spacing w:val="1"/>
          <w:sz w:val="20"/>
        </w:rPr>
        <w:t> </w:t>
      </w:r>
      <w:r>
        <w:rPr>
          <w:sz w:val="20"/>
        </w:rPr>
        <w:t>support such processes and make clear the benefits of mergers and groupings to all parties</w:t>
      </w:r>
      <w:r>
        <w:rPr>
          <w:spacing w:val="1"/>
          <w:sz w:val="20"/>
        </w:rPr>
        <w:t> </w:t>
      </w:r>
      <w:r>
        <w:rPr>
          <w:sz w:val="20"/>
        </w:rPr>
        <w:t>involved. Attention should be placed on how new forms of higher education delivery, such as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digitally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enabled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teaching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learning</w:t>
      </w:r>
      <w:r>
        <w:rPr>
          <w:spacing w:val="-9"/>
          <w:sz w:val="20"/>
        </w:rPr>
        <w:t> </w:t>
      </w:r>
      <w:r>
        <w:rPr>
          <w:sz w:val="20"/>
        </w:rPr>
        <w:t>could</w:t>
      </w:r>
      <w:r>
        <w:rPr>
          <w:spacing w:val="-10"/>
          <w:sz w:val="20"/>
        </w:rPr>
        <w:t> </w:t>
      </w:r>
      <w:r>
        <w:rPr>
          <w:sz w:val="20"/>
        </w:rPr>
        <w:t>support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provision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higher</w:t>
      </w:r>
      <w:r>
        <w:rPr>
          <w:spacing w:val="-9"/>
          <w:sz w:val="20"/>
        </w:rPr>
        <w:t> </w:t>
      </w:r>
      <w:r>
        <w:rPr>
          <w:sz w:val="20"/>
        </w:rPr>
        <w:t>education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some</w:t>
      </w:r>
      <w:r>
        <w:rPr>
          <w:spacing w:val="1"/>
          <w:sz w:val="20"/>
        </w:rPr>
        <w:t> </w:t>
      </w:r>
      <w:r>
        <w:rPr>
          <w:sz w:val="20"/>
        </w:rPr>
        <w:t>student groups,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2"/>
          <w:sz w:val="20"/>
        </w:rPr>
        <w:t> </w:t>
      </w:r>
      <w:r>
        <w:rPr>
          <w:sz w:val="20"/>
        </w:rPr>
        <w:t>as part-time</w:t>
      </w:r>
      <w:r>
        <w:rPr>
          <w:spacing w:val="-1"/>
          <w:sz w:val="20"/>
        </w:rPr>
        <w:t> </w:t>
      </w:r>
      <w:r>
        <w:rPr>
          <w:sz w:val="20"/>
        </w:rPr>
        <w:t>students,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instance.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51" w:after="0"/>
        <w:ind w:left="862" w:right="304" w:hanging="339"/>
        <w:jc w:val="both"/>
        <w:rPr>
          <w:sz w:val="20"/>
        </w:rPr>
      </w:pPr>
      <w:r>
        <w:rPr>
          <w:sz w:val="20"/>
        </w:rPr>
        <w:t>Identify core concepts and indicators of quality teaching, research and engagement, which the</w:t>
      </w:r>
      <w:r>
        <w:rPr>
          <w:spacing w:val="1"/>
          <w:sz w:val="20"/>
        </w:rPr>
        <w:t> </w:t>
      </w:r>
      <w:r>
        <w:rPr>
          <w:sz w:val="20"/>
        </w:rPr>
        <w:t>government will use to monitor the performance of HEIs and of the higher education system as a</w:t>
      </w:r>
      <w:r>
        <w:rPr>
          <w:spacing w:val="1"/>
          <w:sz w:val="20"/>
        </w:rPr>
        <w:t> </w:t>
      </w:r>
      <w:r>
        <w:rPr>
          <w:w w:val="95"/>
          <w:sz w:val="20"/>
        </w:rPr>
        <w:t>whole (Policy action 2), and actions to enhance the capacity in HEIs and the government to monitor</w:t>
      </w:r>
      <w:r>
        <w:rPr>
          <w:spacing w:val="1"/>
          <w:w w:val="95"/>
          <w:sz w:val="20"/>
        </w:rPr>
        <w:t> </w:t>
      </w:r>
      <w:r>
        <w:rPr>
          <w:sz w:val="20"/>
        </w:rPr>
        <w:t>performance,</w:t>
      </w:r>
      <w:r>
        <w:rPr>
          <w:spacing w:val="-3"/>
          <w:sz w:val="20"/>
        </w:rPr>
        <w:t> </w:t>
      </w:r>
      <w:r>
        <w:rPr>
          <w:sz w:val="20"/>
        </w:rPr>
        <w:t>including</w:t>
      </w:r>
      <w:r>
        <w:rPr>
          <w:spacing w:val="-2"/>
          <w:sz w:val="20"/>
        </w:rPr>
        <w:t> </w:t>
      </w:r>
      <w:r>
        <w:rPr>
          <w:sz w:val="20"/>
        </w:rPr>
        <w:t>through appropriate</w:t>
      </w:r>
      <w:r>
        <w:rPr>
          <w:spacing w:val="-1"/>
          <w:sz w:val="20"/>
        </w:rPr>
        <w:t> </w:t>
      </w:r>
      <w:r>
        <w:rPr>
          <w:sz w:val="20"/>
        </w:rPr>
        <w:t>data</w:t>
      </w:r>
      <w:r>
        <w:rPr>
          <w:spacing w:val="-3"/>
          <w:sz w:val="20"/>
        </w:rPr>
        <w:t> </w:t>
      </w:r>
      <w:r>
        <w:rPr>
          <w:sz w:val="20"/>
        </w:rPr>
        <w:t>collection.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45" w:after="0"/>
        <w:ind w:left="862" w:right="302" w:hanging="339"/>
        <w:jc w:val="both"/>
        <w:rPr>
          <w:sz w:val="20"/>
        </w:rPr>
      </w:pPr>
      <w:r>
        <w:rPr>
          <w:sz w:val="20"/>
        </w:rPr>
        <w:t>Set</w:t>
      </w:r>
      <w:r>
        <w:rPr>
          <w:spacing w:val="-5"/>
          <w:sz w:val="20"/>
        </w:rPr>
        <w:t> </w:t>
      </w:r>
      <w:r>
        <w:rPr>
          <w:sz w:val="20"/>
        </w:rPr>
        <w:t>out</w:t>
      </w:r>
      <w:r>
        <w:rPr>
          <w:spacing w:val="-5"/>
          <w:sz w:val="20"/>
        </w:rPr>
        <w:t> </w:t>
      </w:r>
      <w:r>
        <w:rPr>
          <w:sz w:val="20"/>
        </w:rPr>
        <w:t>parameters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development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institutional</w:t>
      </w:r>
      <w:r>
        <w:rPr>
          <w:spacing w:val="-5"/>
          <w:sz w:val="20"/>
        </w:rPr>
        <w:t> </w:t>
      </w:r>
      <w:r>
        <w:rPr>
          <w:sz w:val="20"/>
        </w:rPr>
        <w:t>contracts</w:t>
      </w:r>
      <w:r>
        <w:rPr>
          <w:spacing w:val="-5"/>
          <w:sz w:val="20"/>
        </w:rPr>
        <w:t> </w:t>
      </w:r>
      <w:r>
        <w:rPr>
          <w:sz w:val="20"/>
        </w:rPr>
        <w:t>(Policy</w:t>
      </w:r>
      <w:r>
        <w:rPr>
          <w:spacing w:val="-7"/>
          <w:sz w:val="20"/>
        </w:rPr>
        <w:t> </w:t>
      </w:r>
      <w:r>
        <w:rPr>
          <w:sz w:val="20"/>
        </w:rPr>
        <w:t>action</w:t>
      </w:r>
      <w:r>
        <w:rPr>
          <w:spacing w:val="4"/>
          <w:sz w:val="20"/>
        </w:rPr>
        <w:t> </w:t>
      </w:r>
      <w:r>
        <w:rPr>
          <w:sz w:val="20"/>
        </w:rPr>
        <w:t>5)</w:t>
      </w:r>
      <w:r>
        <w:rPr>
          <w:spacing w:val="-6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become</w:t>
      </w:r>
      <w:r>
        <w:rPr>
          <w:spacing w:val="-5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key</w:t>
      </w:r>
      <w:r>
        <w:rPr>
          <w:spacing w:val="-7"/>
          <w:sz w:val="20"/>
        </w:rPr>
        <w:t> </w:t>
      </w:r>
      <w:r>
        <w:rPr>
          <w:sz w:val="20"/>
        </w:rPr>
        <w:t>policy</w:t>
      </w:r>
      <w:r>
        <w:rPr>
          <w:spacing w:val="-4"/>
          <w:sz w:val="20"/>
        </w:rPr>
        <w:t> </w:t>
      </w:r>
      <w:r>
        <w:rPr>
          <w:sz w:val="20"/>
        </w:rPr>
        <w:t>tool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connect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national</w:t>
      </w:r>
      <w:r>
        <w:rPr>
          <w:spacing w:val="-2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education</w:t>
      </w:r>
      <w:r>
        <w:rPr>
          <w:spacing w:val="-4"/>
          <w:sz w:val="20"/>
        </w:rPr>
        <w:t> </w:t>
      </w:r>
      <w:r>
        <w:rPr>
          <w:sz w:val="20"/>
        </w:rPr>
        <w:t>strategy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institutional</w:t>
      </w:r>
      <w:r>
        <w:rPr>
          <w:spacing w:val="-3"/>
          <w:sz w:val="20"/>
        </w:rPr>
        <w:t> </w:t>
      </w:r>
      <w:r>
        <w:rPr>
          <w:sz w:val="20"/>
        </w:rPr>
        <w:t>strategies.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spacing w:line="266" w:lineRule="auto" w:before="1"/>
        <w:ind w:right="1602"/>
      </w:pPr>
      <w:bookmarkStart w:name="Policy action 3. Develop widely agreed c" w:id="108"/>
      <w:bookmarkEnd w:id="108"/>
      <w:r>
        <w:rPr>
          <w:i w:val="0"/>
        </w:rPr>
      </w:r>
      <w:r>
        <w:rPr>
          <w:color w:val="616161"/>
        </w:rPr>
        <w:t>Policy action 3. Develop widely agreed concepts and measures to drive quality</w:t>
      </w:r>
      <w:r>
        <w:rPr>
          <w:color w:val="616161"/>
          <w:spacing w:val="-59"/>
        </w:rPr>
        <w:t> </w:t>
      </w:r>
      <w:r>
        <w:rPr>
          <w:color w:val="616161"/>
        </w:rPr>
        <w:t>improvements</w:t>
      </w:r>
      <w:r>
        <w:rPr>
          <w:color w:val="616161"/>
          <w:spacing w:val="-3"/>
        </w:rPr>
        <w:t> </w:t>
      </w:r>
      <w:r>
        <w:rPr>
          <w:color w:val="616161"/>
        </w:rPr>
        <w:t>in</w:t>
      </w:r>
      <w:r>
        <w:rPr>
          <w:color w:val="616161"/>
          <w:spacing w:val="-2"/>
        </w:rPr>
        <w:t> </w:t>
      </w:r>
      <w:r>
        <w:rPr>
          <w:color w:val="616161"/>
        </w:rPr>
        <w:t>teaching and</w:t>
      </w:r>
      <w:r>
        <w:rPr>
          <w:color w:val="616161"/>
          <w:spacing w:val="-2"/>
        </w:rPr>
        <w:t> </w:t>
      </w:r>
      <w:r>
        <w:rPr>
          <w:color w:val="616161"/>
        </w:rPr>
        <w:t>research</w:t>
      </w:r>
    </w:p>
    <w:p>
      <w:pPr>
        <w:pStyle w:val="BodyText"/>
        <w:spacing w:before="189"/>
        <w:ind w:left="183"/>
        <w:jc w:val="both"/>
      </w:pPr>
      <w:r>
        <w:rPr/>
        <w:t>The</w:t>
      </w:r>
      <w:r>
        <w:rPr>
          <w:spacing w:val="-5"/>
        </w:rPr>
        <w:t> </w:t>
      </w:r>
      <w:r>
        <w:rPr/>
        <w:t>expert</w:t>
      </w:r>
      <w:r>
        <w:rPr>
          <w:spacing w:val="-2"/>
        </w:rPr>
        <w:t> </w:t>
      </w:r>
      <w:r>
        <w:rPr/>
        <w:t>working</w:t>
      </w:r>
      <w:r>
        <w:rPr>
          <w:spacing w:val="-5"/>
        </w:rPr>
        <w:t> </w:t>
      </w:r>
      <w:r>
        <w:rPr/>
        <w:t>group</w:t>
      </w:r>
      <w:r>
        <w:rPr>
          <w:spacing w:val="-4"/>
        </w:rPr>
        <w:t> </w:t>
      </w:r>
      <w:r>
        <w:rPr/>
        <w:t>created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Policy</w:t>
      </w:r>
      <w:r>
        <w:rPr>
          <w:spacing w:val="-6"/>
        </w:rPr>
        <w:t> </w:t>
      </w:r>
      <w:r>
        <w:rPr/>
        <w:t>action</w:t>
      </w:r>
      <w:r>
        <w:rPr>
          <w:spacing w:val="2"/>
        </w:rPr>
        <w:t> </w:t>
      </w:r>
      <w:r>
        <w:rPr/>
        <w:t>1</w:t>
      </w:r>
      <w:r>
        <w:rPr>
          <w:spacing w:val="-4"/>
        </w:rPr>
        <w:t> </w:t>
      </w:r>
      <w:r>
        <w:rPr/>
        <w:t>should: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128" w:after="0"/>
        <w:ind w:left="862" w:right="316" w:hanging="339"/>
        <w:jc w:val="both"/>
        <w:rPr>
          <w:sz w:val="20"/>
        </w:rPr>
      </w:pPr>
      <w:r>
        <w:rPr>
          <w:sz w:val="20"/>
        </w:rPr>
        <w:t>Develop concepts of quality teaching and research that could be used in the Slovak context, and</w:t>
      </w:r>
      <w:r>
        <w:rPr>
          <w:spacing w:val="1"/>
          <w:sz w:val="20"/>
        </w:rPr>
        <w:t> </w:t>
      </w:r>
      <w:r>
        <w:rPr>
          <w:sz w:val="20"/>
        </w:rPr>
        <w:t>metrics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measure</w:t>
      </w:r>
      <w:r>
        <w:rPr>
          <w:spacing w:val="-1"/>
          <w:sz w:val="20"/>
        </w:rPr>
        <w:t> </w:t>
      </w:r>
      <w:r>
        <w:rPr>
          <w:sz w:val="20"/>
        </w:rPr>
        <w:t>these</w:t>
      </w:r>
      <w:r>
        <w:rPr>
          <w:spacing w:val="-2"/>
          <w:sz w:val="20"/>
        </w:rPr>
        <w:t> </w:t>
      </w:r>
      <w:r>
        <w:rPr>
          <w:sz w:val="20"/>
        </w:rPr>
        <w:t>concepts,</w:t>
      </w:r>
      <w:r>
        <w:rPr>
          <w:spacing w:val="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specifically:</w:t>
      </w:r>
    </w:p>
    <w:p>
      <w:pPr>
        <w:pStyle w:val="ListParagraph"/>
        <w:numPr>
          <w:ilvl w:val="0"/>
          <w:numId w:val="19"/>
        </w:numPr>
        <w:tabs>
          <w:tab w:pos="1204" w:val="left" w:leader="none"/>
        </w:tabs>
        <w:spacing w:line="240" w:lineRule="auto" w:before="68" w:after="0"/>
        <w:ind w:left="1203" w:right="0" w:hanging="342"/>
        <w:jc w:val="both"/>
        <w:rPr>
          <w:sz w:val="20"/>
        </w:rPr>
      </w:pPr>
      <w:r>
        <w:rPr>
          <w:sz w:val="20"/>
        </w:rPr>
        <w:t>Develop</w:t>
      </w:r>
      <w:r>
        <w:rPr>
          <w:spacing w:val="-6"/>
          <w:sz w:val="20"/>
        </w:rPr>
        <w:t> </w:t>
      </w:r>
      <w:r>
        <w:rPr>
          <w:sz w:val="20"/>
        </w:rPr>
        <w:t>concepts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quality</w:t>
      </w:r>
      <w:r>
        <w:rPr>
          <w:spacing w:val="-6"/>
          <w:sz w:val="20"/>
        </w:rPr>
        <w:t> </w:t>
      </w:r>
      <w:r>
        <w:rPr>
          <w:sz w:val="20"/>
        </w:rPr>
        <w:t>teaching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research.</w:t>
      </w:r>
    </w:p>
    <w:p>
      <w:pPr>
        <w:pStyle w:val="ListParagraph"/>
        <w:numPr>
          <w:ilvl w:val="0"/>
          <w:numId w:val="19"/>
        </w:numPr>
        <w:tabs>
          <w:tab w:pos="1204" w:val="left" w:leader="none"/>
        </w:tabs>
        <w:spacing w:line="268" w:lineRule="auto" w:before="71" w:after="0"/>
        <w:ind w:left="1203" w:right="303" w:hanging="341"/>
        <w:jc w:val="both"/>
        <w:rPr>
          <w:sz w:val="20"/>
        </w:rPr>
      </w:pPr>
      <w:r>
        <w:rPr>
          <w:sz w:val="20"/>
        </w:rPr>
        <w:t>Based on these concepts, draft a set of core indicators that would be applicable to all HEIs.</w:t>
      </w:r>
      <w:r>
        <w:rPr>
          <w:spacing w:val="1"/>
          <w:sz w:val="20"/>
        </w:rPr>
        <w:t> </w:t>
      </w:r>
      <w:r>
        <w:rPr>
          <w:sz w:val="20"/>
        </w:rPr>
        <w:t>These core indicators should build on the standards developed by the SAAHE and draw from</w:t>
      </w:r>
      <w:r>
        <w:rPr>
          <w:spacing w:val="1"/>
          <w:sz w:val="20"/>
        </w:rPr>
        <w:t> </w:t>
      </w:r>
      <w:r>
        <w:rPr>
          <w:sz w:val="20"/>
        </w:rPr>
        <w:t>international examples, such as those in place</w:t>
      </w:r>
      <w:r>
        <w:rPr>
          <w:spacing w:val="1"/>
          <w:sz w:val="20"/>
        </w:rPr>
        <w:t> </w:t>
      </w:r>
      <w:r>
        <w:rPr>
          <w:sz w:val="20"/>
        </w:rPr>
        <w:t>in the United Kingdom</w:t>
      </w:r>
      <w:r>
        <w:rPr>
          <w:spacing w:val="1"/>
          <w:sz w:val="20"/>
        </w:rPr>
        <w:t> </w:t>
      </w:r>
      <w:r>
        <w:rPr>
          <w:sz w:val="20"/>
        </w:rPr>
        <w:t>(see above) and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Denmark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Flemish</w:t>
      </w:r>
      <w:r>
        <w:rPr>
          <w:spacing w:val="-10"/>
          <w:sz w:val="20"/>
        </w:rPr>
        <w:t> </w:t>
      </w:r>
      <w:r>
        <w:rPr>
          <w:sz w:val="20"/>
        </w:rPr>
        <w:t>Community</w:t>
      </w:r>
      <w:r>
        <w:rPr>
          <w:spacing w:val="-14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Belgium</w:t>
      </w:r>
      <w:r>
        <w:rPr>
          <w:spacing w:val="-6"/>
          <w:sz w:val="20"/>
        </w:rPr>
        <w:t> </w:t>
      </w:r>
      <w:r>
        <w:rPr>
          <w:sz w:val="20"/>
        </w:rPr>
        <w:t>(see</w:t>
      </w:r>
      <w:r>
        <w:rPr>
          <w:spacing w:val="-6"/>
          <w:sz w:val="20"/>
        </w:rPr>
        <w:t> </w:t>
      </w:r>
      <w:r>
        <w:rPr>
          <w:sz w:val="20"/>
        </w:rPr>
        <w:t>Action</w:t>
      </w:r>
      <w:r>
        <w:rPr>
          <w:spacing w:val="-7"/>
          <w:sz w:val="20"/>
        </w:rPr>
        <w:t> </w:t>
      </w:r>
      <w:r>
        <w:rPr>
          <w:sz w:val="20"/>
        </w:rPr>
        <w:t>Step</w:t>
      </w:r>
      <w:r>
        <w:rPr>
          <w:spacing w:val="-11"/>
          <w:sz w:val="20"/>
        </w:rPr>
        <w:t> </w:t>
      </w:r>
      <w:r>
        <w:rPr>
          <w:sz w:val="20"/>
        </w:rPr>
        <w:t>2).</w:t>
      </w:r>
      <w:r>
        <w:rPr>
          <w:spacing w:val="-8"/>
          <w:sz w:val="20"/>
        </w:rPr>
        <w:t> </w:t>
      </w:r>
      <w:r>
        <w:rPr>
          <w:sz w:val="20"/>
        </w:rPr>
        <w:t>Attention</w:t>
      </w:r>
      <w:r>
        <w:rPr>
          <w:spacing w:val="-11"/>
          <w:sz w:val="20"/>
        </w:rPr>
        <w:t> </w:t>
      </w:r>
      <w:r>
        <w:rPr>
          <w:sz w:val="20"/>
        </w:rPr>
        <w:t>should</w:t>
      </w:r>
      <w:r>
        <w:rPr>
          <w:spacing w:val="-10"/>
          <w:sz w:val="20"/>
        </w:rPr>
        <w:t> </w:t>
      </w:r>
      <w:r>
        <w:rPr>
          <w:sz w:val="20"/>
        </w:rPr>
        <w:t>be</w:t>
      </w:r>
      <w:r>
        <w:rPr>
          <w:spacing w:val="-11"/>
          <w:sz w:val="20"/>
        </w:rPr>
        <w:t> </w:t>
      </w:r>
      <w:r>
        <w:rPr>
          <w:sz w:val="20"/>
        </w:rPr>
        <w:t>paid</w:t>
      </w:r>
      <w:r>
        <w:rPr>
          <w:spacing w:val="-53"/>
          <w:sz w:val="20"/>
        </w:rPr>
        <w:t> </w:t>
      </w:r>
      <w:r>
        <w:rPr>
          <w:sz w:val="20"/>
        </w:rPr>
        <w:t>to designing appropriate benchmarks of performance that allow for the measurement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progress</w:t>
      </w:r>
      <w:r>
        <w:rPr>
          <w:spacing w:val="-7"/>
          <w:sz w:val="20"/>
        </w:rPr>
        <w:t> </w:t>
      </w:r>
      <w:r>
        <w:rPr>
          <w:sz w:val="20"/>
        </w:rPr>
        <w:t>over</w:t>
      </w:r>
      <w:r>
        <w:rPr>
          <w:spacing w:val="-7"/>
          <w:sz w:val="20"/>
        </w:rPr>
        <w:t> </w:t>
      </w:r>
      <w:r>
        <w:rPr>
          <w:sz w:val="20"/>
        </w:rPr>
        <w:t>time,</w:t>
      </w:r>
      <w:r>
        <w:rPr>
          <w:spacing w:val="-8"/>
          <w:sz w:val="20"/>
        </w:rPr>
        <w:t> </w:t>
      </w:r>
      <w:r>
        <w:rPr>
          <w:sz w:val="20"/>
        </w:rPr>
        <w:t>recognising</w:t>
      </w:r>
      <w:r>
        <w:rPr>
          <w:spacing w:val="-8"/>
          <w:sz w:val="20"/>
        </w:rPr>
        <w:t> </w:t>
      </w:r>
      <w:r>
        <w:rPr>
          <w:sz w:val="20"/>
        </w:rPr>
        <w:t>that</w:t>
      </w:r>
      <w:r>
        <w:rPr>
          <w:spacing w:val="-8"/>
          <w:sz w:val="20"/>
        </w:rPr>
        <w:t> </w:t>
      </w:r>
      <w:r>
        <w:rPr>
          <w:sz w:val="20"/>
        </w:rPr>
        <w:t>HEIs</w:t>
      </w:r>
      <w:r>
        <w:rPr>
          <w:spacing w:val="-5"/>
          <w:sz w:val="20"/>
        </w:rPr>
        <w:t> </w:t>
      </w:r>
      <w:r>
        <w:rPr>
          <w:sz w:val="20"/>
        </w:rPr>
        <w:t>will</w:t>
      </w:r>
      <w:r>
        <w:rPr>
          <w:spacing w:val="-8"/>
          <w:sz w:val="20"/>
        </w:rPr>
        <w:t> </w:t>
      </w:r>
      <w:r>
        <w:rPr>
          <w:sz w:val="20"/>
        </w:rPr>
        <w:t>have</w:t>
      </w:r>
      <w:r>
        <w:rPr>
          <w:spacing w:val="-8"/>
          <w:sz w:val="20"/>
        </w:rPr>
        <w:t> </w:t>
      </w:r>
      <w:r>
        <w:rPr>
          <w:sz w:val="20"/>
        </w:rPr>
        <w:t>different</w:t>
      </w:r>
      <w:r>
        <w:rPr>
          <w:spacing w:val="-8"/>
          <w:sz w:val="20"/>
        </w:rPr>
        <w:t> </w:t>
      </w:r>
      <w:r>
        <w:rPr>
          <w:sz w:val="20"/>
        </w:rPr>
        <w:t>contexts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profiles.</w:t>
      </w:r>
      <w:r>
        <w:rPr>
          <w:spacing w:val="-5"/>
          <w:sz w:val="20"/>
        </w:rPr>
        <w:t> </w:t>
      </w:r>
      <w:r>
        <w:rPr>
          <w:sz w:val="20"/>
        </w:rPr>
        <w:t>Importantly,</w:t>
      </w:r>
      <w:r>
        <w:rPr>
          <w:spacing w:val="1"/>
          <w:sz w:val="20"/>
        </w:rPr>
        <w:t> </w:t>
      </w:r>
      <w:r>
        <w:rPr>
          <w:w w:val="95"/>
          <w:sz w:val="20"/>
        </w:rPr>
        <w:t>a focus on measuring performance can have unintended effects, from reducing the accessibility</w:t>
      </w:r>
      <w:r>
        <w:rPr>
          <w:spacing w:val="1"/>
          <w:w w:val="95"/>
          <w:sz w:val="20"/>
        </w:rPr>
        <w:t> </w:t>
      </w:r>
      <w:r>
        <w:rPr>
          <w:sz w:val="20"/>
        </w:rPr>
        <w:t>and equity of higher education to reducing the supply of programmes in fields where quality</w:t>
      </w:r>
      <w:r>
        <w:rPr>
          <w:spacing w:val="1"/>
          <w:sz w:val="20"/>
        </w:rPr>
        <w:t> </w:t>
      </w:r>
      <w:r>
        <w:rPr>
          <w:sz w:val="20"/>
        </w:rPr>
        <w:t>may be low at present but that are important to meet the needs of Slovak society. Indicators</w:t>
      </w:r>
      <w:r>
        <w:rPr>
          <w:spacing w:val="1"/>
          <w:sz w:val="20"/>
        </w:rPr>
        <w:t> </w:t>
      </w:r>
      <w:r>
        <w:rPr>
          <w:sz w:val="20"/>
        </w:rPr>
        <w:t>should thus be designed to monitor any unintended effects, and specifically to monitor the</w:t>
      </w:r>
      <w:r>
        <w:rPr>
          <w:spacing w:val="1"/>
          <w:sz w:val="20"/>
        </w:rPr>
        <w:t> </w:t>
      </w:r>
      <w:r>
        <w:rPr>
          <w:sz w:val="20"/>
        </w:rPr>
        <w:t>accessibility and equity of higher education and the provision of quality programmes across a</w:t>
      </w:r>
      <w:r>
        <w:rPr>
          <w:spacing w:val="1"/>
          <w:sz w:val="20"/>
        </w:rPr>
        <w:t> </w:t>
      </w:r>
      <w:r>
        <w:rPr>
          <w:sz w:val="20"/>
        </w:rPr>
        <w:t>diverse range of</w:t>
      </w:r>
      <w:r>
        <w:rPr>
          <w:spacing w:val="1"/>
          <w:sz w:val="20"/>
        </w:rPr>
        <w:t> </w:t>
      </w:r>
      <w:r>
        <w:rPr>
          <w:sz w:val="20"/>
        </w:rPr>
        <w:t>fields. These indicators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complemented by institution-specific</w:t>
      </w:r>
      <w:r>
        <w:rPr>
          <w:spacing w:val="1"/>
          <w:sz w:val="20"/>
        </w:rPr>
        <w:t> </w:t>
      </w:r>
      <w:r>
        <w:rPr>
          <w:sz w:val="20"/>
        </w:rPr>
        <w:t>indicators</w:t>
      </w:r>
      <w:r>
        <w:rPr>
          <w:spacing w:val="1"/>
          <w:sz w:val="20"/>
        </w:rPr>
        <w:t> </w:t>
      </w:r>
      <w:r>
        <w:rPr>
          <w:sz w:val="20"/>
        </w:rPr>
        <w:t>agreed</w:t>
      </w:r>
      <w:r>
        <w:rPr>
          <w:spacing w:val="1"/>
          <w:sz w:val="20"/>
        </w:rPr>
        <w:t> </w:t>
      </w:r>
      <w:r>
        <w:rPr>
          <w:sz w:val="20"/>
        </w:rPr>
        <w:t>by government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HEIs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part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55"/>
          <w:sz w:val="20"/>
        </w:rPr>
        <w:t> </w:t>
      </w:r>
      <w:r>
        <w:rPr>
          <w:sz w:val="20"/>
        </w:rPr>
        <w:t>institutional</w:t>
      </w:r>
      <w:r>
        <w:rPr>
          <w:spacing w:val="56"/>
          <w:sz w:val="20"/>
        </w:rPr>
        <w:t> </w:t>
      </w:r>
      <w:r>
        <w:rPr>
          <w:sz w:val="20"/>
        </w:rPr>
        <w:t>contracts</w:t>
      </w:r>
      <w:r>
        <w:rPr>
          <w:spacing w:val="55"/>
          <w:sz w:val="20"/>
        </w:rPr>
        <w:t> </w:t>
      </w:r>
      <w:r>
        <w:rPr>
          <w:sz w:val="20"/>
        </w:rPr>
        <w:t>(see Policy</w:t>
      </w:r>
      <w:r>
        <w:rPr>
          <w:spacing w:val="1"/>
          <w:sz w:val="20"/>
        </w:rPr>
        <w:t> </w:t>
      </w:r>
      <w:r>
        <w:rPr>
          <w:sz w:val="20"/>
        </w:rPr>
        <w:t>action</w:t>
      </w:r>
      <w:r>
        <w:rPr>
          <w:spacing w:val="-1"/>
          <w:sz w:val="20"/>
        </w:rPr>
        <w:t> </w:t>
      </w:r>
      <w:r>
        <w:rPr>
          <w:sz w:val="20"/>
        </w:rPr>
        <w:t>5).</w:t>
      </w:r>
      <w:r>
        <w:rPr>
          <w:spacing w:val="-3"/>
          <w:sz w:val="20"/>
        </w:rPr>
        <w:t> </w:t>
      </w:r>
      <w:r>
        <w:rPr>
          <w:sz w:val="20"/>
        </w:rPr>
        <w:t>Denmark</w:t>
      </w:r>
      <w:r>
        <w:rPr>
          <w:spacing w:val="1"/>
          <w:sz w:val="20"/>
        </w:rPr>
        <w:t> </w:t>
      </w:r>
      <w:r>
        <w:rPr>
          <w:sz w:val="20"/>
        </w:rPr>
        <w:t>provides</w:t>
      </w:r>
      <w:r>
        <w:rPr>
          <w:spacing w:val="-2"/>
          <w:sz w:val="20"/>
        </w:rPr>
        <w:t> </w:t>
      </w:r>
      <w:r>
        <w:rPr>
          <w:sz w:val="20"/>
        </w:rPr>
        <w:t>examples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approach,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shown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next</w:t>
      </w:r>
      <w:r>
        <w:rPr>
          <w:spacing w:val="-3"/>
          <w:sz w:val="20"/>
        </w:rPr>
        <w:t> </w:t>
      </w:r>
      <w:r>
        <w:rPr>
          <w:sz w:val="20"/>
        </w:rPr>
        <w:t>section.</w:t>
      </w:r>
    </w:p>
    <w:p>
      <w:pPr>
        <w:pStyle w:val="ListParagraph"/>
        <w:numPr>
          <w:ilvl w:val="0"/>
          <w:numId w:val="19"/>
        </w:numPr>
        <w:tabs>
          <w:tab w:pos="1204" w:val="left" w:leader="none"/>
        </w:tabs>
        <w:spacing w:line="240" w:lineRule="auto" w:before="78" w:after="0"/>
        <w:ind w:left="1203" w:right="0" w:hanging="342"/>
        <w:jc w:val="both"/>
        <w:rPr>
          <w:sz w:val="20"/>
        </w:rPr>
      </w:pPr>
      <w:r>
        <w:rPr>
          <w:sz w:val="20"/>
        </w:rPr>
        <w:t>Consult</w:t>
      </w:r>
      <w:r>
        <w:rPr>
          <w:spacing w:val="-5"/>
          <w:sz w:val="20"/>
        </w:rPr>
        <w:t> </w:t>
      </w:r>
      <w:r>
        <w:rPr>
          <w:sz w:val="20"/>
        </w:rPr>
        <w:t>Slovak</w:t>
      </w:r>
      <w:r>
        <w:rPr>
          <w:spacing w:val="-4"/>
          <w:sz w:val="20"/>
        </w:rPr>
        <w:t> </w:t>
      </w:r>
      <w:r>
        <w:rPr>
          <w:sz w:val="20"/>
        </w:rPr>
        <w:t>HEIs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users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higher</w:t>
      </w:r>
      <w:r>
        <w:rPr>
          <w:spacing w:val="-5"/>
          <w:sz w:val="20"/>
        </w:rPr>
        <w:t> </w:t>
      </w:r>
      <w:r>
        <w:rPr>
          <w:sz w:val="20"/>
        </w:rPr>
        <w:t>education –</w:t>
      </w:r>
      <w:r>
        <w:rPr>
          <w:spacing w:val="-5"/>
          <w:sz w:val="20"/>
        </w:rPr>
        <w:t> </w:t>
      </w:r>
      <w:r>
        <w:rPr>
          <w:sz w:val="20"/>
        </w:rPr>
        <w:t>especially</w:t>
      </w:r>
      <w:r>
        <w:rPr>
          <w:spacing w:val="-11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employers –</w:t>
      </w:r>
    </w:p>
    <w:p>
      <w:pPr>
        <w:pStyle w:val="BodyText"/>
        <w:spacing w:before="11"/>
        <w:ind w:left="1203"/>
        <w:jc w:val="both"/>
      </w:pP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draft</w:t>
      </w:r>
      <w:r>
        <w:rPr>
          <w:spacing w:val="-4"/>
        </w:rPr>
        <w:t> </w:t>
      </w:r>
      <w:r>
        <w:rPr/>
        <w:t>set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quality</w:t>
      </w:r>
      <w:r>
        <w:rPr>
          <w:spacing w:val="-7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indicators.</w:t>
      </w:r>
    </w:p>
    <w:p>
      <w:pPr>
        <w:pStyle w:val="ListParagraph"/>
        <w:numPr>
          <w:ilvl w:val="0"/>
          <w:numId w:val="19"/>
        </w:numPr>
        <w:tabs>
          <w:tab w:pos="1204" w:val="left" w:leader="none"/>
        </w:tabs>
        <w:spacing w:line="254" w:lineRule="auto" w:before="90" w:after="0"/>
        <w:ind w:left="1203" w:right="305" w:hanging="341"/>
        <w:jc w:val="both"/>
        <w:rPr>
          <w:sz w:val="20"/>
        </w:rPr>
      </w:pPr>
      <w:r>
        <w:rPr>
          <w:sz w:val="20"/>
        </w:rPr>
        <w:t>Assess</w:t>
      </w:r>
      <w:r>
        <w:rPr>
          <w:spacing w:val="-11"/>
          <w:sz w:val="20"/>
        </w:rPr>
        <w:t> </w:t>
      </w:r>
      <w:r>
        <w:rPr>
          <w:sz w:val="20"/>
        </w:rPr>
        <w:t>measurement</w:t>
      </w:r>
      <w:r>
        <w:rPr>
          <w:spacing w:val="-10"/>
          <w:sz w:val="20"/>
        </w:rPr>
        <w:t> </w:t>
      </w:r>
      <w:r>
        <w:rPr>
          <w:sz w:val="20"/>
        </w:rPr>
        <w:t>limitations,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propose</w:t>
      </w:r>
      <w:r>
        <w:rPr>
          <w:spacing w:val="-6"/>
          <w:sz w:val="20"/>
        </w:rPr>
        <w:t> </w:t>
      </w:r>
      <w:r>
        <w:rPr>
          <w:sz w:val="20"/>
        </w:rPr>
        <w:t>approaches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remedy</w:t>
      </w:r>
      <w:r>
        <w:rPr>
          <w:spacing w:val="-12"/>
          <w:sz w:val="20"/>
        </w:rPr>
        <w:t> </w:t>
      </w:r>
      <w:r>
        <w:rPr>
          <w:sz w:val="20"/>
        </w:rPr>
        <w:t>those</w:t>
      </w:r>
      <w:r>
        <w:rPr>
          <w:spacing w:val="-10"/>
          <w:sz w:val="20"/>
        </w:rPr>
        <w:t> </w:t>
      </w:r>
      <w:r>
        <w:rPr>
          <w:sz w:val="20"/>
        </w:rPr>
        <w:t>caveats,</w:t>
      </w:r>
      <w:r>
        <w:rPr>
          <w:spacing w:val="-10"/>
          <w:sz w:val="20"/>
        </w:rPr>
        <w:t> </w:t>
      </w:r>
      <w:r>
        <w:rPr>
          <w:sz w:val="20"/>
        </w:rPr>
        <w:t>including</w:t>
      </w:r>
      <w:r>
        <w:rPr>
          <w:spacing w:val="-53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combining</w:t>
      </w:r>
      <w:r>
        <w:rPr>
          <w:spacing w:val="-3"/>
          <w:sz w:val="20"/>
        </w:rPr>
        <w:t> </w:t>
      </w:r>
      <w:r>
        <w:rPr>
          <w:sz w:val="20"/>
        </w:rPr>
        <w:t>multiple</w:t>
      </w:r>
      <w:r>
        <w:rPr>
          <w:spacing w:val="-1"/>
          <w:sz w:val="20"/>
        </w:rPr>
        <w:t> </w:t>
      </w:r>
      <w:r>
        <w:rPr>
          <w:sz w:val="20"/>
        </w:rPr>
        <w:t>measures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data</w:t>
      </w:r>
      <w:r>
        <w:rPr>
          <w:spacing w:val="-1"/>
          <w:sz w:val="20"/>
        </w:rPr>
        <w:t> </w:t>
      </w:r>
      <w:r>
        <w:rPr>
          <w:sz w:val="20"/>
        </w:rPr>
        <w:t>sources,</w:t>
      </w:r>
      <w:r>
        <w:rPr>
          <w:spacing w:val="-2"/>
          <w:sz w:val="20"/>
        </w:rPr>
        <w:t> </w:t>
      </w:r>
      <w:r>
        <w:rPr>
          <w:sz w:val="20"/>
        </w:rPr>
        <w:t>both</w:t>
      </w:r>
      <w:r>
        <w:rPr>
          <w:spacing w:val="-3"/>
          <w:sz w:val="20"/>
        </w:rPr>
        <w:t> </w:t>
      </w:r>
      <w:r>
        <w:rPr>
          <w:sz w:val="20"/>
        </w:rPr>
        <w:t>quantitative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qualitative.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40" w:lineRule="auto" w:before="62" w:after="0"/>
        <w:ind w:left="862" w:right="0" w:hanging="339"/>
        <w:jc w:val="both"/>
        <w:rPr>
          <w:sz w:val="20"/>
        </w:rPr>
      </w:pPr>
      <w:r>
        <w:rPr>
          <w:sz w:val="20"/>
        </w:rPr>
        <w:t>Design</w:t>
      </w:r>
      <w:r>
        <w:rPr>
          <w:spacing w:val="-4"/>
          <w:sz w:val="20"/>
        </w:rPr>
        <w:t> </w:t>
      </w:r>
      <w:r>
        <w:rPr>
          <w:sz w:val="20"/>
        </w:rPr>
        <w:t>new</w:t>
      </w:r>
      <w:r>
        <w:rPr>
          <w:spacing w:val="-5"/>
          <w:sz w:val="20"/>
        </w:rPr>
        <w:t> </w:t>
      </w:r>
      <w:r>
        <w:rPr>
          <w:sz w:val="20"/>
        </w:rPr>
        <w:t>data</w:t>
      </w:r>
      <w:r>
        <w:rPr>
          <w:spacing w:val="-5"/>
          <w:sz w:val="20"/>
        </w:rPr>
        <w:t> </w:t>
      </w:r>
      <w:r>
        <w:rPr>
          <w:sz w:val="20"/>
        </w:rPr>
        <w:t>tools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collect</w:t>
      </w:r>
      <w:r>
        <w:rPr>
          <w:spacing w:val="-5"/>
          <w:sz w:val="20"/>
        </w:rPr>
        <w:t> </w:t>
      </w:r>
      <w:r>
        <w:rPr>
          <w:sz w:val="20"/>
        </w:rPr>
        <w:t>information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Slovak</w:t>
      </w:r>
      <w:r>
        <w:rPr>
          <w:spacing w:val="-2"/>
          <w:sz w:val="20"/>
        </w:rPr>
        <w:t> </w:t>
      </w:r>
      <w:r>
        <w:rPr>
          <w:sz w:val="20"/>
        </w:rPr>
        <w:t>higher</w:t>
      </w:r>
      <w:r>
        <w:rPr>
          <w:spacing w:val="-4"/>
          <w:sz w:val="20"/>
        </w:rPr>
        <w:t> </w:t>
      </w:r>
      <w:r>
        <w:rPr>
          <w:sz w:val="20"/>
        </w:rPr>
        <w:t>education</w:t>
      </w:r>
      <w:r>
        <w:rPr>
          <w:spacing w:val="-4"/>
          <w:sz w:val="20"/>
        </w:rPr>
        <w:t> </w:t>
      </w:r>
      <w:r>
        <w:rPr>
          <w:sz w:val="20"/>
        </w:rPr>
        <w:t>to:</w:t>
      </w:r>
    </w:p>
    <w:p>
      <w:pPr>
        <w:spacing w:after="0" w:line="240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0"/>
          <w:numId w:val="20"/>
        </w:numPr>
        <w:tabs>
          <w:tab w:pos="1204" w:val="left" w:leader="none"/>
        </w:tabs>
        <w:spacing w:line="268" w:lineRule="auto" w:before="185" w:after="0"/>
        <w:ind w:left="1203" w:right="306" w:hanging="341"/>
        <w:jc w:val="both"/>
        <w:rPr>
          <w:sz w:val="20"/>
        </w:rPr>
      </w:pPr>
      <w:r>
        <w:rPr>
          <w:sz w:val="20"/>
        </w:rPr>
        <w:t>Monitor the labour market outcomes of graduates. This should enable the detailed analysis of</w:t>
      </w:r>
      <w:r>
        <w:rPr>
          <w:spacing w:val="-53"/>
          <w:sz w:val="20"/>
        </w:rPr>
        <w:t> </w:t>
      </w:r>
      <w:r>
        <w:rPr>
          <w:sz w:val="20"/>
        </w:rPr>
        <w:t>employment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earnings</w:t>
      </w:r>
      <w:r>
        <w:rPr>
          <w:spacing w:val="1"/>
          <w:sz w:val="20"/>
        </w:rPr>
        <w:t> </w:t>
      </w:r>
      <w:r>
        <w:rPr>
          <w:sz w:val="20"/>
        </w:rPr>
        <w:t>according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various</w:t>
      </w:r>
      <w:r>
        <w:rPr>
          <w:spacing w:val="1"/>
          <w:sz w:val="20"/>
        </w:rPr>
        <w:t> </w:t>
      </w:r>
      <w:r>
        <w:rPr>
          <w:sz w:val="20"/>
        </w:rPr>
        <w:t>characteristics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students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1"/>
          <w:sz w:val="20"/>
        </w:rPr>
        <w:t> </w:t>
      </w:r>
      <w:r>
        <w:rPr>
          <w:sz w:val="20"/>
        </w:rPr>
        <w:t>education programmes. Such an approach would help identify the levels and fields of study</w:t>
      </w:r>
      <w:r>
        <w:rPr>
          <w:spacing w:val="1"/>
          <w:sz w:val="20"/>
        </w:rPr>
        <w:t> </w:t>
      </w:r>
      <w:r>
        <w:rPr>
          <w:sz w:val="20"/>
        </w:rPr>
        <w:t>leading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best</w:t>
      </w:r>
      <w:r>
        <w:rPr>
          <w:spacing w:val="1"/>
          <w:sz w:val="20"/>
        </w:rPr>
        <w:t> </w:t>
      </w:r>
      <w:r>
        <w:rPr>
          <w:sz w:val="20"/>
        </w:rPr>
        <w:t>labour</w:t>
      </w:r>
      <w:r>
        <w:rPr>
          <w:spacing w:val="1"/>
          <w:sz w:val="20"/>
        </w:rPr>
        <w:t> </w:t>
      </w:r>
      <w:r>
        <w:rPr>
          <w:sz w:val="20"/>
        </w:rPr>
        <w:t>market</w:t>
      </w:r>
      <w:r>
        <w:rPr>
          <w:spacing w:val="1"/>
          <w:sz w:val="20"/>
        </w:rPr>
        <w:t> </w:t>
      </w:r>
      <w:r>
        <w:rPr>
          <w:sz w:val="20"/>
        </w:rPr>
        <w:t>outcomes, supporting</w:t>
      </w:r>
      <w:r>
        <w:rPr>
          <w:spacing w:val="1"/>
          <w:sz w:val="20"/>
        </w:rPr>
        <w:t> </w:t>
      </w:r>
      <w:r>
        <w:rPr>
          <w:sz w:val="20"/>
        </w:rPr>
        <w:t>both</w:t>
      </w:r>
      <w:r>
        <w:rPr>
          <w:spacing w:val="1"/>
          <w:sz w:val="20"/>
        </w:rPr>
        <w:t> </w:t>
      </w:r>
      <w:r>
        <w:rPr>
          <w:sz w:val="20"/>
        </w:rPr>
        <w:t>student</w:t>
      </w:r>
      <w:r>
        <w:rPr>
          <w:spacing w:val="1"/>
          <w:sz w:val="20"/>
        </w:rPr>
        <w:t> </w:t>
      </w:r>
      <w:r>
        <w:rPr>
          <w:sz w:val="20"/>
        </w:rPr>
        <w:t>choice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HEIs’</w:t>
      </w:r>
      <w:r>
        <w:rPr>
          <w:spacing w:val="1"/>
          <w:sz w:val="20"/>
        </w:rPr>
        <w:t> </w:t>
      </w:r>
      <w:r>
        <w:rPr>
          <w:sz w:val="20"/>
        </w:rPr>
        <w:t>programme design. It would also provide evidence on the groups of students who face poorer</w:t>
      </w:r>
      <w:r>
        <w:rPr>
          <w:spacing w:val="-53"/>
          <w:sz w:val="20"/>
        </w:rPr>
        <w:t> </w:t>
      </w:r>
      <w:r>
        <w:rPr>
          <w:sz w:val="20"/>
        </w:rPr>
        <w:t>outcomes, and help inform public policy and institutional measures to support inclusion and</w:t>
      </w:r>
      <w:r>
        <w:rPr>
          <w:spacing w:val="1"/>
          <w:sz w:val="20"/>
        </w:rPr>
        <w:t> </w:t>
      </w:r>
      <w:r>
        <w:rPr>
          <w:sz w:val="20"/>
        </w:rPr>
        <w:t>equity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2"/>
          <w:sz w:val="20"/>
        </w:rPr>
        <w:t> </w:t>
      </w:r>
      <w:r>
        <w:rPr>
          <w:sz w:val="20"/>
        </w:rPr>
        <w:t>education.</w:t>
      </w:r>
    </w:p>
    <w:p>
      <w:pPr>
        <w:pStyle w:val="ListParagraph"/>
        <w:numPr>
          <w:ilvl w:val="0"/>
          <w:numId w:val="20"/>
        </w:numPr>
        <w:tabs>
          <w:tab w:pos="1204" w:val="left" w:leader="none"/>
        </w:tabs>
        <w:spacing w:line="268" w:lineRule="auto" w:before="59" w:after="0"/>
        <w:ind w:left="1203" w:right="301" w:hanging="341"/>
        <w:jc w:val="both"/>
        <w:rPr>
          <w:sz w:val="20"/>
        </w:rPr>
      </w:pPr>
      <w:r>
        <w:rPr>
          <w:sz w:val="20"/>
        </w:rPr>
        <w:t>Understand upper secondary students’ expectations and motivations in choosing what and</w:t>
      </w:r>
      <w:r>
        <w:rPr>
          <w:spacing w:val="1"/>
          <w:sz w:val="20"/>
        </w:rPr>
        <w:t> </w:t>
      </w:r>
      <w:r>
        <w:rPr>
          <w:sz w:val="20"/>
        </w:rPr>
        <w:t>where to study, higher education students’ views on the quality of their learning experience,</w:t>
      </w:r>
      <w:r>
        <w:rPr>
          <w:spacing w:val="1"/>
          <w:sz w:val="20"/>
        </w:rPr>
        <w:t> </w:t>
      </w:r>
      <w:r>
        <w:rPr>
          <w:sz w:val="20"/>
        </w:rPr>
        <w:t>and employers’ views on the quality of graduate skills. This could include building on the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SAAHE’s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work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survey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students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undertaken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2021</w:t>
      </w:r>
      <w:r>
        <w:rPr>
          <w:spacing w:val="-7"/>
          <w:sz w:val="20"/>
        </w:rPr>
        <w:t> </w:t>
      </w:r>
      <w:r>
        <w:rPr>
          <w:sz w:val="20"/>
        </w:rPr>
        <w:t>(see</w:t>
      </w:r>
      <w:r>
        <w:rPr>
          <w:spacing w:val="-11"/>
          <w:sz w:val="20"/>
        </w:rPr>
        <w:t> </w:t>
      </w:r>
      <w:hyperlink w:history="true" w:anchor="_bookmark37">
        <w:r>
          <w:rPr>
            <w:sz w:val="20"/>
          </w:rPr>
          <w:t>Box 3.2</w:t>
        </w:r>
        <w:r>
          <w:rPr>
            <w:spacing w:val="-11"/>
            <w:sz w:val="20"/>
          </w:rPr>
          <w:t> </w:t>
        </w:r>
      </w:hyperlink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further</w:t>
      </w:r>
      <w:r>
        <w:rPr>
          <w:spacing w:val="-10"/>
          <w:sz w:val="20"/>
        </w:rPr>
        <w:t> </w:t>
      </w:r>
      <w:r>
        <w:rPr>
          <w:sz w:val="20"/>
        </w:rPr>
        <w:t>details)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design</w:t>
      </w:r>
      <w:r>
        <w:rPr>
          <w:spacing w:val="-53"/>
          <w:sz w:val="20"/>
        </w:rPr>
        <w:t> </w:t>
      </w:r>
      <w:r>
        <w:rPr>
          <w:sz w:val="20"/>
        </w:rPr>
        <w:t>student, graduate and employer surveys that could be implemented on a cyclical basis. This</w:t>
      </w:r>
      <w:r>
        <w:rPr>
          <w:spacing w:val="1"/>
          <w:sz w:val="20"/>
        </w:rPr>
        <w:t> </w:t>
      </w:r>
      <w:r>
        <w:rPr>
          <w:sz w:val="20"/>
        </w:rPr>
        <w:t>would</w:t>
      </w:r>
      <w:r>
        <w:rPr>
          <w:spacing w:val="-7"/>
          <w:sz w:val="20"/>
        </w:rPr>
        <w:t> </w:t>
      </w:r>
      <w:r>
        <w:rPr>
          <w:sz w:val="20"/>
        </w:rPr>
        <w:t>help</w:t>
      </w:r>
      <w:r>
        <w:rPr>
          <w:spacing w:val="-7"/>
          <w:sz w:val="20"/>
        </w:rPr>
        <w:t> </w:t>
      </w:r>
      <w:r>
        <w:rPr>
          <w:sz w:val="20"/>
        </w:rPr>
        <w:t>ensure</w:t>
      </w:r>
      <w:r>
        <w:rPr>
          <w:spacing w:val="-6"/>
          <w:sz w:val="20"/>
        </w:rPr>
        <w:t> </w:t>
      </w:r>
      <w:r>
        <w:rPr>
          <w:sz w:val="20"/>
        </w:rPr>
        <w:t>that</w:t>
      </w:r>
      <w:r>
        <w:rPr>
          <w:spacing w:val="-7"/>
          <w:sz w:val="20"/>
        </w:rPr>
        <w:t> </w:t>
      </w:r>
      <w:r>
        <w:rPr>
          <w:sz w:val="20"/>
        </w:rPr>
        <w:t>both</w:t>
      </w:r>
      <w:r>
        <w:rPr>
          <w:spacing w:val="-5"/>
          <w:sz w:val="20"/>
        </w:rPr>
        <w:t> </w:t>
      </w:r>
      <w:r>
        <w:rPr>
          <w:sz w:val="20"/>
        </w:rPr>
        <w:t>HEIs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policy</w:t>
      </w:r>
      <w:r>
        <w:rPr>
          <w:spacing w:val="-9"/>
          <w:sz w:val="20"/>
        </w:rPr>
        <w:t> </w:t>
      </w:r>
      <w:r>
        <w:rPr>
          <w:sz w:val="20"/>
        </w:rPr>
        <w:t>makers</w:t>
      </w:r>
      <w:r>
        <w:rPr>
          <w:spacing w:val="-7"/>
          <w:sz w:val="20"/>
        </w:rPr>
        <w:t> </w:t>
      </w:r>
      <w:r>
        <w:rPr>
          <w:sz w:val="20"/>
        </w:rPr>
        <w:t>obtain</w:t>
      </w:r>
      <w:r>
        <w:rPr>
          <w:spacing w:val="-7"/>
          <w:sz w:val="20"/>
        </w:rPr>
        <w:t> </w:t>
      </w:r>
      <w:r>
        <w:rPr>
          <w:sz w:val="20"/>
        </w:rPr>
        <w:t>regularly</w:t>
      </w:r>
      <w:r>
        <w:rPr>
          <w:spacing w:val="-10"/>
          <w:sz w:val="20"/>
        </w:rPr>
        <w:t> </w:t>
      </w:r>
      <w:r>
        <w:rPr>
          <w:sz w:val="20"/>
        </w:rPr>
        <w:t>updated</w:t>
      </w:r>
      <w:r>
        <w:rPr>
          <w:spacing w:val="-7"/>
          <w:sz w:val="20"/>
        </w:rPr>
        <w:t> </w:t>
      </w:r>
      <w:r>
        <w:rPr>
          <w:sz w:val="20"/>
        </w:rPr>
        <w:t>information</w:t>
      </w:r>
      <w:r>
        <w:rPr>
          <w:spacing w:val="-7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students, graduates and employers, and update public policies and institutional strategies to</w:t>
      </w:r>
      <w:r>
        <w:rPr>
          <w:spacing w:val="1"/>
          <w:sz w:val="20"/>
        </w:rPr>
        <w:t> </w:t>
      </w:r>
      <w:r>
        <w:rPr>
          <w:sz w:val="20"/>
        </w:rPr>
        <w:t>ensure the Slovak higher education system remains responsive to student, graduate and</w:t>
      </w:r>
      <w:r>
        <w:rPr>
          <w:spacing w:val="1"/>
          <w:sz w:val="20"/>
        </w:rPr>
        <w:t> </w:t>
      </w:r>
      <w:r>
        <w:rPr>
          <w:sz w:val="20"/>
        </w:rPr>
        <w:t>employer</w:t>
      </w:r>
      <w:r>
        <w:rPr>
          <w:spacing w:val="-2"/>
          <w:sz w:val="20"/>
        </w:rPr>
        <w:t> </w:t>
      </w:r>
      <w:r>
        <w:rPr>
          <w:sz w:val="20"/>
        </w:rPr>
        <w:t>needs.</w:t>
      </w:r>
    </w:p>
    <w:p>
      <w:pPr>
        <w:pStyle w:val="ListParagraph"/>
        <w:numPr>
          <w:ilvl w:val="0"/>
          <w:numId w:val="20"/>
        </w:numPr>
        <w:tabs>
          <w:tab w:pos="1204" w:val="left" w:leader="none"/>
        </w:tabs>
        <w:spacing w:line="266" w:lineRule="auto" w:before="65" w:after="0"/>
        <w:ind w:left="1203" w:right="305" w:hanging="341"/>
        <w:jc w:val="both"/>
        <w:rPr>
          <w:sz w:val="20"/>
        </w:rPr>
      </w:pPr>
      <w:r>
        <w:rPr>
          <w:sz w:val="20"/>
        </w:rPr>
        <w:t>Assess</w:t>
      </w:r>
      <w:r>
        <w:rPr>
          <w:spacing w:val="1"/>
          <w:sz w:val="20"/>
        </w:rPr>
        <w:t> </w:t>
      </w:r>
      <w:r>
        <w:rPr>
          <w:sz w:val="20"/>
        </w:rPr>
        <w:t>working</w:t>
      </w:r>
      <w:r>
        <w:rPr>
          <w:spacing w:val="1"/>
          <w:sz w:val="20"/>
        </w:rPr>
        <w:t> </w:t>
      </w:r>
      <w:r>
        <w:rPr>
          <w:sz w:val="20"/>
        </w:rPr>
        <w:t>conditions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staff</w:t>
      </w:r>
      <w:r>
        <w:rPr>
          <w:spacing w:val="1"/>
          <w:sz w:val="20"/>
        </w:rPr>
        <w:t> </w:t>
      </w:r>
      <w:r>
        <w:rPr>
          <w:sz w:val="20"/>
        </w:rPr>
        <w:t>– academic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professional,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engagement in professional development, as well as their attitudes to and readiness for</w:t>
      </w:r>
      <w:r>
        <w:rPr>
          <w:spacing w:val="1"/>
          <w:sz w:val="20"/>
        </w:rPr>
        <w:t> </w:t>
      </w:r>
      <w:r>
        <w:rPr>
          <w:sz w:val="20"/>
        </w:rPr>
        <w:t>innovation</w:t>
      </w:r>
      <w:r>
        <w:rPr>
          <w:spacing w:val="-14"/>
          <w:sz w:val="20"/>
        </w:rPr>
        <w:t> </w:t>
      </w:r>
      <w:r>
        <w:rPr>
          <w:sz w:val="20"/>
        </w:rPr>
        <w:t>(including</w:t>
      </w:r>
      <w:r>
        <w:rPr>
          <w:spacing w:val="-11"/>
          <w:sz w:val="20"/>
        </w:rPr>
        <w:t> </w:t>
      </w:r>
      <w:r>
        <w:rPr>
          <w:sz w:val="20"/>
        </w:rPr>
        <w:t>digitalisation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14"/>
          <w:sz w:val="20"/>
        </w:rPr>
        <w:t> </w:t>
      </w:r>
      <w:r>
        <w:rPr>
          <w:sz w:val="20"/>
        </w:rPr>
        <w:t>higher</w:t>
      </w:r>
      <w:r>
        <w:rPr>
          <w:spacing w:val="-13"/>
          <w:sz w:val="20"/>
        </w:rPr>
        <w:t> </w:t>
      </w:r>
      <w:r>
        <w:rPr>
          <w:sz w:val="20"/>
        </w:rPr>
        <w:t>education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11"/>
          <w:sz w:val="20"/>
        </w:rPr>
        <w:t> </w:t>
      </w:r>
      <w:r>
        <w:rPr>
          <w:sz w:val="20"/>
        </w:rPr>
        <w:t>both</w:t>
      </w:r>
      <w:r>
        <w:rPr>
          <w:spacing w:val="-14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core</w:t>
      </w:r>
      <w:r>
        <w:rPr>
          <w:spacing w:val="-13"/>
          <w:sz w:val="20"/>
        </w:rPr>
        <w:t> </w:t>
      </w:r>
      <w:r>
        <w:rPr>
          <w:sz w:val="20"/>
        </w:rPr>
        <w:t>activities</w:t>
      </w:r>
      <w:r>
        <w:rPr>
          <w:spacing w:val="-12"/>
          <w:sz w:val="20"/>
        </w:rPr>
        <w:t> </w:t>
      </w:r>
      <w:r>
        <w:rPr>
          <w:sz w:val="20"/>
        </w:rPr>
        <w:t>such</w:t>
      </w:r>
      <w:r>
        <w:rPr>
          <w:spacing w:val="-14"/>
          <w:sz w:val="20"/>
        </w:rPr>
        <w:t> </w:t>
      </w:r>
      <w:r>
        <w:rPr>
          <w:sz w:val="20"/>
        </w:rPr>
        <w:t>as</w:t>
      </w:r>
      <w:r>
        <w:rPr>
          <w:spacing w:val="-12"/>
          <w:sz w:val="20"/>
        </w:rPr>
        <w:t> </w:t>
      </w:r>
      <w:r>
        <w:rPr>
          <w:sz w:val="20"/>
        </w:rPr>
        <w:t>teaching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research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well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7"/>
          <w:sz w:val="20"/>
        </w:rPr>
        <w:t> </w:t>
      </w:r>
      <w:r>
        <w:rPr>
          <w:sz w:val="20"/>
        </w:rPr>
        <w:t>administrative</w:t>
      </w:r>
      <w:r>
        <w:rPr>
          <w:spacing w:val="-8"/>
          <w:sz w:val="20"/>
        </w:rPr>
        <w:t> </w:t>
      </w:r>
      <w:r>
        <w:rPr>
          <w:sz w:val="20"/>
        </w:rPr>
        <w:t>functions).</w:t>
      </w:r>
      <w:r>
        <w:rPr>
          <w:spacing w:val="-7"/>
          <w:sz w:val="20"/>
        </w:rPr>
        <w:t> </w:t>
      </w:r>
      <w:r>
        <w:rPr>
          <w:sz w:val="20"/>
        </w:rPr>
        <w:t>This</w:t>
      </w:r>
      <w:r>
        <w:rPr>
          <w:spacing w:val="-6"/>
          <w:sz w:val="20"/>
        </w:rPr>
        <w:t> </w:t>
      </w:r>
      <w:r>
        <w:rPr>
          <w:sz w:val="20"/>
        </w:rPr>
        <w:t>could</w:t>
      </w:r>
      <w:r>
        <w:rPr>
          <w:spacing w:val="-5"/>
          <w:sz w:val="20"/>
        </w:rPr>
        <w:t> </w:t>
      </w:r>
      <w:r>
        <w:rPr>
          <w:sz w:val="20"/>
        </w:rPr>
        <w:t>include</w:t>
      </w:r>
      <w:r>
        <w:rPr>
          <w:spacing w:val="-8"/>
          <w:sz w:val="20"/>
        </w:rPr>
        <w:t> </w:t>
      </w:r>
      <w:r>
        <w:rPr>
          <w:sz w:val="20"/>
        </w:rPr>
        <w:t>collection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data</w:t>
      </w:r>
      <w:r>
        <w:rPr>
          <w:spacing w:val="-8"/>
          <w:sz w:val="20"/>
        </w:rPr>
        <w:t> </w:t>
      </w:r>
      <w:r>
        <w:rPr>
          <w:sz w:val="20"/>
        </w:rPr>
        <w:t>through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education</w:t>
      </w:r>
      <w:r>
        <w:rPr>
          <w:spacing w:val="-2"/>
          <w:sz w:val="20"/>
        </w:rPr>
        <w:t> </w:t>
      </w:r>
      <w:r>
        <w:rPr>
          <w:sz w:val="20"/>
        </w:rPr>
        <w:t>staff surveys and</w:t>
      </w:r>
      <w:r>
        <w:rPr>
          <w:spacing w:val="-1"/>
          <w:sz w:val="20"/>
        </w:rPr>
        <w:t> </w:t>
      </w:r>
      <w:r>
        <w:rPr>
          <w:sz w:val="20"/>
        </w:rPr>
        <w:t>interviews.</w:t>
      </w:r>
    </w:p>
    <w:p>
      <w:pPr>
        <w:pStyle w:val="ListParagraph"/>
        <w:numPr>
          <w:ilvl w:val="0"/>
          <w:numId w:val="20"/>
        </w:numPr>
        <w:tabs>
          <w:tab w:pos="1204" w:val="left" w:leader="none"/>
        </w:tabs>
        <w:spacing w:line="268" w:lineRule="auto" w:before="66" w:after="0"/>
        <w:ind w:left="1203" w:right="310" w:hanging="341"/>
        <w:jc w:val="both"/>
        <w:rPr>
          <w:sz w:val="20"/>
        </w:rPr>
      </w:pP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line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7"/>
          <w:sz w:val="20"/>
        </w:rPr>
        <w:t> </w:t>
      </w:r>
      <w:r>
        <w:rPr>
          <w:sz w:val="20"/>
        </w:rPr>
        <w:t>standards</w:t>
      </w:r>
      <w:r>
        <w:rPr>
          <w:spacing w:val="-5"/>
          <w:sz w:val="20"/>
        </w:rPr>
        <w:t> </w:t>
      </w:r>
      <w:r>
        <w:rPr>
          <w:sz w:val="20"/>
        </w:rPr>
        <w:t>set</w:t>
      </w:r>
      <w:r>
        <w:rPr>
          <w:spacing w:val="-6"/>
          <w:sz w:val="20"/>
        </w:rPr>
        <w:t> </w:t>
      </w:r>
      <w:r>
        <w:rPr>
          <w:sz w:val="20"/>
        </w:rPr>
        <w:t>out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SAAHE,</w:t>
      </w:r>
      <w:r>
        <w:rPr>
          <w:spacing w:val="-6"/>
          <w:sz w:val="20"/>
        </w:rPr>
        <w:t> </w:t>
      </w:r>
      <w:r>
        <w:rPr>
          <w:sz w:val="20"/>
        </w:rPr>
        <w:t>assess</w:t>
      </w:r>
      <w:r>
        <w:rPr>
          <w:spacing w:val="-5"/>
          <w:sz w:val="20"/>
        </w:rPr>
        <w:t> </w:t>
      </w:r>
      <w:r>
        <w:rPr>
          <w:sz w:val="20"/>
        </w:rPr>
        <w:t>HEIs’</w:t>
      </w:r>
      <w:r>
        <w:rPr>
          <w:spacing w:val="-7"/>
          <w:sz w:val="20"/>
        </w:rPr>
        <w:t> </w:t>
      </w:r>
      <w:r>
        <w:rPr>
          <w:sz w:val="20"/>
        </w:rPr>
        <w:t>data</w:t>
      </w:r>
      <w:r>
        <w:rPr>
          <w:spacing w:val="-6"/>
          <w:sz w:val="20"/>
        </w:rPr>
        <w:t> </w:t>
      </w:r>
      <w:r>
        <w:rPr>
          <w:sz w:val="20"/>
        </w:rPr>
        <w:t>collection</w:t>
      </w:r>
      <w:r>
        <w:rPr>
          <w:spacing w:val="-7"/>
          <w:sz w:val="20"/>
        </w:rPr>
        <w:t> </w:t>
      </w:r>
      <w:r>
        <w:rPr>
          <w:sz w:val="20"/>
        </w:rPr>
        <w:t>capacities,</w:t>
      </w:r>
      <w:r>
        <w:rPr>
          <w:spacing w:val="-6"/>
          <w:sz w:val="20"/>
        </w:rPr>
        <w:t> </w:t>
      </w:r>
      <w:r>
        <w:rPr>
          <w:sz w:val="20"/>
        </w:rPr>
        <w:t>including</w:t>
      </w:r>
      <w:r>
        <w:rPr>
          <w:spacing w:val="-53"/>
          <w:sz w:val="20"/>
        </w:rPr>
        <w:t> </w:t>
      </w:r>
      <w:r>
        <w:rPr>
          <w:sz w:val="20"/>
        </w:rPr>
        <w:t>whether a dedicated structure to conduct data collection and analysis exists at HEIs and how</w:t>
      </w:r>
      <w:r>
        <w:rPr>
          <w:spacing w:val="1"/>
          <w:sz w:val="20"/>
        </w:rPr>
        <w:t> </w:t>
      </w:r>
      <w:r>
        <w:rPr>
          <w:sz w:val="20"/>
        </w:rPr>
        <w:t>well it supports institutional data collection. Particular attention should be paid to how digital</w:t>
      </w:r>
      <w:r>
        <w:rPr>
          <w:spacing w:val="1"/>
          <w:sz w:val="20"/>
        </w:rPr>
        <w:t> </w:t>
      </w:r>
      <w:r>
        <w:rPr>
          <w:sz w:val="20"/>
        </w:rPr>
        <w:t>technologies are (or may be) used to support the development of data capacities and the</w:t>
      </w:r>
      <w:r>
        <w:rPr>
          <w:spacing w:val="1"/>
          <w:sz w:val="20"/>
        </w:rPr>
        <w:t> </w:t>
      </w:r>
      <w:r>
        <w:rPr>
          <w:sz w:val="20"/>
        </w:rPr>
        <w:t>efficient collection, processing and reporting of data on higher education performance. This</w:t>
      </w:r>
      <w:r>
        <w:rPr>
          <w:spacing w:val="1"/>
          <w:sz w:val="20"/>
        </w:rPr>
        <w:t> </w:t>
      </w:r>
      <w:r>
        <w:rPr>
          <w:sz w:val="20"/>
        </w:rPr>
        <w:t>could include the collection of data through surveys and interviews of HEIs’ leadership teams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teaching and learning centres</w:t>
      </w:r>
      <w:r>
        <w:rPr>
          <w:spacing w:val="-1"/>
          <w:sz w:val="20"/>
        </w:rPr>
        <w:t> </w:t>
      </w:r>
      <w:r>
        <w:rPr>
          <w:sz w:val="20"/>
        </w:rPr>
        <w:t>staff,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applicable.</w:t>
      </w:r>
    </w:p>
    <w:p>
      <w:pPr>
        <w:pStyle w:val="BodyText"/>
        <w:spacing w:line="271" w:lineRule="auto" w:before="126"/>
        <w:ind w:left="183" w:right="303"/>
        <w:jc w:val="both"/>
      </w:pPr>
      <w:r>
        <w:rPr/>
        <w:t>In</w:t>
      </w:r>
      <w:r>
        <w:rPr>
          <w:spacing w:val="-12"/>
        </w:rPr>
        <w:t> </w:t>
      </w:r>
      <w:r>
        <w:rPr/>
        <w:t>designing</w:t>
      </w:r>
      <w:r>
        <w:rPr>
          <w:spacing w:val="-12"/>
        </w:rPr>
        <w:t> </w:t>
      </w:r>
      <w:r>
        <w:rPr/>
        <w:t>these</w:t>
      </w:r>
      <w:r>
        <w:rPr>
          <w:spacing w:val="-9"/>
        </w:rPr>
        <w:t> </w:t>
      </w:r>
      <w:r>
        <w:rPr/>
        <w:t>data</w:t>
      </w:r>
      <w:r>
        <w:rPr>
          <w:spacing w:val="-12"/>
        </w:rPr>
        <w:t> </w:t>
      </w:r>
      <w:r>
        <w:rPr/>
        <w:t>tools,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expert</w:t>
      </w:r>
      <w:r>
        <w:rPr>
          <w:spacing w:val="-7"/>
        </w:rPr>
        <w:t> </w:t>
      </w:r>
      <w:r>
        <w:rPr/>
        <w:t>working</w:t>
      </w:r>
      <w:r>
        <w:rPr>
          <w:spacing w:val="-9"/>
        </w:rPr>
        <w:t> </w:t>
      </w:r>
      <w:r>
        <w:rPr/>
        <w:t>group</w:t>
      </w:r>
      <w:r>
        <w:rPr>
          <w:spacing w:val="-9"/>
        </w:rPr>
        <w:t> </w:t>
      </w:r>
      <w:r>
        <w:rPr/>
        <w:t>should</w:t>
      </w:r>
      <w:r>
        <w:rPr>
          <w:spacing w:val="-12"/>
        </w:rPr>
        <w:t> </w:t>
      </w:r>
      <w:r>
        <w:rPr/>
        <w:t>highlight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resource</w:t>
      </w:r>
      <w:r>
        <w:rPr>
          <w:spacing w:val="-9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 developing and testing these types of data tools, and the estimated time and resource implications for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implementation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tools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HEIs.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should</w:t>
      </w:r>
      <w:r>
        <w:rPr>
          <w:spacing w:val="-11"/>
        </w:rPr>
        <w:t> </w:t>
      </w:r>
      <w:r>
        <w:rPr/>
        <w:t>make</w:t>
      </w:r>
      <w:r>
        <w:rPr>
          <w:spacing w:val="-11"/>
        </w:rPr>
        <w:t> </w:t>
      </w:r>
      <w:r>
        <w:rPr/>
        <w:t>special</w:t>
      </w:r>
      <w:r>
        <w:rPr>
          <w:spacing w:val="-9"/>
        </w:rPr>
        <w:t> </w:t>
      </w:r>
      <w:r>
        <w:rPr/>
        <w:t>efforts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streamline</w:t>
      </w:r>
      <w:r>
        <w:rPr>
          <w:spacing w:val="-10"/>
        </w:rPr>
        <w:t> </w:t>
      </w:r>
      <w:r>
        <w:rPr/>
        <w:t>data</w:t>
      </w:r>
      <w:r>
        <w:rPr>
          <w:spacing w:val="-9"/>
        </w:rPr>
        <w:t> </w:t>
      </w:r>
      <w:r>
        <w:rPr/>
        <w:t>collection</w:t>
      </w:r>
      <w:r>
        <w:rPr>
          <w:spacing w:val="-8"/>
        </w:rPr>
        <w:t> </w:t>
      </w:r>
      <w:r>
        <w:rPr/>
        <w:t>tools</w:t>
      </w:r>
      <w:r>
        <w:rPr>
          <w:spacing w:val="-53"/>
        </w:rPr>
        <w:t> </w:t>
      </w:r>
      <w:r>
        <w:rPr/>
        <w:t>and</w:t>
      </w:r>
      <w:r>
        <w:rPr>
          <w:spacing w:val="-2"/>
        </w:rPr>
        <w:t> </w:t>
      </w:r>
      <w:r>
        <w:rPr/>
        <w:t>connect</w:t>
      </w:r>
      <w:r>
        <w:rPr>
          <w:spacing w:val="-2"/>
        </w:rPr>
        <w:t> </w:t>
      </w:r>
      <w:r>
        <w:rPr/>
        <w:t>them</w:t>
      </w:r>
      <w:r>
        <w:rPr>
          <w:spacing w:val="3"/>
        </w:rPr>
        <w:t> </w:t>
      </w:r>
      <w:r>
        <w:rPr/>
        <w:t>with</w:t>
      </w:r>
      <w:r>
        <w:rPr>
          <w:spacing w:val="-2"/>
        </w:rPr>
        <w:t> </w:t>
      </w:r>
      <w:r>
        <w:rPr/>
        <w:t>existing processes of data collection</w:t>
      </w:r>
      <w:r>
        <w:rPr>
          <w:spacing w:val="-1"/>
        </w:rPr>
        <w:t> </w:t>
      </w:r>
      <w:r>
        <w:rPr/>
        <w:t>where possible.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sz w:val="9"/>
        </w:rPr>
      </w:pPr>
    </w:p>
    <w:p>
      <w:pPr>
        <w:pStyle w:val="Heading2"/>
        <w:numPr>
          <w:ilvl w:val="1"/>
          <w:numId w:val="12"/>
        </w:numPr>
        <w:tabs>
          <w:tab w:pos="652" w:val="left" w:leader="none"/>
        </w:tabs>
        <w:spacing w:line="278" w:lineRule="auto" w:before="92" w:after="0"/>
        <w:ind w:left="183" w:right="1238" w:firstLine="0"/>
        <w:jc w:val="left"/>
      </w:pPr>
      <w:bookmarkStart w:name="3.3. Action Step 2: Using funding to sup" w:id="109"/>
      <w:bookmarkEnd w:id="109"/>
      <w:r>
        <w:rPr>
          <w:b w:val="0"/>
        </w:rPr>
      </w:r>
      <w:bookmarkStart w:name="_bookmark41" w:id="110"/>
      <w:bookmarkEnd w:id="110"/>
      <w:r>
        <w:rPr>
          <w:b w:val="0"/>
        </w:rPr>
      </w:r>
      <w:bookmarkStart w:name="_bookmark41" w:id="111"/>
      <w:bookmarkEnd w:id="111"/>
      <w:r>
        <w:rPr>
          <w:color w:val="4E81BD"/>
        </w:rPr>
        <w:t>A</w:t>
      </w:r>
      <w:r>
        <w:rPr>
          <w:color w:val="4E81BD"/>
        </w:rPr>
        <w:t>ction Step 2: Using funding to support and reward higher education</w:t>
      </w:r>
      <w:r>
        <w:rPr>
          <w:color w:val="4E81BD"/>
          <w:spacing w:val="-64"/>
        </w:rPr>
        <w:t> </w:t>
      </w:r>
      <w:r>
        <w:rPr>
          <w:color w:val="4E81BD"/>
        </w:rPr>
        <w:t>performance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ind w:left="183"/>
        <w:jc w:val="both"/>
      </w:pPr>
      <w:r>
        <w:rPr/>
        <w:t>The</w:t>
      </w:r>
      <w:r>
        <w:rPr>
          <w:spacing w:val="-5"/>
        </w:rPr>
        <w:t> </w:t>
      </w:r>
      <w:r>
        <w:rPr/>
        <w:t>sections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follow</w:t>
      </w:r>
      <w:r>
        <w:rPr>
          <w:spacing w:val="-5"/>
        </w:rPr>
        <w:t> </w:t>
      </w:r>
      <w:r>
        <w:rPr/>
        <w:t>focus</w:t>
      </w:r>
      <w:r>
        <w:rPr>
          <w:spacing w:val="-3"/>
        </w:rPr>
        <w:t> </w:t>
      </w:r>
      <w:r>
        <w:rPr/>
        <w:t>on: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131" w:after="0"/>
        <w:ind w:left="862" w:right="0" w:hanging="339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current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policy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practice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respect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higher</w:t>
      </w:r>
      <w:r>
        <w:rPr>
          <w:spacing w:val="-3"/>
          <w:sz w:val="20"/>
        </w:rPr>
        <w:t> </w:t>
      </w:r>
      <w:r>
        <w:rPr>
          <w:sz w:val="20"/>
        </w:rPr>
        <w:t>education</w:t>
      </w:r>
      <w:r>
        <w:rPr>
          <w:spacing w:val="-3"/>
          <w:sz w:val="20"/>
        </w:rPr>
        <w:t> </w:t>
      </w:r>
      <w:r>
        <w:rPr>
          <w:sz w:val="20"/>
        </w:rPr>
        <w:t>funding,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Challenges</w:t>
      </w:r>
      <w:r>
        <w:rPr>
          <w:spacing w:val="-3"/>
          <w:sz w:val="20"/>
        </w:rPr>
        <w:t> </w:t>
      </w:r>
      <w:r>
        <w:rPr>
          <w:sz w:val="20"/>
        </w:rPr>
        <w:t>limiting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adoption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effective</w:t>
      </w:r>
      <w:r>
        <w:rPr>
          <w:spacing w:val="-5"/>
          <w:sz w:val="20"/>
        </w:rPr>
        <w:t> </w:t>
      </w:r>
      <w:r>
        <w:rPr>
          <w:sz w:val="20"/>
        </w:rPr>
        <w:t>reforms,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5" w:after="0"/>
        <w:ind w:left="862" w:right="0" w:hanging="339"/>
        <w:jc w:val="left"/>
        <w:rPr>
          <w:sz w:val="20"/>
        </w:rPr>
      </w:pPr>
      <w:r>
        <w:rPr>
          <w:sz w:val="20"/>
        </w:rPr>
        <w:t>Relevant</w:t>
      </w:r>
      <w:r>
        <w:rPr>
          <w:spacing w:val="-3"/>
          <w:sz w:val="20"/>
        </w:rPr>
        <w:t> </w:t>
      </w:r>
      <w:r>
        <w:rPr>
          <w:sz w:val="20"/>
        </w:rPr>
        <w:t>international</w:t>
      </w:r>
      <w:r>
        <w:rPr>
          <w:spacing w:val="-4"/>
          <w:sz w:val="20"/>
        </w:rPr>
        <w:t> </w:t>
      </w:r>
      <w:r>
        <w:rPr>
          <w:sz w:val="20"/>
        </w:rPr>
        <w:t>experience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points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possible</w:t>
      </w:r>
      <w:r>
        <w:rPr>
          <w:spacing w:val="-5"/>
          <w:sz w:val="20"/>
        </w:rPr>
        <w:t> </w:t>
      </w:r>
      <w:r>
        <w:rPr>
          <w:sz w:val="20"/>
        </w:rPr>
        <w:t>policy</w:t>
      </w:r>
      <w:r>
        <w:rPr>
          <w:spacing w:val="-8"/>
          <w:sz w:val="20"/>
        </w:rPr>
        <w:t> </w:t>
      </w:r>
      <w:r>
        <w:rPr>
          <w:sz w:val="20"/>
        </w:rPr>
        <w:t>reforms,</w:t>
      </w:r>
      <w:r>
        <w:rPr>
          <w:spacing w:val="-5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6" w:after="0"/>
        <w:ind w:left="862" w:right="0" w:hanging="339"/>
        <w:jc w:val="left"/>
        <w:rPr>
          <w:sz w:val="20"/>
        </w:rPr>
      </w:pPr>
      <w:r>
        <w:rPr>
          <w:sz w:val="20"/>
        </w:rPr>
        <w:t>Concrete</w:t>
      </w:r>
      <w:r>
        <w:rPr>
          <w:spacing w:val="-4"/>
          <w:sz w:val="20"/>
        </w:rPr>
        <w:t> </w:t>
      </w:r>
      <w:r>
        <w:rPr>
          <w:sz w:val="20"/>
        </w:rPr>
        <w:t>policy</w:t>
      </w:r>
      <w:r>
        <w:rPr>
          <w:spacing w:val="-5"/>
          <w:sz w:val="20"/>
        </w:rPr>
        <w:t> </w:t>
      </w:r>
      <w:r>
        <w:rPr>
          <w:sz w:val="20"/>
        </w:rPr>
        <w:t>actions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Slovak</w:t>
      </w:r>
      <w:r>
        <w:rPr>
          <w:spacing w:val="-2"/>
          <w:sz w:val="20"/>
        </w:rPr>
        <w:t> </w:t>
      </w:r>
      <w:r>
        <w:rPr>
          <w:sz w:val="20"/>
        </w:rPr>
        <w:t>government</w:t>
      </w:r>
      <w:r>
        <w:rPr>
          <w:spacing w:val="-4"/>
          <w:sz w:val="20"/>
        </w:rPr>
        <w:t> </w:t>
      </w:r>
      <w:r>
        <w:rPr>
          <w:sz w:val="20"/>
        </w:rPr>
        <w:t>may wish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consider.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</w:pPr>
      <w:bookmarkStart w:name="Current state of policy and practice" w:id="112"/>
      <w:bookmarkEnd w:id="112"/>
      <w:r>
        <w:rPr>
          <w:b w:val="0"/>
          <w:i w:val="0"/>
        </w:rPr>
      </w:r>
      <w:r>
        <w:rPr/>
        <w:t>Current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policy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</w:t>
      </w: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Heading7"/>
        <w:spacing w:before="1"/>
      </w:pPr>
      <w:bookmarkStart w:name="Level of funding" w:id="113"/>
      <w:bookmarkEnd w:id="113"/>
      <w:r>
        <w:rPr>
          <w:i w:val="0"/>
        </w:rPr>
      </w:r>
      <w:r>
        <w:rPr>
          <w:color w:val="616161"/>
        </w:rPr>
        <w:t>Level</w:t>
      </w:r>
      <w:r>
        <w:rPr>
          <w:color w:val="616161"/>
          <w:spacing w:val="-4"/>
        </w:rPr>
        <w:t> </w:t>
      </w:r>
      <w:r>
        <w:rPr>
          <w:color w:val="616161"/>
        </w:rPr>
        <w:t>of</w:t>
      </w:r>
      <w:r>
        <w:rPr>
          <w:color w:val="616161"/>
          <w:spacing w:val="-3"/>
        </w:rPr>
        <w:t> </w:t>
      </w:r>
      <w:r>
        <w:rPr>
          <w:color w:val="616161"/>
        </w:rPr>
        <w:t>funding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299"/>
        <w:jc w:val="both"/>
      </w:pPr>
      <w:r>
        <w:rPr/>
        <w:t>The level of public resources devoted to higher education remains low in the Slovak Republic from an</w:t>
      </w:r>
      <w:r>
        <w:rPr>
          <w:spacing w:val="1"/>
        </w:rPr>
        <w:t> </w:t>
      </w:r>
      <w:r>
        <w:rPr/>
        <w:t>international perspective, despite significant increases in the past two decades. Public expenditure on</w:t>
      </w:r>
      <w:r>
        <w:rPr>
          <w:spacing w:val="1"/>
        </w:rPr>
        <w:t> </w:t>
      </w:r>
      <w:r>
        <w:rPr>
          <w:spacing w:val="-1"/>
        </w:rPr>
        <w:t>higher</w:t>
      </w:r>
      <w:r>
        <w:rPr>
          <w:spacing w:val="-12"/>
        </w:rPr>
        <w:t> </w:t>
      </w:r>
      <w:r>
        <w:rPr>
          <w:spacing w:val="-1"/>
        </w:rPr>
        <w:t>education</w:t>
      </w:r>
      <w:r>
        <w:rPr>
          <w:spacing w:val="-14"/>
        </w:rPr>
        <w:t> </w:t>
      </w:r>
      <w:r>
        <w:rPr>
          <w:spacing w:val="-1"/>
        </w:rPr>
        <w:t>amounted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about</w:t>
      </w:r>
      <w:r>
        <w:rPr>
          <w:spacing w:val="-13"/>
        </w:rPr>
        <w:t> </w:t>
      </w:r>
      <w:r>
        <w:rPr>
          <w:spacing w:val="-1"/>
        </w:rPr>
        <w:t>0.7%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national</w:t>
      </w:r>
      <w:r>
        <w:rPr>
          <w:spacing w:val="-14"/>
        </w:rPr>
        <w:t> </w:t>
      </w:r>
      <w:r>
        <w:rPr>
          <w:spacing w:val="-1"/>
        </w:rPr>
        <w:t>gross</w:t>
      </w:r>
      <w:r>
        <w:rPr>
          <w:spacing w:val="-11"/>
        </w:rPr>
        <w:t> </w:t>
      </w:r>
      <w:r>
        <w:rPr>
          <w:spacing w:val="-1"/>
        </w:rPr>
        <w:t>domestic</w:t>
      </w:r>
      <w:r>
        <w:rPr>
          <w:spacing w:val="-12"/>
        </w:rPr>
        <w:t> </w:t>
      </w:r>
      <w:r>
        <w:rPr>
          <w:spacing w:val="-1"/>
        </w:rPr>
        <w:t>product</w:t>
      </w:r>
      <w:r>
        <w:rPr>
          <w:spacing w:val="-13"/>
        </w:rPr>
        <w:t> </w:t>
      </w:r>
      <w:r>
        <w:rPr/>
        <w:t>(GDP)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2017,</w:t>
      </w:r>
      <w:r>
        <w:rPr>
          <w:spacing w:val="-13"/>
        </w:rPr>
        <w:t> </w:t>
      </w:r>
      <w:r>
        <w:rPr/>
        <w:t>compared</w:t>
      </w:r>
      <w:r>
        <w:rPr>
          <w:spacing w:val="1"/>
        </w:rPr>
        <w:t> </w:t>
      </w:r>
      <w:r>
        <w:rPr>
          <w:position w:val="1"/>
        </w:rPr>
        <w:t>to 1% on average in OECD countries (OECD, 2020</w:t>
      </w:r>
      <w:r>
        <w:rPr>
          <w:sz w:val="13"/>
        </w:rPr>
        <w:t>[27]</w:t>
      </w:r>
      <w:r>
        <w:rPr>
          <w:position w:val="1"/>
        </w:rPr>
        <w:t>). This figure remains well below the 1.2% of GDP</w:t>
      </w:r>
      <w:r>
        <w:rPr>
          <w:spacing w:val="1"/>
          <w:position w:val="1"/>
        </w:rPr>
        <w:t> </w:t>
      </w:r>
      <w:r>
        <w:rPr/>
        <w:t>target that had been set in the 2016 “Learning Slovakia” strategy. In terms of R&amp;D funding, the gross</w:t>
      </w:r>
      <w:r>
        <w:rPr>
          <w:spacing w:val="1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expenditure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R&amp;D</w:t>
      </w:r>
      <w:r>
        <w:rPr>
          <w:spacing w:val="-6"/>
        </w:rPr>
        <w:t> </w:t>
      </w:r>
      <w:r>
        <w:rPr/>
        <w:t>(GERD)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0.84%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4"/>
        </w:rPr>
        <w:t> </w:t>
      </w:r>
      <w:r>
        <w:rPr/>
        <w:t>Republic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2018,</w:t>
      </w:r>
      <w:r>
        <w:rPr>
          <w:spacing w:val="-6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2.38%</w:t>
      </w:r>
      <w:r>
        <w:rPr>
          <w:spacing w:val="-6"/>
        </w:rPr>
        <w:t> </w:t>
      </w:r>
      <w:r>
        <w:rPr/>
        <w:t>on</w:t>
      </w:r>
      <w:r>
        <w:rPr>
          <w:spacing w:val="-53"/>
        </w:rPr>
        <w:t> </w:t>
      </w:r>
      <w:r>
        <w:rPr>
          <w:position w:val="1"/>
        </w:rPr>
        <w:t>average</w:t>
      </w:r>
      <w:r>
        <w:rPr>
          <w:spacing w:val="-1"/>
          <w:position w:val="1"/>
        </w:rPr>
        <w:t> </w:t>
      </w:r>
      <w:r>
        <w:rPr>
          <w:position w:val="1"/>
        </w:rPr>
        <w:t>in</w:t>
      </w:r>
      <w:r>
        <w:rPr>
          <w:spacing w:val="-2"/>
          <w:position w:val="1"/>
        </w:rPr>
        <w:t> </w:t>
      </w:r>
      <w:r>
        <w:rPr>
          <w:position w:val="1"/>
        </w:rPr>
        <w:t>OECD</w:t>
      </w:r>
      <w:r>
        <w:rPr>
          <w:spacing w:val="-2"/>
          <w:position w:val="1"/>
        </w:rPr>
        <w:t> </w:t>
      </w:r>
      <w:r>
        <w:rPr>
          <w:position w:val="1"/>
        </w:rPr>
        <w:t>countries,</w:t>
      </w:r>
      <w:r>
        <w:rPr>
          <w:spacing w:val="-2"/>
          <w:position w:val="1"/>
        </w:rPr>
        <w:t> </w:t>
      </w:r>
      <w:r>
        <w:rPr>
          <w:position w:val="1"/>
        </w:rPr>
        <w:t>and</w:t>
      </w:r>
      <w:r>
        <w:rPr>
          <w:spacing w:val="1"/>
          <w:position w:val="1"/>
        </w:rPr>
        <w:t> </w:t>
      </w:r>
      <w:r>
        <w:rPr>
          <w:position w:val="1"/>
        </w:rPr>
        <w:t>2.03%</w:t>
      </w:r>
      <w:r>
        <w:rPr>
          <w:spacing w:val="-2"/>
          <w:position w:val="1"/>
        </w:rPr>
        <w:t> </w:t>
      </w:r>
      <w:r>
        <w:rPr>
          <w:position w:val="1"/>
        </w:rPr>
        <w:t>on</w:t>
      </w:r>
      <w:r>
        <w:rPr>
          <w:spacing w:val="-2"/>
          <w:position w:val="1"/>
        </w:rPr>
        <w:t> </w:t>
      </w:r>
      <w:r>
        <w:rPr>
          <w:position w:val="1"/>
        </w:rPr>
        <w:t>average</w:t>
      </w:r>
      <w:r>
        <w:rPr>
          <w:spacing w:val="-1"/>
          <w:position w:val="1"/>
        </w:rPr>
        <w:t> </w:t>
      </w:r>
      <w:r>
        <w:rPr>
          <w:position w:val="1"/>
        </w:rPr>
        <w:t>in</w:t>
      </w:r>
      <w:r>
        <w:rPr>
          <w:spacing w:val="-1"/>
          <w:position w:val="1"/>
        </w:rPr>
        <w:t> </w:t>
      </w:r>
      <w:r>
        <w:rPr>
          <w:position w:val="1"/>
        </w:rPr>
        <w:t>the</w:t>
      </w:r>
      <w:r>
        <w:rPr>
          <w:spacing w:val="-3"/>
          <w:position w:val="1"/>
        </w:rPr>
        <w:t> </w:t>
      </w:r>
      <w:r>
        <w:rPr>
          <w:position w:val="1"/>
        </w:rPr>
        <w:t>EU28</w:t>
      </w:r>
      <w:r>
        <w:rPr>
          <w:spacing w:val="-1"/>
          <w:position w:val="1"/>
        </w:rPr>
        <w:t> </w:t>
      </w:r>
      <w:r>
        <w:rPr>
          <w:position w:val="1"/>
        </w:rPr>
        <w:t>(OECD, 2020</w:t>
      </w:r>
      <w:r>
        <w:rPr>
          <w:sz w:val="13"/>
        </w:rPr>
        <w:t>[28]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Over the past two decades, the increase in total public expenditure for higher education, combined with</w:t>
      </w:r>
      <w:r>
        <w:rPr>
          <w:spacing w:val="1"/>
        </w:rPr>
        <w:t> </w:t>
      </w:r>
      <w:r>
        <w:rPr/>
        <w:t>falling</w:t>
      </w:r>
      <w:r>
        <w:rPr>
          <w:spacing w:val="-10"/>
        </w:rPr>
        <w:t> </w:t>
      </w:r>
      <w:r>
        <w:rPr/>
        <w:t>student</w:t>
      </w:r>
      <w:r>
        <w:rPr>
          <w:spacing w:val="-7"/>
        </w:rPr>
        <w:t> </w:t>
      </w:r>
      <w:r>
        <w:rPr/>
        <w:t>numbers,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resulted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substantial</w:t>
      </w:r>
      <w:r>
        <w:rPr>
          <w:spacing w:val="-9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public</w:t>
      </w:r>
      <w:r>
        <w:rPr>
          <w:spacing w:val="-9"/>
        </w:rPr>
        <w:t> </w:t>
      </w:r>
      <w:r>
        <w:rPr/>
        <w:t>expenditure</w:t>
      </w:r>
      <w:r>
        <w:rPr>
          <w:spacing w:val="-10"/>
        </w:rPr>
        <w:t> </w:t>
      </w:r>
      <w:r>
        <w:rPr/>
        <w:t>per</w:t>
      </w:r>
      <w:r>
        <w:rPr>
          <w:spacing w:val="-8"/>
        </w:rPr>
        <w:t> </w:t>
      </w:r>
      <w:r>
        <w:rPr/>
        <w:t>student,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shown</w:t>
      </w:r>
      <w:r>
        <w:rPr>
          <w:spacing w:val="1"/>
        </w:rPr>
        <w:t> </w:t>
      </w:r>
      <w:r>
        <w:rPr/>
        <w:t>in </w:t>
      </w:r>
      <w:hyperlink w:history="true" w:anchor="_bookmark42">
        <w:r>
          <w:rPr/>
          <w:t>Figure 3.1. </w:t>
        </w:r>
      </w:hyperlink>
      <w:r>
        <w:rPr/>
        <w:t>The spike in 2015 is due to exceptional drawing of the European Structural and Investment</w:t>
      </w:r>
      <w:r>
        <w:rPr>
          <w:spacing w:val="1"/>
        </w:rPr>
        <w:t> </w:t>
      </w:r>
      <w:r>
        <w:rPr/>
        <w:t>Funds (ESIF), because of an overlap between two budgetary periods and a special exemption allowing</w:t>
      </w:r>
      <w:r>
        <w:rPr>
          <w:spacing w:val="1"/>
        </w:rPr>
        <w:t> </w:t>
      </w:r>
      <w:r>
        <w:rPr/>
        <w:t>the Slovak Republic to use resources from the 2007-14 budgetary period until the end of 2016. However,</w:t>
      </w:r>
      <w:r>
        <w:rPr>
          <w:spacing w:val="-53"/>
        </w:rPr>
        <w:t> </w:t>
      </w:r>
      <w:r>
        <w:rPr/>
        <w:t>while the level of per-student public expenditure in the Slovak Republic has increased, surpassing that of</w:t>
      </w:r>
      <w:r>
        <w:rPr>
          <w:spacing w:val="1"/>
        </w:rPr>
        <w:t> </w:t>
      </w:r>
      <w:r>
        <w:rPr/>
        <w:t>several countries in the region, it remains well below the OECD and EC23 average and that of high-</w:t>
      </w:r>
      <w:r>
        <w:rPr>
          <w:spacing w:val="1"/>
        </w:rPr>
        <w:t> </w:t>
      </w:r>
      <w:r>
        <w:rPr/>
        <w:t>performing</w:t>
      </w:r>
      <w:r>
        <w:rPr>
          <w:spacing w:val="-3"/>
        </w:rPr>
        <w:t> </w:t>
      </w:r>
      <w:r>
        <w:rPr/>
        <w:t>countries,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Finland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Germany.</w:t>
      </w:r>
    </w:p>
    <w:p>
      <w:pPr>
        <w:pStyle w:val="BodyText"/>
        <w:spacing w:before="3"/>
      </w:pPr>
    </w:p>
    <w:p>
      <w:pPr>
        <w:pStyle w:val="Heading7"/>
      </w:pPr>
      <w:bookmarkStart w:name="Sources of funding" w:id="114"/>
      <w:bookmarkEnd w:id="114"/>
      <w:r>
        <w:rPr>
          <w:i w:val="0"/>
        </w:rPr>
      </w:r>
      <w:r>
        <w:rPr>
          <w:color w:val="616161"/>
        </w:rPr>
        <w:t>Sources</w:t>
      </w:r>
      <w:r>
        <w:rPr>
          <w:color w:val="616161"/>
          <w:spacing w:val="-4"/>
        </w:rPr>
        <w:t> </w:t>
      </w:r>
      <w:r>
        <w:rPr>
          <w:color w:val="616161"/>
        </w:rPr>
        <w:t>of</w:t>
      </w:r>
      <w:r>
        <w:rPr>
          <w:color w:val="616161"/>
          <w:spacing w:val="-4"/>
        </w:rPr>
        <w:t> </w:t>
      </w:r>
      <w:r>
        <w:rPr>
          <w:color w:val="616161"/>
        </w:rPr>
        <w:t>funding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4"/>
        <w:jc w:val="both"/>
      </w:pPr>
      <w:r>
        <w:rPr>
          <w:spacing w:val="-1"/>
        </w:rPr>
        <w:t>Public</w:t>
      </w:r>
      <w:r>
        <w:rPr>
          <w:spacing w:val="-12"/>
        </w:rPr>
        <w:t> </w:t>
      </w:r>
      <w:r>
        <w:rPr>
          <w:spacing w:val="-1"/>
        </w:rPr>
        <w:t>funding</w:t>
      </w:r>
      <w:r>
        <w:rPr>
          <w:spacing w:val="-14"/>
        </w:rPr>
        <w:t> </w:t>
      </w:r>
      <w:r>
        <w:rPr>
          <w:spacing w:val="-1"/>
        </w:rPr>
        <w:t>represented</w:t>
      </w:r>
      <w:r>
        <w:rPr>
          <w:spacing w:val="-11"/>
        </w:rPr>
        <w:t> </w:t>
      </w:r>
      <w:r>
        <w:rPr>
          <w:spacing w:val="-1"/>
        </w:rPr>
        <w:t>68%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total</w:t>
      </w:r>
      <w:r>
        <w:rPr>
          <w:spacing w:val="-14"/>
        </w:rPr>
        <w:t> </w:t>
      </w:r>
      <w:r>
        <w:rPr>
          <w:spacing w:val="-1"/>
        </w:rPr>
        <w:t>funding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higher</w:t>
      </w:r>
      <w:r>
        <w:rPr>
          <w:spacing w:val="-12"/>
        </w:rPr>
        <w:t> </w:t>
      </w:r>
      <w:r>
        <w:rPr>
          <w:spacing w:val="-1"/>
        </w:rPr>
        <w:t>education</w:t>
      </w:r>
      <w:r>
        <w:rPr>
          <w:spacing w:val="-12"/>
        </w:rPr>
        <w:t> </w:t>
      </w:r>
      <w:r>
        <w:rPr>
          <w:spacing w:val="-1"/>
        </w:rPr>
        <w:t>institutions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2017,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figure</w:t>
      </w:r>
      <w:r>
        <w:rPr>
          <w:spacing w:val="-12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 the OECD average but slightly below the average in the EU23 (73%). Countries included in the EU23</w:t>
      </w:r>
      <w:r>
        <w:rPr>
          <w:spacing w:val="1"/>
        </w:rPr>
        <w:t> </w:t>
      </w:r>
      <w:r>
        <w:rPr/>
        <w:t>average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23</w:t>
      </w:r>
      <w:r>
        <w:rPr>
          <w:spacing w:val="-5"/>
        </w:rPr>
        <w:t> </w:t>
      </w:r>
      <w:r>
        <w:rPr/>
        <w:t>EU</w:t>
      </w:r>
      <w:r>
        <w:rPr>
          <w:spacing w:val="-6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also</w:t>
      </w:r>
      <w:r>
        <w:rPr>
          <w:spacing w:val="-7"/>
        </w:rPr>
        <w:t> </w:t>
      </w:r>
      <w:r>
        <w:rPr/>
        <w:t>members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OECD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2019,</w:t>
      </w:r>
      <w:r>
        <w:rPr>
          <w:spacing w:val="-6"/>
        </w:rPr>
        <w:t> </w:t>
      </w:r>
      <w:r>
        <w:rPr/>
        <w:t>namely</w:t>
      </w:r>
      <w:r>
        <w:rPr>
          <w:spacing w:val="-8"/>
        </w:rPr>
        <w:t> </w:t>
      </w:r>
      <w:r>
        <w:rPr/>
        <w:t>Austria,</w:t>
      </w:r>
      <w:r>
        <w:rPr>
          <w:spacing w:val="1"/>
        </w:rPr>
        <w:t> </w:t>
      </w:r>
      <w:r>
        <w:rPr/>
        <w:t>Belgium, the Czech Republic, Denmark, Estonia, Finland, France, Germany, Greece, Hungary, Ireland,</w:t>
      </w:r>
      <w:r>
        <w:rPr>
          <w:spacing w:val="1"/>
        </w:rPr>
        <w:t> </w:t>
      </w:r>
      <w:r>
        <w:rPr/>
        <w:t>Italy, Latvia, Lithuania, Luxembourg, the Netherlands, Poland, Portugal, the Slovak Republic, Slovenia,</w:t>
      </w:r>
      <w:r>
        <w:rPr>
          <w:spacing w:val="1"/>
        </w:rPr>
        <w:t> </w:t>
      </w:r>
      <w:r>
        <w:rPr/>
        <w:t>Spain,</w:t>
      </w:r>
      <w:r>
        <w:rPr>
          <w:spacing w:val="1"/>
        </w:rPr>
        <w:t> </w:t>
      </w:r>
      <w:r>
        <w:rPr/>
        <w:t>Sweden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Kingdom.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(“international</w:t>
      </w:r>
      <w:r>
        <w:rPr>
          <w:spacing w:val="1"/>
        </w:rPr>
        <w:t> </w:t>
      </w:r>
      <w:r>
        <w:rPr/>
        <w:t>sources”)</w:t>
      </w:r>
      <w:r>
        <w:rPr>
          <w:spacing w:val="-53"/>
        </w:rPr>
        <w:t> </w:t>
      </w:r>
      <w:r>
        <w:rPr/>
        <w:t>represent 3% of the total, a figure equivalent to the OECD average but slightly below the EU23 average</w:t>
      </w:r>
      <w:r>
        <w:rPr>
          <w:spacing w:val="1"/>
        </w:rPr>
        <w:t> </w:t>
      </w:r>
      <w:r>
        <w:rPr/>
        <w:t>(4%)</w:t>
      </w:r>
      <w:r>
        <w:rPr>
          <w:spacing w:val="-1"/>
        </w:rPr>
        <w:t> </w:t>
      </w:r>
      <w:r>
        <w:rPr/>
        <w:t>(</w:t>
      </w:r>
      <w:hyperlink w:history="true" w:anchor="_bookmark43">
        <w:r>
          <w:rPr/>
          <w:t>Figure</w:t>
        </w:r>
        <w:r>
          <w:rPr>
            <w:spacing w:val="2"/>
          </w:rPr>
          <w:t> </w:t>
        </w:r>
        <w:r>
          <w:rPr/>
          <w:t>3.2</w:t>
        </w:r>
      </w:hyperlink>
      <w:r>
        <w:rPr/>
        <w:t>).</w:t>
      </w:r>
    </w:p>
    <w:p>
      <w:pPr>
        <w:pStyle w:val="BodyText"/>
        <w:spacing w:line="271" w:lineRule="auto" w:before="120"/>
        <w:ind w:left="183" w:right="302"/>
        <w:jc w:val="both"/>
      </w:pPr>
      <w:r>
        <w:rPr/>
        <w:t>Public HEIs are eligible for the state contribution distributed annually by the MoE. State HEIs focus on</w:t>
      </w:r>
      <w:r>
        <w:rPr>
          <w:spacing w:val="1"/>
        </w:rPr>
        <w:t> </w:t>
      </w:r>
      <w:r>
        <w:rPr/>
        <w:t>providing professional education in key public sector areas (e.g. police, armed forces, health sector), and</w:t>
      </w:r>
      <w:r>
        <w:rPr>
          <w:spacing w:val="-53"/>
        </w:rPr>
        <w:t> </w:t>
      </w:r>
      <w:r>
        <w:rPr/>
        <w:t>are</w:t>
      </w:r>
      <w:r>
        <w:rPr>
          <w:spacing w:val="-5"/>
        </w:rPr>
        <w:t> </w:t>
      </w:r>
      <w:r>
        <w:rPr/>
        <w:t>financed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budget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ministries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responsibility</w:t>
      </w:r>
      <w:r>
        <w:rPr>
          <w:spacing w:val="-8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area</w:t>
      </w:r>
      <w:r>
        <w:rPr>
          <w:spacing w:val="-5"/>
        </w:rPr>
        <w:t> </w:t>
      </w:r>
      <w:r>
        <w:rPr/>
        <w:t>(e.g.</w:t>
      </w:r>
      <w:r>
        <w:rPr>
          <w:spacing w:val="6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Interior,</w:t>
      </w:r>
      <w:r>
        <w:rPr>
          <w:spacing w:val="1"/>
        </w:rPr>
        <w:t> </w:t>
      </w:r>
      <w:r>
        <w:rPr>
          <w:spacing w:val="-1"/>
        </w:rPr>
        <w:t>Ministry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Defence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Ministry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Health).</w:t>
      </w:r>
      <w:r>
        <w:rPr>
          <w:spacing w:val="-10"/>
        </w:rPr>
        <w:t> </w:t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HEIs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receive</w:t>
      </w:r>
      <w:r>
        <w:rPr>
          <w:spacing w:val="-11"/>
        </w:rPr>
        <w:t> </w:t>
      </w:r>
      <w:r>
        <w:rPr/>
        <w:t>any</w:t>
      </w:r>
      <w:r>
        <w:rPr>
          <w:spacing w:val="-14"/>
        </w:rPr>
        <w:t> </w:t>
      </w:r>
      <w:r>
        <w:rPr/>
        <w:t>regular</w:t>
      </w:r>
      <w:r>
        <w:rPr>
          <w:spacing w:val="-8"/>
        </w:rPr>
        <w:t> </w:t>
      </w:r>
      <w:r>
        <w:rPr/>
        <w:t>direct</w:t>
      </w:r>
      <w:r>
        <w:rPr>
          <w:spacing w:val="-11"/>
        </w:rPr>
        <w:t> </w:t>
      </w:r>
      <w:r>
        <w:rPr/>
        <w:t>contribution</w:t>
      </w:r>
      <w:r>
        <w:rPr>
          <w:spacing w:val="-1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budget</w:t>
      </w:r>
      <w:r>
        <w:rPr>
          <w:spacing w:val="-3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providing higher</w:t>
      </w:r>
      <w:r>
        <w:rPr>
          <w:spacing w:val="2"/>
        </w:rPr>
        <w:t> </w:t>
      </w:r>
      <w:r>
        <w:rPr/>
        <w:t>education.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before="165"/>
        <w:ind w:left="183" w:right="0" w:firstLine="0"/>
        <w:jc w:val="left"/>
        <w:rPr>
          <w:rFonts w:ascii="Arial"/>
          <w:b/>
          <w:sz w:val="24"/>
        </w:rPr>
      </w:pPr>
      <w:bookmarkStart w:name="_bookmark42" w:id="115"/>
      <w:bookmarkEnd w:id="115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3.1.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Public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expenditure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on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per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full-time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student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(2010-17)</w:t>
      </w:r>
    </w:p>
    <w:p>
      <w:pPr>
        <w:pStyle w:val="Heading6"/>
        <w:spacing w:before="188"/>
      </w:pPr>
      <w:r>
        <w:rPr>
          <w:w w:val="80"/>
        </w:rPr>
        <w:t>Funding</w:t>
      </w:r>
      <w:r>
        <w:rPr>
          <w:spacing w:val="9"/>
          <w:w w:val="80"/>
        </w:rPr>
        <w:t> </w:t>
      </w:r>
      <w:r>
        <w:rPr>
          <w:w w:val="80"/>
        </w:rPr>
        <w:t>per</w:t>
      </w:r>
      <w:r>
        <w:rPr>
          <w:spacing w:val="13"/>
          <w:w w:val="80"/>
        </w:rPr>
        <w:t> </w:t>
      </w:r>
      <w:r>
        <w:rPr>
          <w:w w:val="80"/>
        </w:rPr>
        <w:t>full-time</w:t>
      </w:r>
      <w:r>
        <w:rPr>
          <w:spacing w:val="12"/>
          <w:w w:val="80"/>
        </w:rPr>
        <w:t> </w:t>
      </w:r>
      <w:r>
        <w:rPr>
          <w:w w:val="80"/>
        </w:rPr>
        <w:t>equivalent</w:t>
      </w:r>
      <w:r>
        <w:rPr>
          <w:spacing w:val="12"/>
          <w:w w:val="80"/>
        </w:rPr>
        <w:t> </w:t>
      </w:r>
      <w:r>
        <w:rPr>
          <w:w w:val="80"/>
        </w:rPr>
        <w:t>students,</w:t>
      </w:r>
      <w:r>
        <w:rPr>
          <w:spacing w:val="10"/>
          <w:w w:val="80"/>
        </w:rPr>
        <w:t> </w:t>
      </w:r>
      <w:r>
        <w:rPr>
          <w:w w:val="80"/>
        </w:rPr>
        <w:t>direct</w:t>
      </w:r>
      <w:r>
        <w:rPr>
          <w:spacing w:val="11"/>
          <w:w w:val="80"/>
        </w:rPr>
        <w:t> </w:t>
      </w:r>
      <w:r>
        <w:rPr>
          <w:w w:val="80"/>
        </w:rPr>
        <w:t>expenditure,</w:t>
      </w:r>
      <w:r>
        <w:rPr>
          <w:spacing w:val="12"/>
          <w:w w:val="80"/>
        </w:rPr>
        <w:t> </w:t>
      </w:r>
      <w:r>
        <w:rPr>
          <w:w w:val="80"/>
        </w:rPr>
        <w:t>measured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USD</w:t>
      </w:r>
      <w:r>
        <w:rPr>
          <w:spacing w:val="11"/>
          <w:w w:val="80"/>
        </w:rPr>
        <w:t> </w:t>
      </w:r>
      <w:r>
        <w:rPr>
          <w:w w:val="80"/>
        </w:rPr>
        <w:t>at</w:t>
      </w:r>
      <w:r>
        <w:rPr>
          <w:spacing w:val="12"/>
          <w:w w:val="80"/>
        </w:rPr>
        <w:t> </w:t>
      </w:r>
      <w:r>
        <w:rPr>
          <w:w w:val="80"/>
        </w:rPr>
        <w:t>constant</w:t>
      </w:r>
      <w:r>
        <w:rPr>
          <w:spacing w:val="12"/>
          <w:w w:val="80"/>
        </w:rPr>
        <w:t> </w:t>
      </w:r>
      <w:r>
        <w:rPr>
          <w:w w:val="80"/>
        </w:rPr>
        <w:t>prices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constant</w:t>
      </w:r>
      <w:r>
        <w:rPr>
          <w:spacing w:val="12"/>
          <w:w w:val="80"/>
        </w:rPr>
        <w:t> </w:t>
      </w:r>
      <w:r>
        <w:rPr>
          <w:w w:val="80"/>
        </w:rPr>
        <w:t>PPP</w:t>
      </w:r>
    </w:p>
    <w:p>
      <w:pPr>
        <w:pStyle w:val="BodyText"/>
        <w:spacing w:before="10"/>
        <w:rPr>
          <w:rFonts w:ascii="Microsoft Sans Serif"/>
          <w:sz w:val="29"/>
        </w:rPr>
      </w:pPr>
      <w:r>
        <w:rPr/>
        <w:pict>
          <v:group style="position:absolute;margin-left:106.218353pt;margin-top:18.909122pt;width:403.8pt;height:20.05pt;mso-position-horizontal-relative:page;mso-position-vertical-relative:paragraph;z-index:-15704576;mso-wrap-distance-left:0;mso-wrap-distance-right:0" coordorigin="2124,378" coordsize="8076,401">
            <v:shape style="position:absolute;left:2124;top:378;width:8076;height:401" type="#_x0000_t75" stroked="false">
              <v:imagedata r:id="rId129" o:title=""/>
            </v:shape>
            <v:shape style="position:absolute;left:3008;top:380;width:928;height:384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17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pacing w:val="-1"/>
                        <w:w w:val="80"/>
                        <w:sz w:val="16"/>
                      </w:rPr>
                      <w:t>Czech </w:t>
                    </w:r>
                    <w:r>
                      <w:rPr>
                        <w:rFonts w:ascii="Microsoft Sans Serif"/>
                        <w:w w:val="80"/>
                        <w:sz w:val="16"/>
                      </w:rPr>
                      <w:t>Republic</w:t>
                    </w:r>
                    <w:r>
                      <w:rPr>
                        <w:rFonts w:ascii="Microsoft Sans Serif"/>
                        <w:spacing w:val="-3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6"/>
                      </w:rPr>
                      <w:t>Poland</w:t>
                    </w:r>
                  </w:p>
                </w:txbxContent>
              </v:textbox>
              <w10:wrap type="none"/>
            </v:shape>
            <v:shape style="position:absolute;left:5028;top:380;width:951;height:38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90"/>
                        <w:sz w:val="16"/>
                      </w:rPr>
                      <w:t>Finland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80"/>
                        <w:sz w:val="16"/>
                      </w:rPr>
                      <w:t>Slovak</w:t>
                    </w:r>
                    <w:r>
                      <w:rPr>
                        <w:rFonts w:ascii="Microsoft Sans Serif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6"/>
                      </w:rPr>
                      <w:t>Republic</w:t>
                    </w:r>
                  </w:p>
                </w:txbxContent>
              </v:textbox>
              <w10:wrap type="none"/>
            </v:shape>
            <v:shape style="position:absolute;left:6455;top:380;width:1493;height:384" type="#_x0000_t202" filled="false" stroked="false">
              <v:textbox inset="0,0,0,0">
                <w:txbxContent>
                  <w:p>
                    <w:pPr>
                      <w:spacing w:before="1"/>
                      <w:ind w:left="592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90"/>
                        <w:sz w:val="16"/>
                      </w:rPr>
                      <w:t>Germany</w:t>
                    </w:r>
                  </w:p>
                  <w:p>
                    <w:pPr>
                      <w:tabs>
                        <w:tab w:pos="563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85"/>
                        <w:sz w:val="16"/>
                        <w:u w:val="thick" w:color="002060"/>
                      </w:rPr>
                      <w:t> </w:t>
                    </w:r>
                    <w:r>
                      <w:rPr>
                        <w:rFonts w:ascii="Microsoft Sans Serif"/>
                        <w:sz w:val="16"/>
                        <w:u w:val="thick" w:color="002060"/>
                      </w:rPr>
                      <w:tab/>
                    </w:r>
                    <w:r>
                      <w:rPr>
                        <w:rFonts w:ascii="Microsoft Sans Serif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6"/>
                      </w:rPr>
                      <w:t>OECD</w:t>
                    </w:r>
                    <w:r>
                      <w:rPr>
                        <w:rFonts w:ascii="Microsoft Sans Serif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6"/>
                      </w:rPr>
                      <w:t>average</w:t>
                    </w:r>
                  </w:p>
                </w:txbxContent>
              </v:textbox>
              <w10:wrap type="none"/>
            </v:shape>
            <v:shape style="position:absolute;left:8476;top:380;width:1441;height:384" type="#_x0000_t202" filled="false" stroked="false">
              <v:textbox inset="0,0,0,0">
                <w:txbxContent>
                  <w:p>
                    <w:pPr>
                      <w:spacing w:before="1"/>
                      <w:ind w:left="591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90"/>
                        <w:sz w:val="16"/>
                      </w:rPr>
                      <w:t>Hungary</w:t>
                    </w:r>
                  </w:p>
                  <w:p>
                    <w:pPr>
                      <w:tabs>
                        <w:tab w:pos="563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85"/>
                        <w:sz w:val="16"/>
                        <w:u w:val="thick" w:color="5B9BD5"/>
                      </w:rPr>
                      <w:t> </w:t>
                    </w:r>
                    <w:r>
                      <w:rPr>
                        <w:rFonts w:ascii="Microsoft Sans Serif"/>
                        <w:sz w:val="16"/>
                        <w:u w:val="thick" w:color="5B9BD5"/>
                      </w:rPr>
                      <w:tab/>
                    </w:r>
                    <w:r>
                      <w:rPr>
                        <w:rFonts w:ascii="Microsoft Sans Serif"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6"/>
                      </w:rPr>
                      <w:t>EU23</w:t>
                    </w:r>
                    <w:r>
                      <w:rPr>
                        <w:rFonts w:ascii="Microsoft Sans Serif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Microsoft Sans Serif"/>
                        <w:w w:val="80"/>
                        <w:sz w:val="16"/>
                      </w:rPr>
                      <w:t>average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69" w:lineRule="exact" w:before="62"/>
        <w:ind w:left="822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thousands</w:t>
      </w:r>
    </w:p>
    <w:p>
      <w:pPr>
        <w:spacing w:line="169" w:lineRule="exact" w:before="0"/>
        <w:ind w:left="561" w:right="0" w:firstLine="0"/>
        <w:jc w:val="left"/>
        <w:rPr>
          <w:rFonts w:ascii="Microsoft Sans Serif"/>
          <w:sz w:val="16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1242849</wp:posOffset>
            </wp:positionH>
            <wp:positionV relativeFrom="paragraph">
              <wp:posOffset>48358</wp:posOffset>
            </wp:positionV>
            <wp:extent cx="5296555" cy="2222140"/>
            <wp:effectExtent l="0" t="0" r="0" b="0"/>
            <wp:wrapNone/>
            <wp:docPr id="1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55" cy="22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w w:val="90"/>
          <w:sz w:val="16"/>
        </w:rPr>
        <w:t>20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0"/>
        <w:ind w:left="561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18</w:t>
      </w:r>
    </w:p>
    <w:p>
      <w:pPr>
        <w:pStyle w:val="BodyText"/>
        <w:spacing w:before="3"/>
        <w:rPr>
          <w:rFonts w:ascii="Microsoft Sans Serif"/>
          <w:sz w:val="18"/>
        </w:rPr>
      </w:pPr>
    </w:p>
    <w:p>
      <w:pPr>
        <w:spacing w:before="0"/>
        <w:ind w:left="561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16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0"/>
        <w:ind w:left="561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14</w:t>
      </w:r>
    </w:p>
    <w:p>
      <w:pPr>
        <w:pStyle w:val="BodyText"/>
        <w:spacing w:before="3"/>
        <w:rPr>
          <w:rFonts w:ascii="Microsoft Sans Serif"/>
          <w:sz w:val="18"/>
        </w:rPr>
      </w:pPr>
    </w:p>
    <w:p>
      <w:pPr>
        <w:spacing w:before="0"/>
        <w:ind w:left="561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12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0"/>
        <w:ind w:left="561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10</w:t>
      </w:r>
    </w:p>
    <w:p>
      <w:pPr>
        <w:pStyle w:val="BodyText"/>
        <w:spacing w:before="3"/>
        <w:rPr>
          <w:rFonts w:ascii="Microsoft Sans Serif"/>
          <w:sz w:val="18"/>
        </w:rPr>
      </w:pP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81"/>
          <w:sz w:val="16"/>
        </w:rPr>
        <w:t>8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81"/>
          <w:sz w:val="16"/>
        </w:rPr>
        <w:t>6</w:t>
      </w: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spacing w:before="1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81"/>
          <w:sz w:val="16"/>
        </w:rPr>
        <w:t>4</w:t>
      </w: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spacing w:after="0"/>
        <w:rPr>
          <w:rFonts w:ascii="Microsoft Sans Serif"/>
          <w:sz w:val="9"/>
        </w:rPr>
        <w:sectPr>
          <w:pgSz w:w="11910" w:h="15880"/>
          <w:pgMar w:header="734" w:footer="731" w:top="1140" w:bottom="920" w:left="1120" w:right="1000"/>
        </w:sectPr>
      </w:pPr>
    </w:p>
    <w:p>
      <w:pPr>
        <w:spacing w:line="155" w:lineRule="exact" w:before="102"/>
        <w:ind w:left="0" w:right="208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81"/>
          <w:sz w:val="16"/>
        </w:rPr>
        <w:t>2</w:t>
      </w:r>
    </w:p>
    <w:p>
      <w:pPr>
        <w:spacing w:line="155" w:lineRule="exact" w:before="0"/>
        <w:ind w:left="1185" w:right="5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2010</w:t>
      </w:r>
    </w:p>
    <w:p>
      <w:pPr>
        <w:pStyle w:val="BodyText"/>
        <w:spacing w:before="5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w w:val="90"/>
          <w:sz w:val="16"/>
        </w:rPr>
        <w:t>2011</w:t>
      </w:r>
    </w:p>
    <w:p>
      <w:pPr>
        <w:pStyle w:val="BodyText"/>
        <w:spacing w:before="5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w w:val="90"/>
          <w:sz w:val="16"/>
        </w:rPr>
        <w:t>2012</w:t>
      </w:r>
    </w:p>
    <w:p>
      <w:pPr>
        <w:pStyle w:val="BodyText"/>
        <w:spacing w:before="5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w w:val="90"/>
          <w:sz w:val="16"/>
        </w:rPr>
        <w:t>2013</w:t>
      </w:r>
    </w:p>
    <w:p>
      <w:pPr>
        <w:pStyle w:val="BodyText"/>
        <w:spacing w:before="5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w w:val="90"/>
          <w:sz w:val="16"/>
        </w:rPr>
        <w:t>2014</w:t>
      </w:r>
    </w:p>
    <w:p>
      <w:pPr>
        <w:pStyle w:val="BodyText"/>
        <w:spacing w:before="5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w w:val="90"/>
          <w:sz w:val="16"/>
        </w:rPr>
        <w:t>2015</w:t>
      </w:r>
    </w:p>
    <w:p>
      <w:pPr>
        <w:pStyle w:val="BodyText"/>
        <w:spacing w:before="5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w w:val="90"/>
          <w:sz w:val="16"/>
        </w:rPr>
        <w:t>2016</w:t>
      </w:r>
    </w:p>
    <w:p>
      <w:pPr>
        <w:pStyle w:val="BodyText"/>
        <w:spacing w:before="5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before="0"/>
        <w:ind w:left="633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2017</w:t>
      </w:r>
    </w:p>
    <w:p>
      <w:pPr>
        <w:spacing w:after="0"/>
        <w:jc w:val="left"/>
        <w:rPr>
          <w:rFonts w:ascii="Microsoft Sans Serif"/>
          <w:sz w:val="16"/>
        </w:rPr>
        <w:sectPr>
          <w:type w:val="continuous"/>
          <w:pgSz w:w="11910" w:h="15880"/>
          <w:pgMar w:top="1500" w:bottom="280" w:left="1120" w:right="1000"/>
          <w:cols w:num="8" w:equalWidth="0">
            <w:col w:w="1551" w:space="77"/>
            <w:col w:w="964" w:space="76"/>
            <w:col w:w="964" w:space="77"/>
            <w:col w:w="964" w:space="78"/>
            <w:col w:w="964" w:space="77"/>
            <w:col w:w="964" w:space="77"/>
            <w:col w:w="964" w:space="77"/>
            <w:col w:w="1916"/>
          </w:cols>
        </w:sectPr>
      </w:pP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spacing w:before="103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PPP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stands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for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purchasing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power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parity.</w:t>
      </w:r>
    </w:p>
    <w:p>
      <w:pPr>
        <w:spacing w:line="256" w:lineRule="auto" w:before="17"/>
        <w:ind w:left="183" w:right="172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EU23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23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countries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that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were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also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OECD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members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end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2019.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(2021</w:t>
      </w:r>
      <w:r>
        <w:rPr>
          <w:rFonts w:ascii="Microsoft Sans Serif"/>
          <w:w w:val="80"/>
          <w:sz w:val="12"/>
        </w:rPr>
        <w:t>[29]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2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Statistics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4"/>
          <w:w w:val="80"/>
          <w:position w:val="1"/>
          <w:sz w:val="18"/>
        </w:rPr>
        <w:t> </w:t>
      </w:r>
      <w:hyperlink r:id="rId87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https://doi.org/10.1787/edu-data-en</w:t>
        </w:r>
        <w:r>
          <w:rPr>
            <w:rFonts w:ascii="Microsoft Sans Serif"/>
            <w:w w:val="80"/>
            <w:position w:val="1"/>
            <w:sz w:val="18"/>
          </w:rPr>
          <w:t>.</w:t>
        </w:r>
      </w:hyperlink>
    </w:p>
    <w:p>
      <w:pPr>
        <w:pStyle w:val="BodyText"/>
        <w:spacing w:before="10"/>
        <w:rPr>
          <w:rFonts w:ascii="Microsoft Sans Serif"/>
          <w:sz w:val="21"/>
        </w:rPr>
      </w:pPr>
    </w:p>
    <w:p>
      <w:pPr>
        <w:spacing w:before="100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131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https://doi.org/10.1787/888934279130</w:t>
        </w:r>
      </w:hyperlink>
    </w:p>
    <w:p>
      <w:pPr>
        <w:pStyle w:val="BodyText"/>
        <w:spacing w:before="1"/>
        <w:rPr>
          <w:rFonts w:ascii="Microsoft Sans Serif"/>
          <w:sz w:val="23"/>
        </w:rPr>
      </w:pPr>
    </w:p>
    <w:p>
      <w:pPr>
        <w:spacing w:line="244" w:lineRule="auto" w:before="99"/>
        <w:ind w:left="183" w:right="441" w:firstLine="0"/>
        <w:jc w:val="left"/>
        <w:rPr>
          <w:rFonts w:ascii="Arial"/>
          <w:b/>
          <w:sz w:val="24"/>
        </w:rPr>
      </w:pPr>
      <w:bookmarkStart w:name="_bookmark43" w:id="116"/>
      <w:bookmarkEnd w:id="116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3.2.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Relative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share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public,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private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international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expenditure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  <w:r>
        <w:rPr>
          <w:rFonts w:ascii="Arial"/>
          <w:b/>
          <w:color w:val="4E81BD"/>
          <w:spacing w:val="-50"/>
          <w:w w:val="80"/>
          <w:sz w:val="24"/>
        </w:rPr>
        <w:t> </w:t>
      </w:r>
      <w:r>
        <w:rPr>
          <w:rFonts w:ascii="Arial"/>
          <w:b/>
          <w:color w:val="4E81BD"/>
          <w:w w:val="85"/>
          <w:sz w:val="24"/>
        </w:rPr>
        <w:t>institutions,</w:t>
      </w:r>
      <w:r>
        <w:rPr>
          <w:rFonts w:ascii="Arial"/>
          <w:b/>
          <w:color w:val="4E81BD"/>
          <w:spacing w:val="-4"/>
          <w:w w:val="85"/>
          <w:sz w:val="24"/>
        </w:rPr>
        <w:t> </w:t>
      </w:r>
      <w:r>
        <w:rPr>
          <w:rFonts w:ascii="Arial"/>
          <w:b/>
          <w:color w:val="4E81BD"/>
          <w:w w:val="85"/>
          <w:sz w:val="24"/>
        </w:rPr>
        <w:t>by</w:t>
      </w:r>
      <w:r>
        <w:rPr>
          <w:rFonts w:ascii="Arial"/>
          <w:b/>
          <w:color w:val="4E81BD"/>
          <w:spacing w:val="-4"/>
          <w:w w:val="85"/>
          <w:sz w:val="24"/>
        </w:rPr>
        <w:t> </w:t>
      </w:r>
      <w:r>
        <w:rPr>
          <w:rFonts w:ascii="Arial"/>
          <w:b/>
          <w:color w:val="4E81BD"/>
          <w:w w:val="85"/>
          <w:sz w:val="24"/>
        </w:rPr>
        <w:t>final</w:t>
      </w:r>
      <w:r>
        <w:rPr>
          <w:rFonts w:ascii="Arial"/>
          <w:b/>
          <w:color w:val="4E81BD"/>
          <w:spacing w:val="-5"/>
          <w:w w:val="85"/>
          <w:sz w:val="24"/>
        </w:rPr>
        <w:t> </w:t>
      </w:r>
      <w:r>
        <w:rPr>
          <w:rFonts w:ascii="Arial"/>
          <w:b/>
          <w:color w:val="4E81BD"/>
          <w:w w:val="85"/>
          <w:sz w:val="24"/>
        </w:rPr>
        <w:t>source</w:t>
      </w:r>
      <w:r>
        <w:rPr>
          <w:rFonts w:ascii="Arial"/>
          <w:b/>
          <w:color w:val="4E81BD"/>
          <w:spacing w:val="-3"/>
          <w:w w:val="85"/>
          <w:sz w:val="24"/>
        </w:rPr>
        <w:t> </w:t>
      </w:r>
      <w:r>
        <w:rPr>
          <w:rFonts w:ascii="Arial"/>
          <w:b/>
          <w:color w:val="4E81BD"/>
          <w:w w:val="85"/>
          <w:sz w:val="24"/>
        </w:rPr>
        <w:t>of</w:t>
      </w:r>
      <w:r>
        <w:rPr>
          <w:rFonts w:ascii="Arial"/>
          <w:b/>
          <w:color w:val="4E81BD"/>
          <w:spacing w:val="-4"/>
          <w:w w:val="85"/>
          <w:sz w:val="24"/>
        </w:rPr>
        <w:t> </w:t>
      </w:r>
      <w:r>
        <w:rPr>
          <w:rFonts w:ascii="Arial"/>
          <w:b/>
          <w:color w:val="4E81BD"/>
          <w:w w:val="85"/>
          <w:sz w:val="24"/>
        </w:rPr>
        <w:t>funds</w:t>
      </w:r>
      <w:r>
        <w:rPr>
          <w:rFonts w:ascii="Arial"/>
          <w:b/>
          <w:color w:val="4E81BD"/>
          <w:spacing w:val="-4"/>
          <w:w w:val="85"/>
          <w:sz w:val="24"/>
        </w:rPr>
        <w:t> </w:t>
      </w:r>
      <w:r>
        <w:rPr>
          <w:rFonts w:ascii="Arial"/>
          <w:b/>
          <w:color w:val="4E81BD"/>
          <w:w w:val="85"/>
          <w:sz w:val="24"/>
        </w:rPr>
        <w:t>(2017)</w:t>
      </w:r>
    </w:p>
    <w:p>
      <w:pPr>
        <w:pStyle w:val="Heading6"/>
      </w:pPr>
      <w:r>
        <w:rPr/>
        <w:pict>
          <v:group style="position:absolute;margin-left:88.379723pt;margin-top:64.025063pt;width:418.3pt;height:183pt;mso-position-horizontal-relative:page;mso-position-vertical-relative:paragraph;z-index:15754240" coordorigin="1768,1281" coordsize="8366,3660">
            <v:shape style="position:absolute;left:1930;top:1362;width:8204;height:3578" type="#_x0000_t75" stroked="false">
              <v:imagedata r:id="rId132" o:title=""/>
            </v:shape>
            <v:shape style="position:absolute;left:1767;top:1280;width:8366;height:3660" type="#_x0000_t202" filled="false" stroked="false">
              <v:textbox inset="0,0,0,0">
                <w:txbxContent>
                  <w:p>
                    <w:pPr>
                      <w:spacing w:before="8"/>
                      <w:ind w:left="0" w:right="8057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85"/>
                        <w:sz w:val="14"/>
                      </w:rPr>
                      <w:t>100%</w:t>
                    </w:r>
                  </w:p>
                  <w:p>
                    <w:pPr>
                      <w:spacing w:before="128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90%</w:t>
                    </w:r>
                  </w:p>
                  <w:p>
                    <w:pPr>
                      <w:spacing w:before="127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80%</w:t>
                    </w:r>
                  </w:p>
                  <w:p>
                    <w:pPr>
                      <w:spacing w:before="127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70%</w:t>
                    </w:r>
                  </w:p>
                  <w:p>
                    <w:pPr>
                      <w:spacing w:before="127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60%</w:t>
                    </w:r>
                  </w:p>
                  <w:p>
                    <w:pPr>
                      <w:spacing w:before="127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50%</w:t>
                    </w:r>
                  </w:p>
                  <w:p>
                    <w:pPr>
                      <w:spacing w:before="128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40%</w:t>
                    </w:r>
                  </w:p>
                  <w:p>
                    <w:pPr>
                      <w:spacing w:before="127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30%</w:t>
                    </w:r>
                  </w:p>
                  <w:p>
                    <w:pPr>
                      <w:spacing w:before="127"/>
                      <w:ind w:left="0" w:right="8059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20%</w:t>
                    </w:r>
                  </w:p>
                  <w:p>
                    <w:pPr>
                      <w:spacing w:before="127"/>
                      <w:ind w:left="0" w:right="8058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10%</w:t>
                    </w:r>
                  </w:p>
                  <w:p>
                    <w:pPr>
                      <w:spacing w:before="128"/>
                      <w:ind w:left="0" w:right="8056" w:firstLine="0"/>
                      <w:jc w:val="righ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5"/>
                        <w:sz w:val="14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</w:rPr>
        <w:t>After</w:t>
      </w:r>
      <w:r>
        <w:rPr>
          <w:spacing w:val="12"/>
          <w:w w:val="80"/>
        </w:rPr>
        <w:t> </w:t>
      </w:r>
      <w:r>
        <w:rPr>
          <w:w w:val="80"/>
        </w:rPr>
        <w:t>transfers</w:t>
      </w:r>
      <w:r>
        <w:rPr>
          <w:spacing w:val="13"/>
          <w:w w:val="80"/>
        </w:rPr>
        <w:t> </w:t>
      </w:r>
      <w:r>
        <w:rPr>
          <w:w w:val="80"/>
        </w:rPr>
        <w:t>between</w:t>
      </w:r>
      <w:r>
        <w:rPr>
          <w:spacing w:val="12"/>
          <w:w w:val="80"/>
        </w:rPr>
        <w:t> </w:t>
      </w:r>
      <w:r>
        <w:rPr>
          <w:w w:val="80"/>
        </w:rPr>
        <w:t>public</w:t>
      </w:r>
      <w:r>
        <w:rPr>
          <w:spacing w:val="7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private</w:t>
      </w:r>
      <w:r>
        <w:rPr>
          <w:spacing w:val="10"/>
          <w:w w:val="80"/>
        </w:rPr>
        <w:t> </w:t>
      </w:r>
      <w:r>
        <w:rPr>
          <w:w w:val="80"/>
        </w:rPr>
        <w:t>sectors</w:t>
      </w:r>
    </w:p>
    <w:p>
      <w:pPr>
        <w:pStyle w:val="BodyText"/>
        <w:spacing w:before="9"/>
        <w:rPr>
          <w:rFonts w:ascii="Microsoft Sans Serif"/>
          <w:sz w:val="21"/>
        </w:rPr>
      </w:pPr>
      <w:r>
        <w:rPr/>
        <w:pict>
          <v:group style="position:absolute;margin-left:128.989334pt;margin-top:14.317852pt;width:359pt;height:28.05pt;mso-position-horizontal-relative:page;mso-position-vertical-relative:paragraph;z-index:-15704064;mso-wrap-distance-left:0;mso-wrap-distance-right:0" coordorigin="2580,286" coordsize="7180,561">
            <v:shape style="position:absolute;left:2579;top:286;width:7180;height:561" type="#_x0000_t75" stroked="false">
              <v:imagedata r:id="rId133" o:title=""/>
            </v:shape>
            <v:shape style="position:absolute;left:3046;top:289;width:2836;height:54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85"/>
                        <w:sz w:val="14"/>
                      </w:rPr>
                      <w:t>Public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sources</w:t>
                    </w:r>
                  </w:p>
                  <w:p>
                    <w:pPr>
                      <w:spacing w:line="283" w:lineRule="auto" w:before="24"/>
                      <w:ind w:left="0" w:right="3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85"/>
                        <w:sz w:val="14"/>
                      </w:rPr>
                      <w:t>Private sources (expenditure by other private entities)</w:t>
                    </w:r>
                    <w:r>
                      <w:rPr>
                        <w:rFonts w:ascii="Microsoft Sans Serif"/>
                        <w:spacing w:val="-29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4"/>
                      </w:rPr>
                      <w:t>International</w:t>
                    </w:r>
                    <w:r>
                      <w:rPr>
                        <w:rFonts w:ascii="Microsoft Sans Serif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4"/>
                      </w:rPr>
                      <w:t>sources</w:t>
                    </w:r>
                  </w:p>
                </w:txbxContent>
              </v:textbox>
              <w10:wrap type="none"/>
            </v:shape>
            <v:shape style="position:absolute;left:6636;top:289;width:2158;height:35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85"/>
                        <w:sz w:val="14"/>
                      </w:rPr>
                      <w:t>Private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sources</w:t>
                    </w:r>
                    <w:r>
                      <w:rPr>
                        <w:rFonts w:ascii="Microsoft Sans Serif"/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(household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expenditure)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85"/>
                        <w:sz w:val="14"/>
                      </w:rPr>
                      <w:t>Private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sources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(all)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21"/>
        </w:rPr>
        <w:sectPr>
          <w:type w:val="continuous"/>
          <w:pgSz w:w="11910" w:h="15880"/>
          <w:pgMar w:top="1500" w:bottom="280" w:left="1120" w:right="1000"/>
        </w:sectPr>
      </w:pPr>
    </w:p>
    <w:p>
      <w:pPr>
        <w:spacing w:line="259" w:lineRule="auto" w:before="174"/>
        <w:ind w:left="183" w:right="304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 Public expenditure figures presented here exclude undistributed programmes. Private expenditure figures include tuition fee loans and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5"/>
          <w:sz w:val="18"/>
        </w:rPr>
        <w:t>scholarships (subsidies attributable to payments to educational institutions received from public sources). Loan repayments from private</w:t>
      </w:r>
      <w:r>
        <w:rPr>
          <w:rFonts w:ascii="Microsoft Sans Serif"/>
          <w:spacing w:val="1"/>
          <w:w w:val="85"/>
          <w:sz w:val="18"/>
        </w:rPr>
        <w:t> </w:t>
      </w:r>
      <w:r>
        <w:rPr>
          <w:rFonts w:ascii="Microsoft Sans Serif"/>
          <w:w w:val="80"/>
          <w:sz w:val="18"/>
        </w:rPr>
        <w:t>individuals are not taken into account, and so the private contribution to education costs may be under-represented. See the source for more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90"/>
          <w:sz w:val="18"/>
        </w:rPr>
        <w:t>information.</w:t>
      </w:r>
    </w:p>
    <w:p>
      <w:pPr>
        <w:spacing w:line="259" w:lineRule="auto" w:before="0"/>
        <w:ind w:left="183" w:right="172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EU23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23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countries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that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were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also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OECD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members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end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2019.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90"/>
          <w:sz w:val="18"/>
        </w:rPr>
        <w:t>Colombia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and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Costa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Rica: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Year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of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reference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2018.</w:t>
      </w:r>
    </w:p>
    <w:p>
      <w:pPr>
        <w:spacing w:line="203" w:lineRule="exact" w:before="0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Information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on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data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for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Israel:</w:t>
      </w:r>
      <w:r>
        <w:rPr>
          <w:rFonts w:ascii="Microsoft Sans Serif"/>
          <w:spacing w:val="14"/>
          <w:w w:val="80"/>
          <w:sz w:val="18"/>
        </w:rPr>
        <w:t> </w:t>
      </w:r>
      <w:hyperlink r:id="rId134">
        <w:r>
          <w:rPr>
            <w:rFonts w:ascii="Microsoft Sans Serif"/>
            <w:color w:val="0000FF"/>
            <w:w w:val="80"/>
            <w:sz w:val="18"/>
            <w:u w:val="single" w:color="0000FF"/>
          </w:rPr>
          <w:t>https://oe.cd/israel-disclaimer</w:t>
        </w:r>
        <w:r>
          <w:rPr>
            <w:rFonts w:ascii="Microsoft Sans Serif"/>
            <w:w w:val="80"/>
            <w:sz w:val="18"/>
          </w:rPr>
          <w:t>.</w:t>
        </w:r>
      </w:hyperlink>
    </w:p>
    <w:p>
      <w:pPr>
        <w:spacing w:before="14"/>
        <w:ind w:left="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2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[27]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at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Glance</w:t>
      </w:r>
      <w:r>
        <w:rPr>
          <w:rFonts w:ascii="Arial"/>
          <w:i/>
          <w:spacing w:val="12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2020:</w:t>
      </w:r>
      <w:r>
        <w:rPr>
          <w:rFonts w:ascii="Arial"/>
          <w:i/>
          <w:spacing w:val="11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Indicators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7"/>
          <w:w w:val="80"/>
          <w:position w:val="1"/>
          <w:sz w:val="18"/>
        </w:rPr>
        <w:t> </w:t>
      </w:r>
      <w:hyperlink r:id="rId74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https://doi.org/10.1787/69096873-en</w:t>
        </w:r>
        <w:r>
          <w:rPr>
            <w:rFonts w:ascii="Microsoft Sans Serif"/>
            <w:w w:val="80"/>
            <w:position w:val="1"/>
            <w:sz w:val="18"/>
          </w:rPr>
          <w:t>,</w:t>
        </w:r>
        <w:r>
          <w:rPr>
            <w:rFonts w:ascii="Microsoft Sans Serif"/>
            <w:spacing w:val="16"/>
            <w:w w:val="80"/>
            <w:position w:val="1"/>
            <w:sz w:val="18"/>
          </w:rPr>
          <w:t> </w:t>
        </w:r>
      </w:hyperlink>
      <w:r>
        <w:rPr>
          <w:rFonts w:ascii="Microsoft Sans Serif"/>
          <w:w w:val="80"/>
          <w:position w:val="1"/>
          <w:sz w:val="18"/>
        </w:rPr>
        <w:t>Table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C3.1.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99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135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https://doi.org/10.1787/888934279149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71" w:lineRule="auto" w:before="93"/>
        <w:ind w:left="183" w:right="302"/>
        <w:jc w:val="both"/>
      </w:pPr>
      <w:r>
        <w:rPr/>
        <w:t>Private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HEIs.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excluding</w:t>
      </w:r>
      <w:r>
        <w:rPr>
          <w:spacing w:val="1"/>
        </w:rPr>
        <w:t> </w:t>
      </w:r>
      <w:r>
        <w:rPr/>
        <w:t>household expenditures account for a relatively high share (14%) of current HEI revenues, significantly</w:t>
      </w:r>
      <w:r>
        <w:rPr>
          <w:spacing w:val="1"/>
        </w:rPr>
        <w:t> </w:t>
      </w:r>
      <w:r>
        <w:rPr/>
        <w:t>above the OECD average of 9%. Given that 29% of HEI revenues come from private sources, both in the</w:t>
      </w:r>
      <w:r>
        <w:rPr>
          <w:spacing w:val="-53"/>
        </w:rPr>
        <w:t> </w:t>
      </w:r>
      <w:r>
        <w:rPr/>
        <w:t>Slovak Republic and on average across OECD countries, the main difference lies in the repartition</w:t>
      </w:r>
      <w:r>
        <w:rPr>
          <w:spacing w:val="1"/>
        </w:rPr>
        <w:t> </w:t>
      </w:r>
      <w:r>
        <w:rPr/>
        <w:t>between private funds coming from households and from third parties: 21% of HEI revenues come from</w:t>
      </w:r>
      <w:r>
        <w:rPr>
          <w:spacing w:val="1"/>
        </w:rPr>
        <w:t> </w:t>
      </w:r>
      <w:r>
        <w:rPr>
          <w:position w:val="1"/>
        </w:rPr>
        <w:t>households</w:t>
      </w:r>
      <w:r>
        <w:rPr>
          <w:spacing w:val="-9"/>
          <w:position w:val="1"/>
        </w:rPr>
        <w:t> </w:t>
      </w:r>
      <w:r>
        <w:rPr>
          <w:position w:val="1"/>
        </w:rPr>
        <w:t>in</w:t>
      </w:r>
      <w:r>
        <w:rPr>
          <w:spacing w:val="-10"/>
          <w:position w:val="1"/>
        </w:rPr>
        <w:t> </w:t>
      </w:r>
      <w:r>
        <w:rPr>
          <w:position w:val="1"/>
        </w:rPr>
        <w:t>OECD</w:t>
      </w:r>
      <w:r>
        <w:rPr>
          <w:spacing w:val="-8"/>
          <w:position w:val="1"/>
        </w:rPr>
        <w:t> </w:t>
      </w:r>
      <w:r>
        <w:rPr>
          <w:position w:val="1"/>
        </w:rPr>
        <w:t>countries,</w:t>
      </w:r>
      <w:r>
        <w:rPr>
          <w:spacing w:val="-7"/>
          <w:position w:val="1"/>
        </w:rPr>
        <w:t> </w:t>
      </w:r>
      <w:r>
        <w:rPr>
          <w:position w:val="1"/>
        </w:rPr>
        <w:t>above</w:t>
      </w:r>
      <w:r>
        <w:rPr>
          <w:spacing w:val="-9"/>
          <w:position w:val="1"/>
        </w:rPr>
        <w:t> </w:t>
      </w:r>
      <w:r>
        <w:rPr>
          <w:position w:val="1"/>
        </w:rPr>
        <w:t>the</w:t>
      </w:r>
      <w:r>
        <w:rPr>
          <w:spacing w:val="-10"/>
          <w:position w:val="1"/>
        </w:rPr>
        <w:t> </w:t>
      </w:r>
      <w:r>
        <w:rPr>
          <w:position w:val="1"/>
        </w:rPr>
        <w:t>Slovak</w:t>
      </w:r>
      <w:r>
        <w:rPr>
          <w:spacing w:val="-7"/>
          <w:position w:val="1"/>
        </w:rPr>
        <w:t> </w:t>
      </w:r>
      <w:r>
        <w:rPr>
          <w:position w:val="1"/>
        </w:rPr>
        <w:t>average</w:t>
      </w:r>
      <w:r>
        <w:rPr>
          <w:spacing w:val="-7"/>
          <w:position w:val="1"/>
        </w:rPr>
        <w:t> </w:t>
      </w:r>
      <w:r>
        <w:rPr>
          <w:position w:val="1"/>
        </w:rPr>
        <w:t>of</w:t>
      </w:r>
      <w:r>
        <w:rPr>
          <w:spacing w:val="-8"/>
          <w:position w:val="1"/>
        </w:rPr>
        <w:t> </w:t>
      </w:r>
      <w:r>
        <w:rPr>
          <w:position w:val="1"/>
        </w:rPr>
        <w:t>15%</w:t>
      </w:r>
      <w:r>
        <w:rPr>
          <w:spacing w:val="-6"/>
          <w:position w:val="1"/>
        </w:rPr>
        <w:t> </w:t>
      </w:r>
      <w:r>
        <w:rPr>
          <w:position w:val="1"/>
        </w:rPr>
        <w:t>(OECD,</w:t>
      </w:r>
      <w:r>
        <w:rPr>
          <w:spacing w:val="-6"/>
          <w:position w:val="1"/>
        </w:rPr>
        <w:t> </w:t>
      </w:r>
      <w:r>
        <w:rPr>
          <w:position w:val="1"/>
        </w:rPr>
        <w:t>2020,</w:t>
      </w:r>
      <w:r>
        <w:rPr>
          <w:spacing w:val="-7"/>
          <w:position w:val="1"/>
        </w:rPr>
        <w:t> </w:t>
      </w:r>
      <w:r>
        <w:rPr>
          <w:position w:val="1"/>
        </w:rPr>
        <w:t>pp.</w:t>
      </w:r>
      <w:r>
        <w:rPr>
          <w:spacing w:val="-4"/>
          <w:position w:val="1"/>
        </w:rPr>
        <w:t> </w:t>
      </w:r>
      <w:r>
        <w:rPr>
          <w:position w:val="1"/>
        </w:rPr>
        <w:t>299,</w:t>
      </w:r>
      <w:r>
        <w:rPr>
          <w:spacing w:val="-10"/>
          <w:position w:val="1"/>
        </w:rPr>
        <w:t> </w:t>
      </w:r>
      <w:r>
        <w:rPr>
          <w:position w:val="1"/>
        </w:rPr>
        <w:t>Figure</w:t>
      </w:r>
      <w:r>
        <w:rPr>
          <w:spacing w:val="-9"/>
          <w:position w:val="1"/>
        </w:rPr>
        <w:t> </w:t>
      </w:r>
      <w:r>
        <w:rPr>
          <w:position w:val="1"/>
        </w:rPr>
        <w:t>C3.2</w:t>
      </w:r>
      <w:r>
        <w:rPr>
          <w:sz w:val="13"/>
        </w:rPr>
        <w:t>[27]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/>
        <w:t>Universities with a technical orientation in particular attract funding from private companies by providing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as part</w:t>
      </w:r>
      <w:r>
        <w:rPr>
          <w:spacing w:val="-1"/>
        </w:rPr>
        <w:t> </w:t>
      </w:r>
      <w:r>
        <w:rPr/>
        <w:t>of university-industry</w:t>
      </w:r>
      <w:r>
        <w:rPr>
          <w:spacing w:val="-2"/>
        </w:rPr>
        <w:t> </w:t>
      </w:r>
      <w:r>
        <w:rPr/>
        <w:t>partnerships.</w:t>
      </w:r>
    </w:p>
    <w:p>
      <w:pPr>
        <w:pStyle w:val="BodyText"/>
        <w:spacing w:line="271" w:lineRule="auto" w:before="123"/>
        <w:ind w:left="183" w:right="299"/>
        <w:jc w:val="both"/>
      </w:pPr>
      <w:r>
        <w:rPr/>
        <w:t>Similarly to one-third of OECD countries, public HEIs in the Slovak Republic do not charge tuition fees to</w:t>
      </w:r>
      <w:r>
        <w:rPr>
          <w:spacing w:val="1"/>
        </w:rPr>
        <w:t> </w:t>
      </w:r>
      <w:r>
        <w:rPr>
          <w:position w:val="1"/>
        </w:rPr>
        <w:t>domestic full-time students (OECD, 2020</w:t>
      </w:r>
      <w:r>
        <w:rPr>
          <w:sz w:val="13"/>
        </w:rPr>
        <w:t>[27]</w:t>
      </w:r>
      <w:r>
        <w:rPr>
          <w:position w:val="1"/>
        </w:rPr>
        <w:t>). They are allowed to charge tuition fees within a framework</w:t>
      </w:r>
      <w:r>
        <w:rPr>
          <w:spacing w:val="1"/>
          <w:position w:val="1"/>
        </w:rPr>
        <w:t> </w:t>
      </w:r>
      <w:r>
        <w:rPr>
          <w:spacing w:val="-1"/>
        </w:rPr>
        <w:t>defined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MoE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specific</w:t>
      </w:r>
      <w:r>
        <w:rPr>
          <w:spacing w:val="-10"/>
        </w:rPr>
        <w:t> </w:t>
      </w:r>
      <w:r>
        <w:rPr>
          <w:spacing w:val="-1"/>
        </w:rPr>
        <w:t>groups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students,</w:t>
      </w:r>
      <w:r>
        <w:rPr>
          <w:spacing w:val="-9"/>
        </w:rPr>
        <w:t> </w:t>
      </w:r>
      <w:r>
        <w:rPr>
          <w:spacing w:val="-1"/>
        </w:rPr>
        <w:t>including</w:t>
      </w:r>
      <w:r>
        <w:rPr>
          <w:spacing w:val="-12"/>
        </w:rPr>
        <w:t> </w:t>
      </w:r>
      <w:r>
        <w:rPr/>
        <w:t>international</w:t>
      </w:r>
      <w:r>
        <w:rPr>
          <w:spacing w:val="-12"/>
        </w:rPr>
        <w:t> </w:t>
      </w:r>
      <w:r>
        <w:rPr/>
        <w:t>students,</w:t>
      </w:r>
      <w:r>
        <w:rPr>
          <w:spacing w:val="-11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prolonging</w:t>
      </w:r>
      <w:r>
        <w:rPr>
          <w:spacing w:val="-10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part-time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sizeable</w:t>
      </w:r>
      <w:r>
        <w:rPr>
          <w:spacing w:val="1"/>
        </w:rPr>
        <w:t> </w:t>
      </w:r>
      <w:r>
        <w:rPr/>
        <w:t>population: in 2019, part-time students represented approximately 20% of students in public HEIs (CVTI,</w:t>
      </w:r>
      <w:r>
        <w:rPr>
          <w:spacing w:val="1"/>
        </w:rPr>
        <w:t> </w:t>
      </w:r>
      <w:r>
        <w:rPr>
          <w:position w:val="1"/>
        </w:rPr>
        <w:t>2021</w:t>
      </w:r>
      <w:r>
        <w:rPr>
          <w:sz w:val="13"/>
        </w:rPr>
        <w:t>[30]</w:t>
      </w:r>
      <w:r>
        <w:rPr>
          <w:position w:val="1"/>
        </w:rPr>
        <w:t>). Students are also charged small additional fees – on average USD 62 converted in purchasing</w:t>
      </w:r>
      <w:r>
        <w:rPr>
          <w:spacing w:val="1"/>
          <w:position w:val="1"/>
        </w:rPr>
        <w:t> </w:t>
      </w:r>
      <w:r>
        <w:rPr>
          <w:position w:val="1"/>
        </w:rPr>
        <w:t>power</w:t>
      </w:r>
      <w:r>
        <w:rPr>
          <w:spacing w:val="1"/>
          <w:position w:val="1"/>
        </w:rPr>
        <w:t> </w:t>
      </w:r>
      <w:r>
        <w:rPr>
          <w:position w:val="1"/>
        </w:rPr>
        <w:t>parities</w:t>
      </w:r>
      <w:r>
        <w:rPr>
          <w:spacing w:val="1"/>
          <w:position w:val="1"/>
        </w:rPr>
        <w:t> </w:t>
      </w:r>
      <w:r>
        <w:rPr>
          <w:position w:val="1"/>
        </w:rPr>
        <w:t>(PPPs)</w:t>
      </w:r>
      <w:r>
        <w:rPr>
          <w:spacing w:val="1"/>
          <w:position w:val="1"/>
        </w:rPr>
        <w:t> </w:t>
      </w:r>
      <w:r>
        <w:rPr>
          <w:position w:val="1"/>
        </w:rPr>
        <w:t>for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year</w:t>
      </w:r>
      <w:r>
        <w:rPr>
          <w:spacing w:val="1"/>
          <w:position w:val="1"/>
        </w:rPr>
        <w:t> </w:t>
      </w:r>
      <w:r>
        <w:rPr>
          <w:position w:val="1"/>
        </w:rPr>
        <w:t>2017/18</w:t>
      </w:r>
      <w:r>
        <w:rPr>
          <w:spacing w:val="1"/>
          <w:position w:val="1"/>
        </w:rPr>
        <w:t> </w:t>
      </w:r>
      <w:r>
        <w:rPr>
          <w:position w:val="1"/>
        </w:rPr>
        <w:t>(OECD,</w:t>
      </w:r>
      <w:r>
        <w:rPr>
          <w:spacing w:val="1"/>
          <w:position w:val="1"/>
        </w:rPr>
        <w:t> </w:t>
      </w:r>
      <w:r>
        <w:rPr>
          <w:position w:val="1"/>
        </w:rPr>
        <w:t>2020,</w:t>
      </w:r>
      <w:r>
        <w:rPr>
          <w:spacing w:val="1"/>
          <w:position w:val="1"/>
        </w:rPr>
        <w:t> </w:t>
      </w:r>
      <w:r>
        <w:rPr>
          <w:position w:val="1"/>
        </w:rPr>
        <w:t>pp. 331,</w:t>
      </w:r>
      <w:r>
        <w:rPr>
          <w:spacing w:val="1"/>
          <w:position w:val="1"/>
        </w:rPr>
        <w:t> </w:t>
      </w:r>
      <w:r>
        <w:rPr>
          <w:position w:val="1"/>
        </w:rPr>
        <w:t>Figure</w:t>
      </w:r>
      <w:r>
        <w:rPr>
          <w:spacing w:val="1"/>
          <w:position w:val="1"/>
        </w:rPr>
        <w:t> </w:t>
      </w:r>
      <w:r>
        <w:rPr>
          <w:position w:val="1"/>
        </w:rPr>
        <w:t>C5.6</w:t>
      </w:r>
      <w:r>
        <w:rPr>
          <w:sz w:val="13"/>
        </w:rPr>
        <w:t>[27]</w:t>
      </w:r>
      <w:r>
        <w:rPr>
          <w:position w:val="1"/>
        </w:rPr>
        <w:t>),</w:t>
      </w:r>
      <w:r>
        <w:rPr>
          <w:spacing w:val="1"/>
          <w:position w:val="1"/>
        </w:rPr>
        <w:t> </w:t>
      </w:r>
      <w:r>
        <w:rPr>
          <w:position w:val="1"/>
        </w:rPr>
        <w:t>related</w:t>
      </w:r>
      <w:r>
        <w:rPr>
          <w:spacing w:val="1"/>
          <w:position w:val="1"/>
        </w:rPr>
        <w:t> </w:t>
      </w:r>
      <w:r>
        <w:rPr>
          <w:position w:val="1"/>
        </w:rPr>
        <w:t>to</w:t>
      </w:r>
      <w:r>
        <w:rPr>
          <w:spacing w:val="1"/>
          <w:position w:val="1"/>
        </w:rPr>
        <w:t> </w:t>
      </w:r>
      <w:r>
        <w:rPr/>
        <w:t>administration,</w:t>
      </w:r>
      <w:r>
        <w:rPr>
          <w:spacing w:val="-1"/>
        </w:rPr>
        <w:t> </w:t>
      </w:r>
      <w:r>
        <w:rPr/>
        <w:t>registration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</w:t>
      </w:r>
      <w:r>
        <w:rPr>
          <w:spacing w:val="-1"/>
        </w:rPr>
        <w:t> </w:t>
      </w:r>
      <w:r>
        <w:rPr/>
        <w:t>union</w:t>
      </w:r>
      <w:r>
        <w:rPr>
          <w:spacing w:val="-2"/>
        </w:rPr>
        <w:t> </w:t>
      </w:r>
      <w:r>
        <w:rPr/>
        <w:t>membership.</w:t>
      </w:r>
    </w:p>
    <w:p>
      <w:pPr>
        <w:pStyle w:val="BodyText"/>
        <w:spacing w:line="271" w:lineRule="auto" w:before="122"/>
        <w:ind w:left="183" w:right="303"/>
        <w:jc w:val="both"/>
      </w:pPr>
      <w:r>
        <w:rPr/>
        <w:t>Independent</w:t>
      </w:r>
      <w:r>
        <w:rPr>
          <w:spacing w:val="-7"/>
        </w:rPr>
        <w:t> </w:t>
      </w:r>
      <w:r>
        <w:rPr/>
        <w:t>private</w:t>
      </w:r>
      <w:r>
        <w:rPr>
          <w:spacing w:val="-9"/>
        </w:rPr>
        <w:t> </w:t>
      </w:r>
      <w:r>
        <w:rPr/>
        <w:t>HEIs</w:t>
      </w:r>
      <w:r>
        <w:rPr>
          <w:spacing w:val="-8"/>
        </w:rPr>
        <w:t> </w:t>
      </w:r>
      <w:r>
        <w:rPr/>
        <w:t>operate</w:t>
      </w:r>
      <w:r>
        <w:rPr>
          <w:spacing w:val="-9"/>
        </w:rPr>
        <w:t> </w:t>
      </w:r>
      <w:r>
        <w:rPr/>
        <w:t>solely</w:t>
      </w:r>
      <w:r>
        <w:rPr>
          <w:spacing w:val="-10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students’</w:t>
      </w:r>
      <w:r>
        <w:rPr>
          <w:spacing w:val="-10"/>
        </w:rPr>
        <w:t> </w:t>
      </w:r>
      <w:r>
        <w:rPr/>
        <w:t>tuition</w:t>
      </w:r>
      <w:r>
        <w:rPr>
          <w:spacing w:val="-9"/>
        </w:rPr>
        <w:t> </w:t>
      </w:r>
      <w:r>
        <w:rPr/>
        <w:t>fees,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</w:t>
      </w:r>
      <w:r>
        <w:rPr>
          <w:spacing w:val="-9"/>
        </w:rPr>
        <w:t> </w:t>
      </w:r>
      <w:r>
        <w:rPr/>
        <w:t>charge</w:t>
      </w:r>
      <w:r>
        <w:rPr>
          <w:spacing w:val="-9"/>
        </w:rPr>
        <w:t> </w:t>
      </w:r>
      <w:r>
        <w:rPr/>
        <w:t>freely.</w:t>
      </w:r>
      <w:r>
        <w:rPr>
          <w:spacing w:val="-9"/>
        </w:rPr>
        <w:t> </w:t>
      </w:r>
      <w:r>
        <w:rPr/>
        <w:t>For</w:t>
      </w:r>
      <w:r>
        <w:rPr>
          <w:spacing w:val="1"/>
        </w:rPr>
        <w:t> </w:t>
      </w:r>
      <w:r>
        <w:rPr/>
        <w:t>the year 2017/18, private HEIs charged on average USD 2 059 in converted in PPPs annually for a</w:t>
      </w:r>
      <w:r>
        <w:rPr>
          <w:spacing w:val="1"/>
        </w:rPr>
        <w:t> </w:t>
      </w:r>
      <w:r>
        <w:rPr/>
        <w:t>bachelor’s degree and USD 2 464 converted in PPPs for a master’s degree for national full-time students</w:t>
      </w:r>
      <w:r>
        <w:rPr>
          <w:spacing w:val="-53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2020,</w:t>
      </w:r>
      <w:r>
        <w:rPr>
          <w:spacing w:val="1"/>
          <w:position w:val="1"/>
        </w:rPr>
        <w:t> </w:t>
      </w:r>
      <w:r>
        <w:rPr>
          <w:position w:val="1"/>
        </w:rPr>
        <w:t>pp.</w:t>
      </w:r>
      <w:r>
        <w:rPr>
          <w:spacing w:val="2"/>
          <w:position w:val="1"/>
        </w:rPr>
        <w:t> </w:t>
      </w:r>
      <w:r>
        <w:rPr>
          <w:position w:val="1"/>
        </w:rPr>
        <w:t>333,</w:t>
      </w:r>
      <w:r>
        <w:rPr>
          <w:spacing w:val="-2"/>
          <w:position w:val="1"/>
        </w:rPr>
        <w:t> </w:t>
      </w:r>
      <w:r>
        <w:rPr>
          <w:position w:val="1"/>
        </w:rPr>
        <w:t>Table</w:t>
      </w:r>
      <w:r>
        <w:rPr>
          <w:spacing w:val="-1"/>
          <w:position w:val="1"/>
        </w:rPr>
        <w:t> </w:t>
      </w:r>
      <w:r>
        <w:rPr>
          <w:position w:val="1"/>
        </w:rPr>
        <w:t>C5.1</w:t>
      </w:r>
      <w:r>
        <w:rPr>
          <w:sz w:val="13"/>
        </w:rPr>
        <w:t>[27]</w:t>
      </w:r>
      <w:r>
        <w:rPr>
          <w:position w:val="1"/>
        </w:rPr>
        <w:t>).</w:t>
      </w:r>
    </w:p>
    <w:p>
      <w:pPr>
        <w:pStyle w:val="BodyText"/>
      </w:pPr>
    </w:p>
    <w:p>
      <w:pPr>
        <w:pStyle w:val="Heading7"/>
      </w:pPr>
      <w:bookmarkStart w:name="Uses of funding" w:id="117"/>
      <w:bookmarkEnd w:id="117"/>
      <w:r>
        <w:rPr>
          <w:i w:val="0"/>
        </w:rPr>
      </w:r>
      <w:r>
        <w:rPr>
          <w:color w:val="616161"/>
        </w:rPr>
        <w:t>Uses</w:t>
      </w:r>
      <w:r>
        <w:rPr>
          <w:color w:val="616161"/>
          <w:spacing w:val="-3"/>
        </w:rPr>
        <w:t> </w:t>
      </w:r>
      <w:r>
        <w:rPr>
          <w:color w:val="616161"/>
        </w:rPr>
        <w:t>of</w:t>
      </w:r>
      <w:r>
        <w:rPr>
          <w:color w:val="616161"/>
          <w:spacing w:val="-2"/>
        </w:rPr>
        <w:t> </w:t>
      </w:r>
      <w:r>
        <w:rPr>
          <w:color w:val="616161"/>
        </w:rPr>
        <w:t>funding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funding</w:t>
      </w:r>
      <w:r>
        <w:rPr>
          <w:spacing w:val="-8"/>
        </w:rPr>
        <w:t> </w:t>
      </w:r>
      <w:r>
        <w:rPr/>
        <w:t>supports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range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core</w:t>
      </w:r>
      <w:r>
        <w:rPr>
          <w:spacing w:val="-6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costs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-10"/>
        </w:rPr>
        <w:t> </w:t>
      </w:r>
      <w:r>
        <w:rPr>
          <w:spacing w:val="-1"/>
        </w:rPr>
        <w:t>services</w:t>
      </w:r>
      <w:r>
        <w:rPr>
          <w:spacing w:val="-12"/>
        </w:rPr>
        <w:t> </w:t>
      </w:r>
      <w:r>
        <w:rPr>
          <w:spacing w:val="-1"/>
        </w:rPr>
        <w:t>related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education,</w:t>
      </w:r>
      <w:r>
        <w:rPr>
          <w:spacing w:val="-11"/>
        </w:rPr>
        <w:t> </w:t>
      </w:r>
      <w:r>
        <w:rPr>
          <w:spacing w:val="-1"/>
        </w:rPr>
        <w:t>ancillary</w:t>
      </w:r>
      <w:r>
        <w:rPr>
          <w:spacing w:val="-14"/>
        </w:rPr>
        <w:t> </w:t>
      </w:r>
      <w:r>
        <w:rPr>
          <w:spacing w:val="-1"/>
        </w:rPr>
        <w:t>services</w:t>
      </w:r>
      <w:r>
        <w:rPr>
          <w:spacing w:val="-12"/>
        </w:rPr>
        <w:t> </w:t>
      </w:r>
      <w:r>
        <w:rPr>
          <w:spacing w:val="-1"/>
        </w:rPr>
        <w:t>such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housing,</w:t>
      </w:r>
      <w:r>
        <w:rPr>
          <w:spacing w:val="-11"/>
        </w:rPr>
        <w:t> </w:t>
      </w:r>
      <w:r>
        <w:rPr/>
        <w:t>transportation</w:t>
      </w:r>
      <w:r>
        <w:rPr>
          <w:spacing w:val="-10"/>
        </w:rPr>
        <w:t> </w:t>
      </w:r>
      <w:r>
        <w:rPr/>
        <w:t>or</w:t>
      </w:r>
      <w:r>
        <w:rPr>
          <w:spacing w:val="-12"/>
        </w:rPr>
        <w:t> </w:t>
      </w:r>
      <w:r>
        <w:rPr/>
        <w:t>meals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 funding for R&amp;D. In the Slovak Republic, expenditure for core services and R&amp;D is well below the</w:t>
      </w:r>
      <w:r>
        <w:rPr>
          <w:spacing w:val="1"/>
        </w:rPr>
        <w:t> </w:t>
      </w:r>
      <w:r>
        <w:rPr/>
        <w:t>OECD and EU23 average, whereas the share of funding supporting ancillary services is close to three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EU23</w:t>
      </w:r>
      <w:r>
        <w:rPr>
          <w:spacing w:val="-2"/>
        </w:rPr>
        <w:t> </w:t>
      </w:r>
      <w:r>
        <w:rPr/>
        <w:t>(</w:t>
      </w:r>
      <w:hyperlink w:history="true" w:anchor="_bookmark44">
        <w:r>
          <w:rPr/>
          <w:t>Table</w:t>
        </w:r>
        <w:r>
          <w:rPr>
            <w:spacing w:val="1"/>
          </w:rPr>
          <w:t> </w:t>
        </w:r>
        <w:r>
          <w:rPr/>
          <w:t>3.2</w:t>
        </w:r>
      </w:hyperlink>
      <w:r>
        <w:rPr/>
        <w:t>).</w:t>
      </w:r>
    </w:p>
    <w:p>
      <w:pPr>
        <w:pStyle w:val="BodyText"/>
        <w:spacing w:before="9"/>
        <w:rPr>
          <w:sz w:val="28"/>
        </w:rPr>
      </w:pPr>
    </w:p>
    <w:p>
      <w:pPr>
        <w:spacing w:line="244" w:lineRule="auto" w:before="0"/>
        <w:ind w:left="183" w:right="441" w:firstLine="0"/>
        <w:jc w:val="left"/>
        <w:rPr>
          <w:rFonts w:ascii="Arial"/>
          <w:b/>
          <w:sz w:val="24"/>
        </w:rPr>
      </w:pPr>
      <w:bookmarkStart w:name="_bookmark44" w:id="118"/>
      <w:bookmarkEnd w:id="118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3.2.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Total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expenditure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on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educational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institutions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per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full-time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equivalent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student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for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core</w:t>
      </w:r>
      <w:r>
        <w:rPr>
          <w:rFonts w:ascii="Arial"/>
          <w:b/>
          <w:color w:val="4E81BD"/>
          <w:spacing w:val="-5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educational services,</w:t>
      </w:r>
      <w:r>
        <w:rPr>
          <w:rFonts w:ascii="Arial"/>
          <w:b/>
          <w:color w:val="4E81BD"/>
          <w:spacing w:val="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ancillary</w:t>
      </w:r>
      <w:r>
        <w:rPr>
          <w:rFonts w:ascii="Arial"/>
          <w:b/>
          <w:color w:val="4E81BD"/>
          <w:spacing w:val="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services and</w:t>
      </w:r>
      <w:r>
        <w:rPr>
          <w:rFonts w:ascii="Arial"/>
          <w:b/>
          <w:color w:val="4E81BD"/>
          <w:spacing w:val="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R&amp;D</w:t>
      </w:r>
      <w:r>
        <w:rPr>
          <w:rFonts w:ascii="Arial"/>
          <w:b/>
          <w:color w:val="4E81BD"/>
          <w:spacing w:val="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(2017)</w:t>
      </w:r>
    </w:p>
    <w:p>
      <w:pPr>
        <w:pStyle w:val="Heading6"/>
        <w:spacing w:before="185"/>
      </w:pP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equivalent</w:t>
      </w:r>
      <w:r>
        <w:rPr>
          <w:spacing w:val="11"/>
          <w:w w:val="80"/>
        </w:rPr>
        <w:t> </w:t>
      </w:r>
      <w:r>
        <w:rPr>
          <w:w w:val="80"/>
        </w:rPr>
        <w:t>USD</w:t>
      </w:r>
      <w:r>
        <w:rPr>
          <w:spacing w:val="11"/>
          <w:w w:val="80"/>
        </w:rPr>
        <w:t> </w:t>
      </w:r>
      <w:r>
        <w:rPr>
          <w:w w:val="80"/>
        </w:rPr>
        <w:t>converted</w:t>
      </w:r>
      <w:r>
        <w:rPr>
          <w:spacing w:val="11"/>
          <w:w w:val="80"/>
        </w:rPr>
        <w:t> </w:t>
      </w:r>
      <w:r>
        <w:rPr>
          <w:w w:val="80"/>
        </w:rPr>
        <w:t>using</w:t>
      </w:r>
      <w:r>
        <w:rPr>
          <w:spacing w:val="11"/>
          <w:w w:val="80"/>
        </w:rPr>
        <w:t> </w:t>
      </w:r>
      <w:r>
        <w:rPr>
          <w:w w:val="80"/>
        </w:rPr>
        <w:t>PPPs</w:t>
      </w:r>
      <w:r>
        <w:rPr>
          <w:spacing w:val="13"/>
          <w:w w:val="80"/>
        </w:rPr>
        <w:t> </w:t>
      </w:r>
      <w:r>
        <w:rPr>
          <w:w w:val="80"/>
        </w:rPr>
        <w:t>for</w:t>
      </w:r>
      <w:r>
        <w:rPr>
          <w:spacing w:val="12"/>
          <w:w w:val="80"/>
        </w:rPr>
        <w:t> </w:t>
      </w:r>
      <w:r>
        <w:rPr>
          <w:w w:val="80"/>
        </w:rPr>
        <w:t>GDP,</w:t>
      </w:r>
      <w:r>
        <w:rPr>
          <w:spacing w:val="11"/>
          <w:w w:val="80"/>
        </w:rPr>
        <w:t> </w:t>
      </w:r>
      <w:r>
        <w:rPr>
          <w:w w:val="80"/>
        </w:rPr>
        <w:t>direct</w:t>
      </w:r>
      <w:r>
        <w:rPr>
          <w:spacing w:val="11"/>
          <w:w w:val="80"/>
        </w:rPr>
        <w:t> </w:t>
      </w:r>
      <w:r>
        <w:rPr>
          <w:w w:val="80"/>
        </w:rPr>
        <w:t>expenditure</w:t>
      </w:r>
      <w:r>
        <w:rPr>
          <w:spacing w:val="12"/>
          <w:w w:val="80"/>
        </w:rPr>
        <w:t> </w:t>
      </w:r>
      <w:r>
        <w:rPr>
          <w:w w:val="80"/>
        </w:rPr>
        <w:t>within</w:t>
      </w:r>
      <w:r>
        <w:rPr>
          <w:spacing w:val="9"/>
          <w:w w:val="80"/>
        </w:rPr>
        <w:t> </w:t>
      </w:r>
      <w:r>
        <w:rPr>
          <w:w w:val="80"/>
        </w:rPr>
        <w:t>educational</w:t>
      </w:r>
      <w:r>
        <w:rPr>
          <w:spacing w:val="12"/>
          <w:w w:val="80"/>
        </w:rPr>
        <w:t> </w:t>
      </w:r>
      <w:r>
        <w:rPr>
          <w:w w:val="80"/>
        </w:rPr>
        <w:t>institutions</w:t>
      </w:r>
    </w:p>
    <w:p>
      <w:pPr>
        <w:pStyle w:val="BodyText"/>
        <w:spacing w:before="3"/>
        <w:rPr>
          <w:rFonts w:ascii="Microsoft Sans Serif"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858"/>
        <w:gridCol w:w="1860"/>
        <w:gridCol w:w="1860"/>
        <w:gridCol w:w="1860"/>
      </w:tblGrid>
      <w:tr>
        <w:trPr>
          <w:trHeight w:val="239" w:hRule="atLeast"/>
        </w:trPr>
        <w:tc>
          <w:tcPr>
            <w:tcW w:w="1874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8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48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Core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services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36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Ancillary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services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73" w:lineRule="exact" w:before="46"/>
              <w:ind w:left="751" w:right="715"/>
              <w:jc w:val="center"/>
              <w:rPr>
                <w:sz w:val="16"/>
              </w:rPr>
            </w:pPr>
            <w:r>
              <w:rPr>
                <w:sz w:val="16"/>
              </w:rPr>
              <w:t>R&amp;D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73" w:lineRule="exact" w:before="46"/>
              <w:ind w:left="536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services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858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6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979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2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096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2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640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11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715</w:t>
            </w:r>
          </w:p>
        </w:tc>
      </w:tr>
      <w:tr>
        <w:trPr>
          <w:trHeight w:val="236" w:hRule="atLeast"/>
        </w:trPr>
        <w:tc>
          <w:tcPr>
            <w:tcW w:w="187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11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313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809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4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205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16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327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EU23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10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940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703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5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044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16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688</w:t>
            </w:r>
          </w:p>
        </w:tc>
      </w:tr>
    </w:tbl>
    <w:p>
      <w:pPr>
        <w:spacing w:line="256" w:lineRule="auto" w:before="131"/>
        <w:ind w:left="183" w:right="1367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EU23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refers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23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countries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that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were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also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OECD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members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end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2019.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Source: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OECD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(2020</w:t>
      </w:r>
      <w:r>
        <w:rPr>
          <w:rFonts w:ascii="Microsoft Sans Serif"/>
          <w:w w:val="80"/>
          <w:sz w:val="12"/>
        </w:rPr>
        <w:t>[27]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Education</w:t>
      </w:r>
      <w:r>
        <w:rPr>
          <w:rFonts w:ascii="Arial"/>
          <w:i/>
          <w:spacing w:val="15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at</w:t>
      </w:r>
      <w:r>
        <w:rPr>
          <w:rFonts w:ascii="Arial"/>
          <w:i/>
          <w:spacing w:val="12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</w:t>
      </w:r>
      <w:r>
        <w:rPr>
          <w:rFonts w:ascii="Arial"/>
          <w:i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Glance</w:t>
      </w:r>
      <w:r>
        <w:rPr>
          <w:rFonts w:ascii="Arial"/>
          <w:i/>
          <w:spacing w:val="12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2020:</w:t>
      </w:r>
      <w:r>
        <w:rPr>
          <w:rFonts w:ascii="Arial"/>
          <w:i/>
          <w:spacing w:val="13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OECD</w:t>
      </w:r>
      <w:r>
        <w:rPr>
          <w:rFonts w:ascii="Arial"/>
          <w:i/>
          <w:spacing w:val="15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Indicators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8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Table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C1.2,</w:t>
      </w:r>
      <w:r>
        <w:rPr>
          <w:rFonts w:ascii="Microsoft Sans Serif"/>
          <w:spacing w:val="14"/>
          <w:w w:val="80"/>
          <w:position w:val="1"/>
          <w:sz w:val="18"/>
        </w:rPr>
        <w:t> </w:t>
      </w:r>
      <w:hyperlink r:id="rId136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https://dx.doi.org/10.1787/69096873-en</w:t>
        </w:r>
        <w:r>
          <w:rPr>
            <w:rFonts w:ascii="Microsoft Sans Serif"/>
            <w:w w:val="80"/>
            <w:position w:val="1"/>
            <w:sz w:val="18"/>
          </w:rPr>
          <w:t>.</w:t>
        </w:r>
      </w:hyperlink>
    </w:p>
    <w:p>
      <w:pPr>
        <w:spacing w:after="0" w:line="256" w:lineRule="auto"/>
        <w:jc w:val="left"/>
        <w:rPr>
          <w:rFonts w:ascii="Microsoft Sans Serif"/>
          <w:sz w:val="18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Heading7"/>
        <w:spacing w:before="184"/>
      </w:pPr>
      <w:bookmarkStart w:name="Student financial aid" w:id="119"/>
      <w:bookmarkEnd w:id="119"/>
      <w:r>
        <w:rPr>
          <w:i w:val="0"/>
        </w:rPr>
      </w:r>
      <w:r>
        <w:rPr>
          <w:color w:val="616161"/>
        </w:rPr>
        <w:t>Student</w:t>
      </w:r>
      <w:r>
        <w:rPr>
          <w:color w:val="616161"/>
          <w:spacing w:val="-7"/>
        </w:rPr>
        <w:t> </w:t>
      </w:r>
      <w:r>
        <w:rPr>
          <w:color w:val="616161"/>
        </w:rPr>
        <w:t>financial</w:t>
      </w:r>
      <w:r>
        <w:rPr>
          <w:color w:val="616161"/>
          <w:spacing w:val="-6"/>
        </w:rPr>
        <w:t> </w:t>
      </w:r>
      <w:r>
        <w:rPr>
          <w:color w:val="616161"/>
        </w:rPr>
        <w:t>aid</w:t>
      </w:r>
    </w:p>
    <w:p>
      <w:pPr>
        <w:pStyle w:val="BodyText"/>
        <w:spacing w:line="271" w:lineRule="auto" w:before="214"/>
        <w:ind w:left="183" w:right="310"/>
        <w:jc w:val="both"/>
      </w:pPr>
      <w:r>
        <w:rPr/>
        <w:t>Slovak students who study on a full-time basis benefit from ancillary services provided by their institution,</w:t>
      </w:r>
      <w:r>
        <w:rPr>
          <w:spacing w:val="-53"/>
        </w:rPr>
        <w:t> </w:t>
      </w:r>
      <w:r>
        <w:rPr/>
        <w:t>such as access to dormitories, meals, transportation and family subsidies. Students may also be eligible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public financial aid,</w:t>
      </w:r>
      <w:r>
        <w:rPr>
          <w:spacing w:val="-1"/>
        </w:rPr>
        <w:t> </w:t>
      </w:r>
      <w:r>
        <w:rPr/>
        <w:t>though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limited.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The</w:t>
      </w:r>
      <w:r>
        <w:rPr>
          <w:spacing w:val="-10"/>
        </w:rPr>
        <w:t> </w:t>
      </w:r>
      <w:r>
        <w:rPr/>
        <w:t>Slovak</w:t>
      </w:r>
      <w:r>
        <w:rPr>
          <w:spacing w:val="-1"/>
        </w:rPr>
        <w:t> </w:t>
      </w:r>
      <w:r>
        <w:rPr/>
        <w:t>Republic</w:t>
      </w:r>
      <w:r>
        <w:rPr>
          <w:spacing w:val="-6"/>
        </w:rPr>
        <w:t> </w:t>
      </w:r>
      <w:r>
        <w:rPr/>
        <w:t>had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second</w:t>
      </w:r>
      <w:r>
        <w:rPr>
          <w:spacing w:val="-7"/>
        </w:rPr>
        <w:t> </w:t>
      </w:r>
      <w:r>
        <w:rPr/>
        <w:t>lowest</w:t>
      </w:r>
      <w:r>
        <w:rPr>
          <w:spacing w:val="-10"/>
        </w:rPr>
        <w:t> </w:t>
      </w:r>
      <w:r>
        <w:rPr/>
        <w:t>average</w:t>
      </w:r>
      <w:r>
        <w:rPr>
          <w:spacing w:val="-7"/>
        </w:rPr>
        <w:t> </w:t>
      </w:r>
      <w:r>
        <w:rPr/>
        <w:t>annual</w:t>
      </w:r>
      <w:r>
        <w:rPr>
          <w:spacing w:val="-8"/>
        </w:rPr>
        <w:t> </w:t>
      </w:r>
      <w:r>
        <w:rPr/>
        <w:t>amount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scholarships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grants</w:t>
      </w:r>
      <w:r>
        <w:rPr>
          <w:spacing w:val="-7"/>
        </w:rPr>
        <w:t> </w:t>
      </w:r>
      <w:r>
        <w:rPr/>
        <w:t>received</w:t>
      </w:r>
      <w:r>
        <w:rPr>
          <w:spacing w:val="-7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 in OECD countries after Estonia in the year 2017/18 at USD 410 converted using PPPs (OECD,</w:t>
      </w:r>
      <w:r>
        <w:rPr>
          <w:spacing w:val="-53"/>
        </w:rPr>
        <w:t> </w:t>
      </w:r>
      <w:r>
        <w:rPr>
          <w:position w:val="1"/>
        </w:rPr>
        <w:t>2020,</w:t>
      </w:r>
      <w:r>
        <w:rPr>
          <w:spacing w:val="-9"/>
          <w:position w:val="1"/>
        </w:rPr>
        <w:t> </w:t>
      </w:r>
      <w:r>
        <w:rPr>
          <w:position w:val="1"/>
        </w:rPr>
        <w:t>pp.</w:t>
      </w:r>
      <w:r>
        <w:rPr>
          <w:spacing w:val="-2"/>
          <w:position w:val="1"/>
        </w:rPr>
        <w:t> </w:t>
      </w:r>
      <w:r>
        <w:rPr>
          <w:position w:val="1"/>
        </w:rPr>
        <w:t>335-336,</w:t>
      </w:r>
      <w:r>
        <w:rPr>
          <w:spacing w:val="-9"/>
          <w:position w:val="1"/>
        </w:rPr>
        <w:t> </w:t>
      </w:r>
      <w:r>
        <w:rPr>
          <w:position w:val="1"/>
        </w:rPr>
        <w:t>Table</w:t>
      </w:r>
      <w:r>
        <w:rPr>
          <w:spacing w:val="-9"/>
          <w:position w:val="1"/>
        </w:rPr>
        <w:t> </w:t>
      </w:r>
      <w:r>
        <w:rPr>
          <w:position w:val="1"/>
        </w:rPr>
        <w:t>C5.3</w:t>
      </w:r>
      <w:r>
        <w:rPr>
          <w:sz w:val="13"/>
        </w:rPr>
        <w:t>[27]</w:t>
      </w:r>
      <w:r>
        <w:rPr>
          <w:position w:val="1"/>
        </w:rPr>
        <w:t>).</w:t>
      </w:r>
      <w:r>
        <w:rPr>
          <w:spacing w:val="-9"/>
          <w:position w:val="1"/>
        </w:rPr>
        <w:t> </w:t>
      </w:r>
      <w:r>
        <w:rPr>
          <w:position w:val="1"/>
        </w:rPr>
        <w:t>Grants</w:t>
      </w:r>
      <w:r>
        <w:rPr>
          <w:spacing w:val="-8"/>
          <w:position w:val="1"/>
        </w:rPr>
        <w:t> </w:t>
      </w:r>
      <w:r>
        <w:rPr>
          <w:position w:val="1"/>
        </w:rPr>
        <w:t>are</w:t>
      </w:r>
      <w:r>
        <w:rPr>
          <w:spacing w:val="-9"/>
          <w:position w:val="1"/>
        </w:rPr>
        <w:t> </w:t>
      </w:r>
      <w:r>
        <w:rPr>
          <w:position w:val="1"/>
        </w:rPr>
        <w:t>typically</w:t>
      </w:r>
      <w:r>
        <w:rPr>
          <w:spacing w:val="-9"/>
          <w:position w:val="1"/>
        </w:rPr>
        <w:t> </w:t>
      </w:r>
      <w:r>
        <w:rPr>
          <w:position w:val="1"/>
        </w:rPr>
        <w:t>means-tested</w:t>
      </w:r>
      <w:r>
        <w:rPr>
          <w:spacing w:val="-9"/>
          <w:position w:val="1"/>
        </w:rPr>
        <w:t> </w:t>
      </w:r>
      <w:r>
        <w:rPr>
          <w:position w:val="1"/>
        </w:rPr>
        <w:t>social</w:t>
      </w:r>
      <w:r>
        <w:rPr>
          <w:spacing w:val="-10"/>
          <w:position w:val="1"/>
        </w:rPr>
        <w:t> </w:t>
      </w:r>
      <w:r>
        <w:rPr>
          <w:position w:val="1"/>
        </w:rPr>
        <w:t>stipends</w:t>
      </w:r>
      <w:r>
        <w:rPr>
          <w:spacing w:val="-8"/>
          <w:position w:val="1"/>
        </w:rPr>
        <w:t> </w:t>
      </w:r>
      <w:r>
        <w:rPr>
          <w:position w:val="1"/>
        </w:rPr>
        <w:t>directly</w:t>
      </w:r>
      <w:r>
        <w:rPr>
          <w:spacing w:val="-12"/>
          <w:position w:val="1"/>
        </w:rPr>
        <w:t> </w:t>
      </w:r>
      <w:r>
        <w:rPr>
          <w:position w:val="1"/>
        </w:rPr>
        <w:t>paid</w:t>
      </w:r>
      <w:r>
        <w:rPr>
          <w:spacing w:val="-9"/>
          <w:position w:val="1"/>
        </w:rPr>
        <w:t> </w:t>
      </w:r>
      <w:r>
        <w:rPr>
          <w:position w:val="1"/>
        </w:rPr>
        <w:t>from</w:t>
      </w:r>
      <w:r>
        <w:rPr>
          <w:spacing w:val="-4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/>
        <w:t>state</w:t>
      </w:r>
      <w:r>
        <w:rPr>
          <w:spacing w:val="-7"/>
        </w:rPr>
        <w:t> </w:t>
      </w:r>
      <w:r>
        <w:rPr/>
        <w:t>budget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HEIs.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eligible,</w:t>
      </w:r>
      <w:r>
        <w:rPr>
          <w:spacing w:val="-6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should</w:t>
      </w:r>
      <w:r>
        <w:rPr>
          <w:spacing w:val="-6"/>
        </w:rPr>
        <w:t> </w:t>
      </w:r>
      <w:r>
        <w:rPr/>
        <w:t>not</w:t>
      </w:r>
      <w:r>
        <w:rPr>
          <w:spacing w:val="-9"/>
        </w:rPr>
        <w:t> </w:t>
      </w:r>
      <w:r>
        <w:rPr/>
        <w:t>exceed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length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studies,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report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progress.</w:t>
      </w:r>
      <w:r>
        <w:rPr>
          <w:spacing w:val="-3"/>
        </w:rPr>
        <w:t> </w:t>
      </w:r>
      <w:r>
        <w:rPr/>
        <w:t>Merit-based</w:t>
      </w:r>
      <w:r>
        <w:rPr>
          <w:spacing w:val="-3"/>
        </w:rPr>
        <w:t> </w:t>
      </w:r>
      <w:r>
        <w:rPr/>
        <w:t>scholarships</w:t>
      </w:r>
      <w:r>
        <w:rPr>
          <w:spacing w:val="-2"/>
        </w:rPr>
        <w:t> </w:t>
      </w:r>
      <w:r>
        <w:rPr/>
        <w:t>also exist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fields.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Public loans are also available, although they serve a limited number of students. Loan programmes</w:t>
      </w:r>
      <w:r>
        <w:rPr>
          <w:spacing w:val="1"/>
        </w:rPr>
        <w:t> </w:t>
      </w:r>
      <w:r>
        <w:rPr/>
        <w:t>include “The Fund to Support Education”, which, in its current form, was introduced in 2013.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programme provides loans to students, both full-time and part-time, and to teachers and educational</w:t>
      </w:r>
      <w:r>
        <w:rPr>
          <w:spacing w:val="1"/>
        </w:rPr>
        <w:t> </w:t>
      </w:r>
      <w:r>
        <w:rPr/>
        <w:t>professionals at different levels of education, to cover education-related expenses, including living costs.</w:t>
      </w:r>
      <w:r>
        <w:rPr>
          <w:spacing w:val="1"/>
        </w:rPr>
        <w:t> </w:t>
      </w:r>
      <w:r>
        <w:rPr/>
        <w:t>Eligibility criteria include enrolment in the Slovak Republic or in a comparable programme abroad and</w:t>
      </w:r>
      <w:r>
        <w:rPr>
          <w:spacing w:val="1"/>
        </w:rPr>
        <w:t> </w:t>
      </w:r>
      <w:r>
        <w:rPr/>
        <w:t>Slovak citizenship or long-term residency. Student loans are allocated based on family income, family</w:t>
      </w:r>
      <w:r>
        <w:rPr>
          <w:spacing w:val="1"/>
        </w:rPr>
        <w:t> </w:t>
      </w:r>
      <w:r>
        <w:rPr>
          <w:position w:val="1"/>
        </w:rPr>
        <w:t>composition and study performance (OECD, 2020, pp. 335-336, Table C5.3</w:t>
      </w:r>
      <w:r>
        <w:rPr>
          <w:sz w:val="13"/>
        </w:rPr>
        <w:t>[27]</w:t>
      </w:r>
      <w:r>
        <w:rPr>
          <w:position w:val="1"/>
        </w:rPr>
        <w:t>). According to the MoE, in</w:t>
      </w:r>
      <w:r>
        <w:rPr>
          <w:spacing w:val="-53"/>
          <w:position w:val="1"/>
        </w:rPr>
        <w:t> </w:t>
      </w:r>
      <w:r>
        <w:rPr/>
        <w:t>2019/20, 1 099 applications for loans were approved, a figure consistent with the previous year. The total</w:t>
      </w:r>
      <w:r>
        <w:rPr>
          <w:spacing w:val="-53"/>
        </w:rPr>
        <w:t> </w:t>
      </w:r>
      <w:r>
        <w:rPr/>
        <w:t>expenditure was EUR 3 520 600 (despite a total funding envelope of EUR 4.5 million), and the average</w:t>
      </w:r>
      <w:r>
        <w:rPr>
          <w:spacing w:val="1"/>
        </w:rPr>
        <w:t> </w:t>
      </w:r>
      <w:r>
        <w:rPr/>
        <w:t>amount per loan that year was EUR 3 203. From an international perspective, the average amount of</w:t>
      </w:r>
      <w:r>
        <w:rPr>
          <w:spacing w:val="1"/>
        </w:rPr>
        <w:t> </w:t>
      </w:r>
      <w:r>
        <w:rPr/>
        <w:t>student</w:t>
      </w:r>
      <w:r>
        <w:rPr>
          <w:spacing w:val="-6"/>
        </w:rPr>
        <w:t> </w:t>
      </w:r>
      <w:r>
        <w:rPr/>
        <w:t>loans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-2"/>
        </w:rPr>
        <w:t> </w:t>
      </w:r>
      <w:r>
        <w:rPr/>
        <w:t>Republic</w:t>
      </w:r>
      <w:r>
        <w:rPr>
          <w:spacing w:val="-4"/>
        </w:rPr>
        <w:t> </w:t>
      </w:r>
      <w:r>
        <w:rPr/>
        <w:t>was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third</w:t>
      </w:r>
      <w:r>
        <w:rPr>
          <w:spacing w:val="-8"/>
        </w:rPr>
        <w:t> </w:t>
      </w:r>
      <w:r>
        <w:rPr/>
        <w:t>lowest</w:t>
      </w:r>
      <w:r>
        <w:rPr>
          <w:spacing w:val="-7"/>
        </w:rPr>
        <w:t> </w:t>
      </w:r>
      <w:r>
        <w:rPr/>
        <w:t>amount</w:t>
      </w:r>
      <w:r>
        <w:rPr>
          <w:spacing w:val="-7"/>
        </w:rPr>
        <w:t> </w:t>
      </w:r>
      <w:r>
        <w:rPr/>
        <w:t>across</w:t>
      </w:r>
      <w:r>
        <w:rPr>
          <w:spacing w:val="-6"/>
        </w:rPr>
        <w:t> </w:t>
      </w:r>
      <w:r>
        <w:rPr/>
        <w:t>OECD</w:t>
      </w:r>
      <w:r>
        <w:rPr>
          <w:spacing w:val="-7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Latvia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1"/>
        </w:rPr>
        <w:t>Denmark (OECD, 2020, pp. 335-336, Table C5.3</w:t>
      </w:r>
      <w:r>
        <w:rPr>
          <w:sz w:val="13"/>
        </w:rPr>
        <w:t>[27]</w:t>
      </w:r>
      <w:r>
        <w:rPr>
          <w:position w:val="1"/>
        </w:rPr>
        <w:t>). According to MoE, stabilisation loans were also</w:t>
      </w:r>
      <w:r>
        <w:rPr>
          <w:spacing w:val="1"/>
          <w:position w:val="1"/>
        </w:rPr>
        <w:t> </w:t>
      </w:r>
      <w:r>
        <w:rPr/>
        <w:t>introduced in June 2019 to cover study and living costs of students choosing fields of studies considered</w:t>
      </w:r>
      <w:r>
        <w:rPr>
          <w:spacing w:val="1"/>
        </w:rPr>
        <w:t> </w:t>
      </w:r>
      <w:r>
        <w:rPr/>
        <w:t>by MoE as in high demand in the Slovak labour market. Graduates who find employment in their field of</w:t>
      </w:r>
      <w:r>
        <w:rPr>
          <w:spacing w:val="1"/>
        </w:rPr>
        <w:t> </w:t>
      </w:r>
      <w:r>
        <w:rPr>
          <w:position w:val="1"/>
        </w:rPr>
        <w:t>study in the Slovak Republic do not need to repay the loan (FNPV, 2021</w:t>
      </w:r>
      <w:r>
        <w:rPr>
          <w:sz w:val="13"/>
        </w:rPr>
        <w:t>[31]</w:t>
      </w:r>
      <w:r>
        <w:rPr>
          <w:position w:val="1"/>
        </w:rPr>
        <w:t>). According to the MoE, while</w:t>
      </w:r>
      <w:r>
        <w:rPr>
          <w:spacing w:val="-53"/>
          <w:position w:val="1"/>
        </w:rPr>
        <w:t> </w:t>
      </w:r>
      <w:r>
        <w:rPr/>
        <w:t>EUR 2 662 000 were made available in 2018/19 for stabilisation loans, only about 18% was spent: 243</w:t>
      </w:r>
      <w:r>
        <w:rPr>
          <w:spacing w:val="1"/>
        </w:rPr>
        <w:t> </w:t>
      </w:r>
      <w:r>
        <w:rPr/>
        <w:t>applications were approved for a total amount of EUR 486 000, so an average amount of EUR 2 000 per</w:t>
      </w:r>
      <w:r>
        <w:rPr>
          <w:spacing w:val="1"/>
        </w:rPr>
        <w:t> </w:t>
      </w:r>
      <w:r>
        <w:rPr/>
        <w:t>loan.</w:t>
      </w:r>
    </w:p>
    <w:p>
      <w:pPr>
        <w:pStyle w:val="BodyText"/>
        <w:spacing w:before="4"/>
      </w:pPr>
    </w:p>
    <w:p>
      <w:pPr>
        <w:pStyle w:val="Heading7"/>
      </w:pPr>
      <w:bookmarkStart w:name="Allocation of funding from the governmen" w:id="120"/>
      <w:bookmarkEnd w:id="120"/>
      <w:r>
        <w:rPr>
          <w:i w:val="0"/>
        </w:rPr>
      </w:r>
      <w:r>
        <w:rPr>
          <w:color w:val="616161"/>
        </w:rPr>
        <w:t>Allocation</w:t>
      </w:r>
      <w:r>
        <w:rPr>
          <w:color w:val="616161"/>
          <w:spacing w:val="-4"/>
        </w:rPr>
        <w:t> </w:t>
      </w:r>
      <w:r>
        <w:rPr>
          <w:color w:val="616161"/>
        </w:rPr>
        <w:t>of</w:t>
      </w:r>
      <w:r>
        <w:rPr>
          <w:color w:val="616161"/>
          <w:spacing w:val="-4"/>
        </w:rPr>
        <w:t> </w:t>
      </w:r>
      <w:r>
        <w:rPr>
          <w:color w:val="616161"/>
        </w:rPr>
        <w:t>funding</w:t>
      </w:r>
      <w:r>
        <w:rPr>
          <w:color w:val="616161"/>
          <w:spacing w:val="-4"/>
        </w:rPr>
        <w:t> </w:t>
      </w:r>
      <w:r>
        <w:rPr>
          <w:color w:val="616161"/>
        </w:rPr>
        <w:t>from</w:t>
      </w:r>
      <w:r>
        <w:rPr>
          <w:color w:val="616161"/>
          <w:spacing w:val="-4"/>
        </w:rPr>
        <w:t> </w:t>
      </w:r>
      <w:r>
        <w:rPr>
          <w:color w:val="616161"/>
        </w:rPr>
        <w:t>the</w:t>
      </w:r>
      <w:r>
        <w:rPr>
          <w:color w:val="616161"/>
          <w:spacing w:val="-4"/>
        </w:rPr>
        <w:t> </w:t>
      </w:r>
      <w:r>
        <w:rPr>
          <w:color w:val="616161"/>
        </w:rPr>
        <w:t>government</w:t>
      </w:r>
      <w:r>
        <w:rPr>
          <w:color w:val="616161"/>
          <w:spacing w:val="-4"/>
        </w:rPr>
        <w:t> </w:t>
      </w:r>
      <w:r>
        <w:rPr>
          <w:color w:val="616161"/>
        </w:rPr>
        <w:t>to</w:t>
      </w:r>
      <w:r>
        <w:rPr>
          <w:color w:val="616161"/>
          <w:spacing w:val="-6"/>
        </w:rPr>
        <w:t> </w:t>
      </w:r>
      <w:r>
        <w:rPr>
          <w:color w:val="616161"/>
        </w:rPr>
        <w:t>public</w:t>
      </w:r>
      <w:r>
        <w:rPr>
          <w:color w:val="616161"/>
          <w:spacing w:val="-2"/>
        </w:rPr>
        <w:t> </w:t>
      </w:r>
      <w:r>
        <w:rPr>
          <w:color w:val="616161"/>
        </w:rPr>
        <w:t>HEIs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In addition to the total level and sources of funding for higher education, the mechanisms through which</w:t>
      </w:r>
      <w:r>
        <w:rPr>
          <w:spacing w:val="1"/>
        </w:rPr>
        <w:t> </w:t>
      </w:r>
      <w:r>
        <w:rPr/>
        <w:t>the government allocates funding to HEIs plays a key role in shaping the behaviours of HEIs (OECD,</w:t>
      </w:r>
      <w:r>
        <w:rPr>
          <w:spacing w:val="1"/>
        </w:rPr>
        <w:t> </w:t>
      </w:r>
      <w:r>
        <w:rPr>
          <w:position w:val="1"/>
        </w:rPr>
        <w:t>2020</w:t>
      </w:r>
      <w:r>
        <w:rPr>
          <w:sz w:val="13"/>
        </w:rPr>
        <w:t>[32]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5"/>
        <w:jc w:val="both"/>
      </w:pPr>
      <w:r>
        <w:rPr/>
        <w:t>In the Slovak Republic, the MoE publishes annually the methodology through which the government</w:t>
      </w:r>
      <w:r>
        <w:rPr>
          <w:spacing w:val="1"/>
        </w:rPr>
        <w:t> </w:t>
      </w:r>
      <w:r>
        <w:rPr/>
        <w:t>contribution for public HEIs will be allocated, after the Parliament approves the total sum. For 2020, the</w:t>
      </w:r>
      <w:r>
        <w:rPr>
          <w:spacing w:val="1"/>
        </w:rPr>
        <w:t> </w:t>
      </w:r>
      <w:r>
        <w:rPr/>
        <w:t>formula allocated funds across four categories: teaching accounted for almost 50% of the contribution;</w:t>
      </w:r>
      <w:r>
        <w:rPr>
          <w:spacing w:val="1"/>
        </w:rPr>
        <w:t> </w:t>
      </w:r>
      <w:r>
        <w:rPr/>
        <w:t>research for approximately 37.5%; further development of HEIs for about 2.5%; and social support to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approximately</w:t>
      </w:r>
      <w:r>
        <w:rPr>
          <w:spacing w:val="-1"/>
        </w:rPr>
        <w:t> </w:t>
      </w:r>
      <w:r>
        <w:rPr/>
        <w:t>10%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(</w:t>
      </w:r>
      <w:hyperlink w:history="true" w:anchor="_bookmark45">
        <w:r>
          <w:rPr/>
          <w:t>Table</w:t>
        </w:r>
        <w:r>
          <w:rPr>
            <w:spacing w:val="1"/>
          </w:rPr>
          <w:t> </w:t>
        </w:r>
        <w:r>
          <w:rPr/>
          <w:t>3.3</w:t>
        </w:r>
      </w:hyperlink>
      <w:r>
        <w:rPr/>
        <w:t>).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45" w:id="121"/>
      <w:bookmarkEnd w:id="121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3.3.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Allocation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public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contributions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to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public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HEIs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2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Republic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(2020)</w:t>
      </w:r>
    </w:p>
    <w:p>
      <w:pPr>
        <w:pStyle w:val="BodyText"/>
        <w:rPr>
          <w:rFonts w:ascii="Arial"/>
          <w:b/>
          <w:sz w:val="16"/>
        </w:rPr>
      </w:pPr>
    </w:p>
    <w:tbl>
      <w:tblPr>
        <w:tblW w:w="0" w:type="auto"/>
        <w:jc w:val="left"/>
        <w:tblInd w:w="219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1"/>
        <w:gridCol w:w="1829"/>
        <w:gridCol w:w="5554"/>
      </w:tblGrid>
      <w:tr>
        <w:trPr>
          <w:trHeight w:val="241" w:hRule="atLeast"/>
        </w:trPr>
        <w:tc>
          <w:tcPr>
            <w:tcW w:w="1831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694" w:right="6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Areas</w:t>
            </w:r>
          </w:p>
        </w:tc>
        <w:tc>
          <w:tcPr>
            <w:tcW w:w="1829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700" w:right="6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Items</w:t>
            </w:r>
          </w:p>
        </w:tc>
        <w:tc>
          <w:tcPr>
            <w:tcW w:w="5554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2"/>
              <w:ind w:left="2057" w:right="203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Allocation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mechanism</w:t>
            </w:r>
          </w:p>
        </w:tc>
      </w:tr>
      <w:tr>
        <w:trPr>
          <w:trHeight w:val="1707" w:hRule="atLeast"/>
        </w:trPr>
        <w:tc>
          <w:tcPr>
            <w:tcW w:w="1831" w:type="dxa"/>
            <w:tcBorders>
              <w:top w:val="single" w:sz="6" w:space="0" w:color="4E81BD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64" w:lineRule="auto" w:before="13"/>
              <w:ind w:left="122" w:right="12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Teaching (around 60%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total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spending)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EUR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354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838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850</w:t>
            </w:r>
          </w:p>
        </w:tc>
        <w:tc>
          <w:tcPr>
            <w:tcW w:w="1829" w:type="dxa"/>
            <w:tcBorders>
              <w:top w:val="single" w:sz="6" w:space="0" w:color="4E81BD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76" w:lineRule="auto"/>
              <w:ind w:left="112" w:right="27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Salaries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insurance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283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653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712</w:t>
            </w:r>
          </w:p>
        </w:tc>
        <w:tc>
          <w:tcPr>
            <w:tcW w:w="5554" w:type="dxa"/>
            <w:tcBorders>
              <w:top w:val="single" w:sz="6" w:space="0" w:color="4E81BD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44" w:lineRule="auto" w:before="0"/>
              <w:ind w:left="11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pacing w:val="-1"/>
                <w:w w:val="85"/>
                <w:sz w:val="17"/>
              </w:rPr>
              <w:t>85%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of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the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item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is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allocated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based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on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the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weighted</w:t>
            </w:r>
            <w:r>
              <w:rPr>
                <w:rFonts w:ascii="Microsoft Sans Serif"/>
                <w:spacing w:val="-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number</w:t>
            </w:r>
            <w:r>
              <w:rPr>
                <w:rFonts w:ascii="Microsoft Sans Serif"/>
                <w:spacing w:val="-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enrolled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students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plus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weighted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number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graduates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(NS):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794" w:val="left" w:leader="none"/>
                <w:tab w:pos="795" w:val="left" w:leader="none"/>
              </w:tabs>
              <w:spacing w:line="240" w:lineRule="auto" w:before="14" w:after="0"/>
              <w:ind w:left="794" w:right="0" w:hanging="339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Weights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bachelor’s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programmes:</w:t>
            </w:r>
          </w:p>
          <w:p>
            <w:pPr>
              <w:pStyle w:val="TableParagraph"/>
              <w:numPr>
                <w:ilvl w:val="1"/>
                <w:numId w:val="21"/>
              </w:numPr>
              <w:tabs>
                <w:tab w:pos="1136" w:val="left" w:leader="none"/>
              </w:tabs>
              <w:spacing w:line="240" w:lineRule="auto" w:before="61" w:after="0"/>
              <w:ind w:left="1135" w:right="0" w:hanging="342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Students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first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year: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weight:0.7</w:t>
            </w:r>
          </w:p>
          <w:p>
            <w:pPr>
              <w:pStyle w:val="TableParagraph"/>
              <w:numPr>
                <w:ilvl w:val="1"/>
                <w:numId w:val="21"/>
              </w:numPr>
              <w:tabs>
                <w:tab w:pos="1136" w:val="left" w:leader="none"/>
              </w:tabs>
              <w:spacing w:line="240" w:lineRule="auto" w:before="46" w:after="0"/>
              <w:ind w:left="1135" w:right="0" w:hanging="342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Other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students: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weight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1</w:t>
            </w:r>
          </w:p>
          <w:p>
            <w:pPr>
              <w:pStyle w:val="TableParagraph"/>
              <w:numPr>
                <w:ilvl w:val="1"/>
                <w:numId w:val="21"/>
              </w:numPr>
              <w:tabs>
                <w:tab w:pos="1136" w:val="left" w:leader="none"/>
              </w:tabs>
              <w:spacing w:line="240" w:lineRule="auto" w:before="47" w:after="0"/>
              <w:ind w:left="1135" w:right="0" w:hanging="342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Graduates</w:t>
            </w:r>
            <w:r>
              <w:rPr>
                <w:rFonts w:ascii="Microsoft Sans Serif" w:hAns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from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professional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bachelor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programmes: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weight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2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794" w:val="left" w:leader="none"/>
                <w:tab w:pos="795" w:val="left" w:leader="none"/>
              </w:tabs>
              <w:spacing w:line="240" w:lineRule="auto" w:before="47" w:after="0"/>
              <w:ind w:left="794" w:right="0" w:hanging="339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Weights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second-stage</w:t>
            </w:r>
            <w:r>
              <w:rPr>
                <w:rFonts w:ascii="Microsoft Sans Serif" w:hAns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programmes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(master’s):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1.5</w:t>
            </w:r>
          </w:p>
        </w:tc>
      </w:tr>
    </w:tbl>
    <w:p>
      <w:pPr>
        <w:spacing w:after="0" w:line="240" w:lineRule="auto"/>
        <w:jc w:val="left"/>
        <w:rPr>
          <w:rFonts w:ascii="Microsoft Sans Serif" w:hAnsi="Microsoft Sans Serif"/>
          <w:sz w:val="17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tbl>
      <w:tblPr>
        <w:tblW w:w="0" w:type="auto"/>
        <w:jc w:val="left"/>
        <w:tblInd w:w="205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830"/>
        <w:gridCol w:w="5555"/>
      </w:tblGrid>
      <w:tr>
        <w:trPr>
          <w:trHeight w:val="239" w:hRule="atLeast"/>
        </w:trPr>
        <w:tc>
          <w:tcPr>
            <w:tcW w:w="1846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708" w:right="6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Areas</w:t>
            </w:r>
          </w:p>
        </w:tc>
        <w:tc>
          <w:tcPr>
            <w:tcW w:w="183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700" w:right="67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Items</w:t>
            </w:r>
          </w:p>
        </w:tc>
        <w:tc>
          <w:tcPr>
            <w:tcW w:w="5555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0"/>
              <w:ind w:left="2055" w:right="203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Allocation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mechanism</w:t>
            </w:r>
          </w:p>
        </w:tc>
      </w:tr>
      <w:tr>
        <w:trPr>
          <w:trHeight w:val="2190" w:hRule="atLeast"/>
        </w:trPr>
        <w:tc>
          <w:tcPr>
            <w:tcW w:w="1846" w:type="dxa"/>
            <w:vMerge w:val="restart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3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555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792" w:val="left" w:leader="none"/>
                <w:tab w:pos="794" w:val="left" w:leader="none"/>
              </w:tabs>
              <w:spacing w:line="240" w:lineRule="auto" w:before="13" w:after="0"/>
              <w:ind w:left="793" w:right="97" w:hanging="339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Weights</w:t>
            </w:r>
            <w:r>
              <w:rPr>
                <w:rFonts w:ascii="Microsoft Sans Serif" w:hAns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third-stage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programmes</w:t>
            </w:r>
            <w:r>
              <w:rPr>
                <w:rFonts w:ascii="Microsoft Sans Serif" w:hAns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(doctorates):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12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(divided</w:t>
            </w:r>
            <w:r>
              <w:rPr>
                <w:rFonts w:ascii="Microsoft Sans Serif" w:hAns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by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standard</w:t>
            </w:r>
            <w:r>
              <w:rPr>
                <w:rFonts w:ascii="Microsoft Sans Serif" w:hAns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length</w:t>
            </w:r>
            <w:r>
              <w:rPr>
                <w:rFonts w:ascii="Microsoft Sans Serif" w:hAns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of</w:t>
            </w:r>
            <w:r>
              <w:rPr>
                <w:rFonts w:ascii="Microsoft Sans Serif" w:hAns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study)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2" w:val="left" w:leader="none"/>
                <w:tab w:pos="794" w:val="left" w:leader="none"/>
              </w:tabs>
              <w:spacing w:line="240" w:lineRule="auto" w:before="60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Students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part-time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form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study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or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paying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tuition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fees: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weight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0</w:t>
            </w:r>
          </w:p>
          <w:p>
            <w:pPr>
              <w:pStyle w:val="TableParagraph"/>
              <w:spacing w:before="63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NS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further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weighted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coefficients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capturing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specifics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programme: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2" w:val="left" w:leader="none"/>
                <w:tab w:pos="794" w:val="left" w:leader="none"/>
              </w:tabs>
              <w:spacing w:line="240" w:lineRule="auto" w:before="19" w:after="0"/>
              <w:ind w:left="793" w:right="0" w:hanging="340"/>
              <w:jc w:val="left"/>
              <w:rPr>
                <w:rFonts w:ascii="Microsoft Sans Serif" w:hAnsi="Microsoft Sans Serif"/>
                <w:sz w:val="11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Coeff.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field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study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(FS)</w:t>
            </w:r>
            <w:r>
              <w:rPr>
                <w:rFonts w:ascii="Microsoft Sans Serif" w:hAnsi="Microsoft Sans Serif"/>
                <w:w w:val="80"/>
                <w:position w:val="4"/>
                <w:sz w:val="11"/>
              </w:rPr>
              <w:t>1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2" w:val="left" w:leader="none"/>
                <w:tab w:pos="794" w:val="left" w:leader="none"/>
              </w:tabs>
              <w:spacing w:line="240" w:lineRule="auto" w:before="58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Coeff.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qualification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structure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teachers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(QS)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92" w:val="left" w:leader="none"/>
                <w:tab w:pos="794" w:val="left" w:leader="none"/>
              </w:tabs>
              <w:spacing w:line="240" w:lineRule="auto" w:before="58" w:after="0"/>
              <w:ind w:left="113" w:right="0" w:firstLine="340"/>
              <w:jc w:val="left"/>
              <w:rPr>
                <w:rFonts w:ascii="Microsoft Sans Serif" w:hAnsi="Microsoft Sans Serif"/>
                <w:sz w:val="11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Coeff.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graduate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employment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(GE)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equals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(1+graduate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employment</w:t>
            </w:r>
            <w:r>
              <w:rPr>
                <w:rFonts w:ascii="Microsoft Sans Serif" w:hAns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rate)</w:t>
            </w:r>
            <w:r>
              <w:rPr>
                <w:rFonts w:ascii="Microsoft Sans Serif" w:hAnsi="Microsoft Sans Serif"/>
                <w:w w:val="80"/>
                <w:position w:val="4"/>
                <w:sz w:val="11"/>
              </w:rPr>
              <w:t>2</w:t>
            </w:r>
          </w:p>
          <w:p>
            <w:pPr>
              <w:pStyle w:val="TableParagraph"/>
              <w:spacing w:line="210" w:lineRule="atLeast" w:before="46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13.8%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-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item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allocated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based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publishing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activity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during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two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previous</w:t>
            </w:r>
            <w:r>
              <w:rPr>
                <w:rFonts w:ascii="Microsoft Sans Serif"/>
                <w:spacing w:val="-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years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1.2%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item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based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artistic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performance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during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two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previous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years</w:t>
            </w:r>
          </w:p>
        </w:tc>
      </w:tr>
      <w:tr>
        <w:trPr>
          <w:trHeight w:val="736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 w:before="13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(Common)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Goods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services</w:t>
            </w:r>
          </w:p>
          <w:p>
            <w:pPr>
              <w:pStyle w:val="TableParagraph"/>
              <w:spacing w:before="18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48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226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024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Allocated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based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NS,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GE,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plus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92" w:val="left" w:leader="none"/>
                <w:tab w:pos="794" w:val="left" w:leader="none"/>
              </w:tabs>
              <w:spacing w:line="240" w:lineRule="auto" w:before="17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Funding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from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foreign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grants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(e.g.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Horison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2020,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Erasmus+)</w:t>
            </w:r>
          </w:p>
          <w:p>
            <w:pPr>
              <w:pStyle w:val="TableParagraph"/>
              <w:spacing w:before="62"/>
              <w:ind w:left="793"/>
              <w:rPr>
                <w:rFonts w:ascii="Microsoft Sans Serif"/>
                <w:sz w:val="17"/>
              </w:rPr>
            </w:pPr>
            <w:r>
              <w:rPr>
                <w:rFonts w:ascii="Courier New"/>
                <w:w w:val="80"/>
                <w:sz w:val="17"/>
              </w:rPr>
              <w:t>o</w:t>
            </w:r>
            <w:r>
              <w:rPr>
                <w:rFonts w:ascii="Courier New"/>
                <w:spacing w:val="166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mobility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</w:t>
            </w:r>
          </w:p>
        </w:tc>
      </w:tr>
      <w:tr>
        <w:trPr>
          <w:trHeight w:val="451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Specific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costs</w:t>
            </w:r>
          </w:p>
          <w:p>
            <w:pPr>
              <w:pStyle w:val="TableParagraph"/>
              <w:spacing w:before="29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15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959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114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7" w:lineRule="auto" w:before="0"/>
              <w:ind w:left="113" w:right="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Based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applications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submitted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HEIs,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cover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costs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related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to,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e.g.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practical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training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or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external</w:t>
            </w:r>
            <w:r>
              <w:rPr>
                <w:rFonts w:asci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lecturers</w:t>
            </w:r>
          </w:p>
        </w:tc>
      </w:tr>
      <w:tr>
        <w:trPr>
          <w:trHeight w:val="448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Capital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expenditures</w:t>
            </w:r>
          </w:p>
          <w:p>
            <w:pPr>
              <w:pStyle w:val="TableParagraph"/>
              <w:spacing w:line="192" w:lineRule="exact" w:before="29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7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4" w:lineRule="auto" w:before="0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Based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applications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submitted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HEIs,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cover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urgent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investment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buildings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reconstructions</w:t>
            </w:r>
          </w:p>
        </w:tc>
      </w:tr>
      <w:tr>
        <w:trPr>
          <w:trHeight w:val="649" w:hRule="atLeast"/>
        </w:trPr>
        <w:tc>
          <w:tcPr>
            <w:tcW w:w="1846" w:type="dxa"/>
            <w:vMerge w:val="restart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(around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30%)</w:t>
            </w:r>
          </w:p>
          <w:p>
            <w:pPr>
              <w:pStyle w:val="TableParagraph"/>
              <w:spacing w:before="26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184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631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718</w:t>
            </w: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grant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(VEGA)</w:t>
            </w:r>
          </w:p>
          <w:p>
            <w:pPr>
              <w:pStyle w:val="TableParagraph"/>
              <w:spacing w:line="192" w:lineRule="exact" w:before="19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12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250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3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Calls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proposals</w:t>
            </w:r>
          </w:p>
        </w:tc>
      </w:tr>
      <w:tr>
        <w:trPr>
          <w:trHeight w:val="649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12" w:right="25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Education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Culture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grant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(KEGA)</w:t>
            </w:r>
          </w:p>
          <w:p>
            <w:pPr>
              <w:pStyle w:val="TableParagraph"/>
              <w:spacing w:line="192" w:lineRule="exact" w:before="19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400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3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Calls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proposals</w:t>
            </w:r>
          </w:p>
        </w:tc>
      </w:tr>
      <w:tr>
        <w:trPr>
          <w:trHeight w:val="2083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76" w:lineRule="auto" w:before="18"/>
              <w:ind w:left="112" w:right="25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2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infrastructure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152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928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099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3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Based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2" w:val="left" w:leader="none"/>
                <w:tab w:pos="794" w:val="left" w:leader="none"/>
              </w:tabs>
              <w:spacing w:line="240" w:lineRule="auto" w:before="17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Share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HEI’s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research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allocation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(six-year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average)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(weight: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0.43)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2" w:val="left" w:leader="none"/>
                <w:tab w:pos="794" w:val="left" w:leader="none"/>
              </w:tabs>
              <w:spacing w:line="240" w:lineRule="auto" w:before="58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Share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foreign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grants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(0.10)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2" w:val="left" w:leader="none"/>
                <w:tab w:pos="794" w:val="left" w:leader="none"/>
              </w:tabs>
              <w:spacing w:line="240" w:lineRule="auto" w:before="61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Share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public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sector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grants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(0.09)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2" w:val="left" w:leader="none"/>
                <w:tab w:pos="794" w:val="left" w:leader="none"/>
              </w:tabs>
              <w:spacing w:line="240" w:lineRule="auto" w:before="58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Share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funding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from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other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grants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(0.03)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2" w:val="left" w:leader="none"/>
                <w:tab w:pos="794" w:val="left" w:leader="none"/>
              </w:tabs>
              <w:spacing w:line="240" w:lineRule="auto" w:before="58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Share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total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number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PhD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students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(0.10)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2" w:val="left" w:leader="none"/>
                <w:tab w:pos="794" w:val="left" w:leader="none"/>
              </w:tabs>
              <w:spacing w:line="240" w:lineRule="auto" w:before="59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Share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total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number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publications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(0.225)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92" w:val="left" w:leader="none"/>
                <w:tab w:pos="794" w:val="left" w:leader="none"/>
              </w:tabs>
              <w:spacing w:line="240" w:lineRule="auto" w:before="58" w:after="0"/>
              <w:ind w:left="793" w:right="0" w:hanging="340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Share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total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number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artistic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productions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(0.025)</w:t>
            </w:r>
          </w:p>
        </w:tc>
      </w:tr>
      <w:tr>
        <w:trPr>
          <w:trHeight w:val="450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Top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teams</w:t>
            </w:r>
          </w:p>
          <w:p>
            <w:pPr>
              <w:pStyle w:val="TableParagraph"/>
              <w:spacing w:before="29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160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Top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teams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are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identified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most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recent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accreditation</w:t>
            </w:r>
          </w:p>
        </w:tc>
      </w:tr>
      <w:tr>
        <w:trPr>
          <w:trHeight w:val="649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Access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electronic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resources</w:t>
            </w:r>
          </w:p>
          <w:p>
            <w:pPr>
              <w:pStyle w:val="TableParagraph"/>
              <w:spacing w:before="16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000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4" w:lineRule="auto" w:before="0"/>
              <w:ind w:left="113" w:right="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Facilitated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through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Centre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Scientific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Technical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Information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(CVTI)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all</w:t>
            </w:r>
            <w:r>
              <w:rPr>
                <w:rFonts w:asci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public</w:t>
            </w:r>
            <w:r>
              <w:rPr>
                <w:rFonts w:asci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HEIs</w:t>
            </w:r>
          </w:p>
        </w:tc>
      </w:tr>
      <w:tr>
        <w:trPr>
          <w:trHeight w:val="450" w:hRule="atLeast"/>
        </w:trPr>
        <w:tc>
          <w:tcPr>
            <w:tcW w:w="1846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Wage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valourisation</w:t>
            </w:r>
          </w:p>
          <w:p>
            <w:pPr>
              <w:pStyle w:val="TableParagraph"/>
              <w:spacing w:before="29"/>
              <w:ind w:left="11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3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074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705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 w:before="0"/>
              <w:ind w:left="113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Equally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distributed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valourisation</w:t>
            </w:r>
            <w:r>
              <w:rPr>
                <w:rFonts w:ascii="Microsoft Sans Serif" w:hAns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teachers’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wages,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based on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 long-term</w:t>
            </w:r>
            <w:r>
              <w:rPr>
                <w:rFonts w:ascii="Microsoft Sans Serif" w:hAns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plan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covering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all</w:t>
            </w:r>
            <w:r>
              <w:rPr>
                <w:rFonts w:ascii="Microsoft Sans Serif" w:hAns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levels</w:t>
            </w:r>
            <w:r>
              <w:rPr>
                <w:rFonts w:ascii="Microsoft Sans Serif" w:hAns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of</w:t>
            </w:r>
            <w:r>
              <w:rPr>
                <w:rFonts w:ascii="Microsoft Sans Serif" w:hAnsi="Microsoft Sans Serif"/>
                <w:spacing w:val="-2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education</w:t>
            </w:r>
          </w:p>
        </w:tc>
      </w:tr>
      <w:tr>
        <w:trPr>
          <w:trHeight w:val="450" w:hRule="atLeast"/>
        </w:trPr>
        <w:tc>
          <w:tcPr>
            <w:tcW w:w="3676" w:type="dxa"/>
            <w:gridSpan w:val="2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Development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HEI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(2%)</w:t>
            </w:r>
          </w:p>
          <w:p>
            <w:pPr>
              <w:pStyle w:val="TableParagraph"/>
              <w:spacing w:before="29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11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969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835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Distributed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centrally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through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-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Call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project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proposals</w:t>
            </w:r>
          </w:p>
        </w:tc>
      </w:tr>
      <w:tr>
        <w:trPr>
          <w:trHeight w:val="450" w:hRule="atLeast"/>
        </w:trPr>
        <w:tc>
          <w:tcPr>
            <w:tcW w:w="3676" w:type="dxa"/>
            <w:gridSpan w:val="2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Social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(around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10%)</w:t>
            </w:r>
          </w:p>
          <w:p>
            <w:pPr>
              <w:pStyle w:val="TableParagraph"/>
              <w:spacing w:before="29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51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525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264</w:t>
            </w:r>
          </w:p>
        </w:tc>
        <w:tc>
          <w:tcPr>
            <w:tcW w:w="5555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44" w:lineRule="auto" w:before="0"/>
              <w:ind w:left="11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aid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distributed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through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Support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based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claims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defined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by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legislation</w:t>
            </w:r>
          </w:p>
        </w:tc>
      </w:tr>
    </w:tbl>
    <w:p>
      <w:pPr>
        <w:pStyle w:val="BodyText"/>
        <w:spacing w:before="5"/>
        <w:rPr>
          <w:rFonts w:ascii="Arial"/>
          <w:b/>
          <w:sz w:val="24"/>
        </w:rPr>
      </w:pPr>
    </w:p>
    <w:p>
      <w:pPr>
        <w:spacing w:line="259" w:lineRule="auto" w:before="103"/>
        <w:ind w:left="183" w:right="306" w:firstLine="0"/>
        <w:jc w:val="both"/>
        <w:rPr>
          <w:rFonts w:ascii="Microsoft Sans Serif"/>
          <w:sz w:val="18"/>
        </w:rPr>
      </w:pPr>
      <w:r>
        <w:rPr>
          <w:rFonts w:ascii="Microsoft Sans Serif"/>
          <w:spacing w:val="-1"/>
          <w:w w:val="85"/>
          <w:sz w:val="18"/>
        </w:rPr>
        <w:t>Note: 1. The coefficient for the field of study is based on a student/teacher </w:t>
      </w:r>
      <w:r>
        <w:rPr>
          <w:rFonts w:ascii="Microsoft Sans Serif"/>
          <w:w w:val="85"/>
          <w:sz w:val="18"/>
        </w:rPr>
        <w:t>ratio and student/non-pedagogical employee ratio for each study</w:t>
      </w:r>
      <w:r>
        <w:rPr>
          <w:rFonts w:ascii="Microsoft Sans Serif"/>
          <w:spacing w:val="-39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field.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These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ratios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are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included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in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the</w:t>
      </w:r>
      <w:r>
        <w:rPr>
          <w:rFonts w:ascii="Microsoft Sans Serif"/>
          <w:spacing w:val="-3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MoE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methodology.</w:t>
      </w:r>
    </w:p>
    <w:p>
      <w:pPr>
        <w:pStyle w:val="ListParagraph"/>
        <w:numPr>
          <w:ilvl w:val="0"/>
          <w:numId w:val="25"/>
        </w:numPr>
        <w:tabs>
          <w:tab w:pos="359" w:val="left" w:leader="none"/>
        </w:tabs>
        <w:spacing w:line="259" w:lineRule="auto" w:before="0" w:after="0"/>
        <w:ind w:left="183" w:right="303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1"/>
          <w:w w:val="85"/>
          <w:sz w:val="18"/>
        </w:rPr>
        <w:t>The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graduate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employment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coefficient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is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based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on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the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spacing w:val="-1"/>
          <w:w w:val="85"/>
          <w:sz w:val="18"/>
        </w:rPr>
        <w:t>number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of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graduates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in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full-time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study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programmes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from</w:t>
      </w:r>
      <w:r>
        <w:rPr>
          <w:rFonts w:ascii="Microsoft Sans Serif"/>
          <w:spacing w:val="-4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the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previous</w:t>
      </w:r>
      <w:r>
        <w:rPr>
          <w:rFonts w:ascii="Microsoft Sans Serif"/>
          <w:spacing w:val="-2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two</w:t>
      </w:r>
      <w:r>
        <w:rPr>
          <w:rFonts w:ascii="Microsoft Sans Serif"/>
          <w:spacing w:val="-3"/>
          <w:w w:val="85"/>
          <w:sz w:val="18"/>
        </w:rPr>
        <w:t> </w:t>
      </w:r>
      <w:r>
        <w:rPr>
          <w:rFonts w:ascii="Microsoft Sans Serif"/>
          <w:w w:val="85"/>
          <w:sz w:val="18"/>
        </w:rPr>
        <w:t>calendar</w:t>
      </w:r>
      <w:r>
        <w:rPr>
          <w:rFonts w:ascii="Microsoft Sans Serif"/>
          <w:spacing w:val="-38"/>
          <w:w w:val="85"/>
          <w:sz w:val="18"/>
        </w:rPr>
        <w:t> </w:t>
      </w:r>
      <w:r>
        <w:rPr>
          <w:rFonts w:ascii="Microsoft Sans Serif"/>
          <w:w w:val="90"/>
          <w:sz w:val="18"/>
        </w:rPr>
        <w:t>years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and</w:t>
      </w:r>
      <w:r>
        <w:rPr>
          <w:rFonts w:ascii="Microsoft Sans Serif"/>
          <w:spacing w:val="-7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on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the</w:t>
      </w:r>
      <w:r>
        <w:rPr>
          <w:rFonts w:ascii="Microsoft Sans Serif"/>
          <w:spacing w:val="-4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number</w:t>
      </w:r>
      <w:r>
        <w:rPr>
          <w:rFonts w:ascii="Microsoft Sans Serif"/>
          <w:spacing w:val="-7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of</w:t>
      </w:r>
      <w:r>
        <w:rPr>
          <w:rFonts w:ascii="Microsoft Sans Serif"/>
          <w:spacing w:val="-3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unemployed</w:t>
      </w:r>
      <w:r>
        <w:rPr>
          <w:rFonts w:ascii="Microsoft Sans Serif"/>
          <w:spacing w:val="-7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graduates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for</w:t>
      </w:r>
      <w:r>
        <w:rPr>
          <w:rFonts w:ascii="Microsoft Sans Serif"/>
          <w:spacing w:val="-6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each</w:t>
      </w:r>
      <w:r>
        <w:rPr>
          <w:rFonts w:ascii="Microsoft Sans Serif"/>
          <w:spacing w:val="-7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study</w:t>
      </w:r>
      <w:r>
        <w:rPr>
          <w:rFonts w:ascii="Microsoft Sans Serif"/>
          <w:spacing w:val="-5"/>
          <w:w w:val="90"/>
          <w:sz w:val="18"/>
        </w:rPr>
        <w:t> </w:t>
      </w:r>
      <w:r>
        <w:rPr>
          <w:rFonts w:ascii="Microsoft Sans Serif"/>
          <w:w w:val="90"/>
          <w:sz w:val="18"/>
        </w:rPr>
        <w:t>field.</w:t>
      </w:r>
    </w:p>
    <w:p>
      <w:pPr>
        <w:spacing w:line="256" w:lineRule="auto" w:before="0"/>
        <w:ind w:left="183" w:right="304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Sources: MoE (2019</w:t>
      </w:r>
      <w:r>
        <w:rPr>
          <w:rFonts w:ascii="Microsoft Sans Serif" w:hAnsi="Microsoft Sans Serif"/>
          <w:w w:val="80"/>
          <w:sz w:val="12"/>
        </w:rPr>
        <w:t>[33]</w:t>
      </w:r>
      <w:r>
        <w:rPr>
          <w:rFonts w:ascii="Microsoft Sans Serif" w:hAnsi="Microsoft Sans Serif"/>
          <w:w w:val="80"/>
          <w:position w:val="1"/>
          <w:sz w:val="18"/>
        </w:rPr>
        <w:t>)</w:t>
      </w:r>
      <w:r>
        <w:rPr>
          <w:rFonts w:ascii="Arial" w:hAnsi="Arial"/>
          <w:i/>
          <w:w w:val="80"/>
          <w:position w:val="1"/>
          <w:sz w:val="18"/>
        </w:rPr>
        <w:t>, Metodika rozpisu dotácií zo štátneho rozpočtu verejným vysokým školám na rok 2020 [Methodology of Breakdown of</w:t>
      </w:r>
      <w:r>
        <w:rPr>
          <w:rFonts w:ascii="Arial" w:hAnsi="Arial"/>
          <w:i/>
          <w:spacing w:val="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sz w:val="18"/>
        </w:rPr>
        <w:t>State Budget Subsidies to Public Universities for 2020]</w:t>
      </w:r>
      <w:r>
        <w:rPr>
          <w:rFonts w:ascii="Microsoft Sans Serif" w:hAnsi="Microsoft Sans Serif"/>
          <w:w w:val="80"/>
          <w:sz w:val="18"/>
        </w:rPr>
        <w:t>, </w:t>
      </w:r>
      <w:hyperlink r:id="rId60">
        <w:r>
          <w:rPr>
            <w:rFonts w:ascii="Microsoft Sans Serif" w:hAnsi="Microsoft Sans Serif"/>
            <w:color w:val="0000FF"/>
            <w:w w:val="80"/>
            <w:sz w:val="18"/>
            <w:u w:val="single" w:color="0000FF"/>
          </w:rPr>
          <w:t>https://www.minedu.sk/vyrocne-spravy-o-stave-vysokeho-skolstva/</w:t>
        </w:r>
        <w:r>
          <w:rPr>
            <w:rFonts w:ascii="Microsoft Sans Serif" w:hAnsi="Microsoft Sans Serif"/>
            <w:w w:val="80"/>
            <w:sz w:val="18"/>
          </w:rPr>
          <w:t>; </w:t>
        </w:r>
      </w:hyperlink>
      <w:r>
        <w:rPr>
          <w:rFonts w:ascii="Microsoft Sans Serif" w:hAnsi="Microsoft Sans Serif"/>
          <w:w w:val="80"/>
          <w:sz w:val="18"/>
        </w:rPr>
        <w:t>additional updates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provided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by</w:t>
      </w:r>
      <w:r>
        <w:rPr>
          <w:rFonts w:ascii="Microsoft Sans Serif" w:hAnsi="Microsoft Sans Serif"/>
          <w:spacing w:val="-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MoE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to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the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OECD.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71" w:lineRule="auto" w:before="150"/>
        <w:ind w:left="183" w:right="309"/>
        <w:jc w:val="both"/>
      </w:pPr>
      <w:r>
        <w:rPr/>
        <w:t>The largest item – “teaching” – is allocated based on a weighted number of students and graduates.</w:t>
      </w:r>
      <w:r>
        <w:rPr>
          <w:spacing w:val="1"/>
        </w:rPr>
        <w:t> </w:t>
      </w:r>
      <w:r>
        <w:rPr/>
        <w:t>Several</w:t>
      </w:r>
      <w:r>
        <w:rPr>
          <w:spacing w:val="-8"/>
        </w:rPr>
        <w:t> </w:t>
      </w:r>
      <w:r>
        <w:rPr/>
        <w:t>incentives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built</w:t>
      </w:r>
      <w:r>
        <w:rPr>
          <w:spacing w:val="-4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formula,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particular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encourage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stronger</w:t>
      </w:r>
      <w:r>
        <w:rPr>
          <w:spacing w:val="-6"/>
        </w:rPr>
        <w:t> </w:t>
      </w:r>
      <w:r>
        <w:rPr/>
        <w:t>institutional</w:t>
      </w:r>
      <w:r>
        <w:rPr>
          <w:spacing w:val="-9"/>
        </w:rPr>
        <w:t> </w:t>
      </w:r>
      <w:r>
        <w:rPr/>
        <w:t>focus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labour</w:t>
      </w:r>
      <w:r>
        <w:rPr>
          <w:spacing w:val="5"/>
        </w:rPr>
        <w:t> </w:t>
      </w:r>
      <w:r>
        <w:rPr/>
        <w:t>market</w:t>
      </w:r>
      <w:r>
        <w:rPr>
          <w:spacing w:val="4"/>
        </w:rPr>
        <w:t> </w:t>
      </w:r>
      <w:r>
        <w:rPr/>
        <w:t>relevance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programmes.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example,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greater</w:t>
      </w:r>
      <w:r>
        <w:rPr>
          <w:spacing w:val="7"/>
        </w:rPr>
        <w:t> </w:t>
      </w:r>
      <w:r>
        <w:rPr/>
        <w:t>weight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assigned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students</w:t>
      </w:r>
      <w:r>
        <w:rPr>
          <w:spacing w:val="5"/>
        </w:rPr>
        <w:t> </w:t>
      </w:r>
      <w:r>
        <w:rPr/>
        <w:t>enrolled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7"/>
        <w:jc w:val="both"/>
      </w:pPr>
      <w:r>
        <w:rPr/>
        <w:t>in professional bachelor’s degrees compared to those enrolled in master’s degree programmes, and a</w:t>
      </w:r>
      <w:r>
        <w:rPr>
          <w:spacing w:val="1"/>
        </w:rPr>
        <w:t> </w:t>
      </w:r>
      <w:r>
        <w:rPr/>
        <w:t>coefficient is applied based on the share of graduates who are </w:t>
      </w:r>
      <w:r>
        <w:rPr>
          <w:rFonts w:ascii="Arial" w:hAnsi="Arial"/>
          <w:i/>
        </w:rPr>
        <w:t>not </w:t>
      </w:r>
      <w:r>
        <w:rPr/>
        <w:t>registered as unemployed with the</w:t>
      </w:r>
      <w:r>
        <w:rPr>
          <w:spacing w:val="1"/>
        </w:rPr>
        <w:t> </w:t>
      </w:r>
      <w:r>
        <w:rPr/>
        <w:t>public employment service. The formula also aims to take account of cost differences in delivering</w:t>
      </w:r>
      <w:r>
        <w:rPr>
          <w:spacing w:val="1"/>
        </w:rPr>
        <w:t> </w:t>
      </w:r>
      <w:r>
        <w:rPr/>
        <w:t>programmes,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field-specific coefficient.</w:t>
      </w:r>
    </w:p>
    <w:p>
      <w:pPr>
        <w:pStyle w:val="BodyText"/>
        <w:spacing w:line="271" w:lineRule="auto" w:before="119"/>
        <w:ind w:left="183" w:right="304"/>
        <w:jc w:val="both"/>
      </w:pPr>
      <w:r>
        <w:rPr/>
        <w:t>Since 2017, incentives for academics to improve the quality of research have been strengthened: 13.8%</w:t>
      </w:r>
      <w:r>
        <w:rPr>
          <w:spacing w:val="1"/>
        </w:rPr>
        <w:t> </w:t>
      </w:r>
      <w:r>
        <w:rPr/>
        <w:t>of the “salaries and insurance” item</w:t>
      </w:r>
      <w:r>
        <w:rPr>
          <w:spacing w:val="1"/>
        </w:rPr>
        <w:t> </w:t>
      </w:r>
      <w:r>
        <w:rPr/>
        <w:t>in the “teaching” category are allocated based on publication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database, Web of Science (WoS). If a publication appears in the WoS database, it can</w:t>
      </w:r>
      <w:r>
        <w:rPr>
          <w:spacing w:val="1"/>
        </w:rPr>
        <w:t> </w:t>
      </w:r>
      <w:r>
        <w:rPr/>
        <w:t>generate ten times more funding than a publication that does not appear in WoS. The WoS impact factor</w:t>
      </w:r>
      <w:r>
        <w:rPr>
          <w:spacing w:val="1"/>
        </w:rPr>
        <w:t> </w:t>
      </w:r>
      <w:r>
        <w:rPr/>
        <w:t>is</w:t>
      </w:r>
      <w:r>
        <w:rPr>
          <w:spacing w:val="-9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differentiate</w:t>
      </w:r>
      <w:r>
        <w:rPr>
          <w:spacing w:val="-8"/>
        </w:rPr>
        <w:t> </w:t>
      </w:r>
      <w:r>
        <w:rPr/>
        <w:t>scientific</w:t>
      </w:r>
      <w:r>
        <w:rPr>
          <w:spacing w:val="-8"/>
        </w:rPr>
        <w:t> </w:t>
      </w:r>
      <w:r>
        <w:rPr/>
        <w:t>journals</w:t>
      </w:r>
      <w:r>
        <w:rPr>
          <w:spacing w:val="-5"/>
        </w:rPr>
        <w:t> </w:t>
      </w:r>
      <w:r>
        <w:rPr/>
        <w:t>into</w:t>
      </w:r>
      <w:r>
        <w:rPr>
          <w:spacing w:val="-8"/>
        </w:rPr>
        <w:t> </w:t>
      </w:r>
      <w:r>
        <w:rPr/>
        <w:t>quartiles,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support</w:t>
      </w:r>
      <w:r>
        <w:rPr>
          <w:spacing w:val="-9"/>
        </w:rPr>
        <w:t> </w:t>
      </w:r>
      <w:r>
        <w:rPr/>
        <w:t>received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an</w:t>
      </w:r>
      <w:r>
        <w:rPr>
          <w:spacing w:val="-7"/>
        </w:rPr>
        <w:t> </w:t>
      </w:r>
      <w:r>
        <w:rPr/>
        <w:t>article</w:t>
      </w:r>
      <w:r>
        <w:rPr>
          <w:spacing w:val="1"/>
        </w:rPr>
        <w:t> </w:t>
      </w:r>
      <w:r>
        <w:rPr/>
        <w:t>in the first quartile potentially more than 12 times higher than for an article published in a journal from the</w:t>
      </w:r>
      <w:r>
        <w:rPr>
          <w:spacing w:val="-53"/>
        </w:rPr>
        <w:t> </w:t>
      </w:r>
      <w:r>
        <w:rPr/>
        <w:t>fourth quartile. According to higher education stakeholders interviewed by the OECD, it is a common</w:t>
      </w:r>
      <w:r>
        <w:rPr>
          <w:spacing w:val="1"/>
        </w:rPr>
        <w:t> </w:t>
      </w:r>
      <w:r>
        <w:rPr/>
        <w:t>practice that a substantial share of these resources, allocated based on a methodology made available</w:t>
      </w:r>
      <w:r>
        <w:rPr>
          <w:spacing w:val="1"/>
        </w:rPr>
        <w:t> </w:t>
      </w:r>
      <w:r>
        <w:rPr/>
        <w:t>publicly, are</w:t>
      </w:r>
      <w:r>
        <w:rPr>
          <w:spacing w:val="-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 authors.</w:t>
      </w:r>
    </w:p>
    <w:p>
      <w:pPr>
        <w:pStyle w:val="BodyText"/>
        <w:spacing w:line="271" w:lineRule="auto" w:before="121"/>
        <w:ind w:left="183" w:right="300"/>
        <w:jc w:val="both"/>
      </w:pPr>
      <w:r>
        <w:rPr/>
        <w:t>Research funding is also allocated through competitive processes. Research grants are administrated by</w:t>
      </w:r>
      <w:r>
        <w:rPr>
          <w:spacing w:val="-53"/>
        </w:rPr>
        <w:t> </w:t>
      </w:r>
      <w:r>
        <w:rPr/>
        <w:t>several agencies – the Slovak Research and Development Agency (APVV) that finances middle-sized</w:t>
      </w:r>
      <w:r>
        <w:rPr>
          <w:spacing w:val="1"/>
        </w:rPr>
        <w:t> </w:t>
      </w:r>
      <w:r>
        <w:rPr/>
        <w:t>specific and international research projects and the Scientific, Cultural and Educational Grant Agencies</w:t>
      </w:r>
      <w:r>
        <w:rPr>
          <w:spacing w:val="1"/>
        </w:rPr>
        <w:t> </w:t>
      </w:r>
      <w:r>
        <w:rPr/>
        <w:t>(VEGA and KEGA) that supports small-scale research, cultural and educational projects. The Research</w:t>
      </w:r>
      <w:r>
        <w:rPr>
          <w:spacing w:val="1"/>
        </w:rPr>
        <w:t> </w:t>
      </w:r>
      <w:r>
        <w:rPr/>
        <w:t>Agency mostly finances infrastructure projects. Despite these various structures, the Value for Money</w:t>
      </w:r>
      <w:r>
        <w:rPr>
          <w:spacing w:val="1"/>
        </w:rPr>
        <w:t> </w:t>
      </w:r>
      <w:r>
        <w:rPr/>
        <w:t>project of the Ministry of Finance pointed out that less than 20% of research funding was allocated based</w:t>
      </w:r>
      <w:r>
        <w:rPr>
          <w:spacing w:val="-53"/>
        </w:rPr>
        <w:t> </w:t>
      </w:r>
      <w:r>
        <w:rPr>
          <w:position w:val="1"/>
        </w:rPr>
        <w:t>on</w:t>
      </w:r>
      <w:r>
        <w:rPr>
          <w:spacing w:val="-3"/>
          <w:position w:val="1"/>
        </w:rPr>
        <w:t> </w:t>
      </w:r>
      <w:r>
        <w:rPr>
          <w:position w:val="1"/>
        </w:rPr>
        <w:t>competitive</w:t>
      </w:r>
      <w:r>
        <w:rPr>
          <w:spacing w:val="1"/>
          <w:position w:val="1"/>
        </w:rPr>
        <w:t> </w:t>
      </w:r>
      <w:r>
        <w:rPr>
          <w:position w:val="1"/>
        </w:rPr>
        <w:t>grant</w:t>
      </w:r>
      <w:r>
        <w:rPr>
          <w:spacing w:val="1"/>
          <w:position w:val="1"/>
        </w:rPr>
        <w:t> </w:t>
      </w:r>
      <w:r>
        <w:rPr>
          <w:position w:val="1"/>
        </w:rPr>
        <w:t>schemes</w:t>
      </w:r>
      <w:r>
        <w:rPr>
          <w:spacing w:val="2"/>
          <w:position w:val="1"/>
        </w:rPr>
        <w:t> </w:t>
      </w:r>
      <w:r>
        <w:rPr>
          <w:position w:val="1"/>
        </w:rPr>
        <w:t>(MoE,</w:t>
      </w:r>
      <w:r>
        <w:rPr>
          <w:spacing w:val="1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[34]</w:t>
      </w:r>
      <w:r>
        <w:rPr>
          <w:position w:val="1"/>
        </w:rPr>
        <w:t>).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  <w:spacing w:before="1"/>
      </w:pPr>
      <w:bookmarkStart w:name="Challenges limiting the adoption of effe" w:id="122"/>
      <w:bookmarkEnd w:id="122"/>
      <w:r>
        <w:rPr>
          <w:b w:val="0"/>
          <w:i w:val="0"/>
        </w:rPr>
      </w:r>
      <w:r>
        <w:rPr/>
        <w:t>Challenges</w:t>
      </w:r>
      <w:r>
        <w:rPr>
          <w:spacing w:val="-6"/>
        </w:rPr>
        <w:t> </w:t>
      </w:r>
      <w:r>
        <w:rPr/>
        <w:t>limiting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adoption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reforms</w:t>
      </w: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Heading7"/>
      </w:pPr>
      <w:bookmarkStart w:name="Funding levels and priorities" w:id="123"/>
      <w:bookmarkEnd w:id="123"/>
      <w:r>
        <w:rPr>
          <w:i w:val="0"/>
        </w:rPr>
      </w:r>
      <w:r>
        <w:rPr>
          <w:color w:val="616161"/>
        </w:rPr>
        <w:t>Funding</w:t>
      </w:r>
      <w:r>
        <w:rPr>
          <w:color w:val="616161"/>
          <w:spacing w:val="-6"/>
        </w:rPr>
        <w:t> </w:t>
      </w:r>
      <w:r>
        <w:rPr>
          <w:color w:val="616161"/>
        </w:rPr>
        <w:t>levels</w:t>
      </w:r>
      <w:r>
        <w:rPr>
          <w:color w:val="616161"/>
          <w:spacing w:val="-5"/>
        </w:rPr>
        <w:t> </w:t>
      </w:r>
      <w:r>
        <w:rPr>
          <w:color w:val="616161"/>
        </w:rPr>
        <w:t>and</w:t>
      </w:r>
      <w:r>
        <w:rPr>
          <w:color w:val="616161"/>
          <w:spacing w:val="-6"/>
        </w:rPr>
        <w:t> </w:t>
      </w:r>
      <w:r>
        <w:rPr>
          <w:color w:val="616161"/>
        </w:rPr>
        <w:t>priorities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While funding per student in the Slovak Republic has increased in recent years due to declining student</w:t>
      </w:r>
      <w:r>
        <w:rPr>
          <w:spacing w:val="1"/>
        </w:rPr>
        <w:t> </w:t>
      </w:r>
      <w:r>
        <w:rPr/>
        <w:t>numbers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influx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European</w:t>
      </w:r>
      <w:r>
        <w:rPr>
          <w:spacing w:val="-6"/>
        </w:rPr>
        <w:t> </w:t>
      </w:r>
      <w:r>
        <w:rPr/>
        <w:t>funds,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remains</w:t>
      </w:r>
      <w:r>
        <w:rPr>
          <w:spacing w:val="-3"/>
        </w:rPr>
        <w:t> </w:t>
      </w:r>
      <w:r>
        <w:rPr/>
        <w:t>below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high-performing</w:t>
      </w:r>
      <w:r>
        <w:rPr>
          <w:spacing w:val="-6"/>
        </w:rPr>
        <w:t> </w:t>
      </w:r>
      <w:r>
        <w:rPr/>
        <w:t>OECD</w:t>
      </w:r>
      <w:r>
        <w:rPr>
          <w:spacing w:val="-5"/>
        </w:rPr>
        <w:t> </w:t>
      </w:r>
      <w:r>
        <w:rPr/>
        <w:t>countries.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addition,</w:t>
      </w:r>
      <w:r>
        <w:rPr>
          <w:spacing w:val="-9"/>
        </w:rPr>
        <w:t> </w:t>
      </w:r>
      <w:r>
        <w:rPr>
          <w:spacing w:val="-1"/>
        </w:rPr>
        <w:t>HEIs</w:t>
      </w:r>
      <w:r>
        <w:rPr>
          <w:spacing w:val="-9"/>
        </w:rPr>
        <w:t> </w:t>
      </w:r>
      <w:r>
        <w:rPr>
          <w:spacing w:val="-1"/>
        </w:rPr>
        <w:t>face</w:t>
      </w:r>
      <w:r>
        <w:rPr>
          <w:spacing w:val="-11"/>
        </w:rPr>
        <w:t> </w:t>
      </w:r>
      <w:r>
        <w:rPr/>
        <w:t>limitations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ways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they</w:t>
      </w:r>
      <w:r>
        <w:rPr>
          <w:spacing w:val="-14"/>
        </w:rPr>
        <w:t> </w:t>
      </w:r>
      <w:r>
        <w:rPr/>
        <w:t>can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additional</w:t>
      </w:r>
      <w:r>
        <w:rPr>
          <w:spacing w:val="-9"/>
        </w:rPr>
        <w:t> </w:t>
      </w:r>
      <w:r>
        <w:rPr/>
        <w:t>funding.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particular,</w:t>
      </w:r>
      <w:r>
        <w:rPr>
          <w:spacing w:val="-7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 constrain</w:t>
      </w:r>
      <w:r>
        <w:rPr>
          <w:spacing w:val="-1"/>
        </w:rPr>
        <w:t> </w:t>
      </w:r>
      <w:r>
        <w:rPr/>
        <w:t>spending on</w:t>
      </w:r>
      <w:r>
        <w:rPr>
          <w:spacing w:val="-2"/>
        </w:rPr>
        <w:t> </w:t>
      </w:r>
      <w:r>
        <w:rPr/>
        <w:t>human</w:t>
      </w:r>
      <w:r>
        <w:rPr>
          <w:spacing w:val="-3"/>
        </w:rPr>
        <w:t> </w:t>
      </w:r>
      <w:r>
        <w:rPr/>
        <w:t>resources.</w:t>
      </w:r>
    </w:p>
    <w:p>
      <w:pPr>
        <w:pStyle w:val="BodyText"/>
        <w:spacing w:line="271" w:lineRule="auto" w:before="120"/>
        <w:ind w:left="183" w:right="304"/>
        <w:jc w:val="both"/>
      </w:pPr>
      <w:r>
        <w:rPr/>
        <w:t>The total amount of funding HEIs can allocate to human resources is determined by the public funding</w:t>
      </w:r>
      <w:r>
        <w:rPr>
          <w:spacing w:val="1"/>
        </w:rPr>
        <w:t> </w:t>
      </w:r>
      <w:r>
        <w:rPr>
          <w:spacing w:val="-1"/>
        </w:rPr>
        <w:t>framework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two</w:t>
      </w:r>
      <w:r>
        <w:rPr>
          <w:spacing w:val="-12"/>
        </w:rPr>
        <w:t> </w:t>
      </w:r>
      <w:r>
        <w:rPr>
          <w:spacing w:val="-1"/>
        </w:rPr>
        <w:t>ways.</w:t>
      </w:r>
      <w:r>
        <w:rPr>
          <w:spacing w:val="-13"/>
        </w:rPr>
        <w:t> </w:t>
      </w:r>
      <w:r>
        <w:rPr>
          <w:spacing w:val="-1"/>
        </w:rPr>
        <w:t>First,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total</w:t>
      </w:r>
      <w:r>
        <w:rPr>
          <w:spacing w:val="-14"/>
        </w:rPr>
        <w:t> </w:t>
      </w:r>
      <w:r>
        <w:rPr>
          <w:spacing w:val="-1"/>
        </w:rPr>
        <w:t>amount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public</w:t>
      </w:r>
      <w:r>
        <w:rPr>
          <w:spacing w:val="-12"/>
        </w:rPr>
        <w:t> </w:t>
      </w:r>
      <w:r>
        <w:rPr>
          <w:spacing w:val="-1"/>
        </w:rPr>
        <w:t>funding</w:t>
      </w:r>
      <w:r>
        <w:rPr>
          <w:spacing w:val="-14"/>
        </w:rPr>
        <w:t> </w:t>
      </w:r>
      <w:r>
        <w:rPr>
          <w:spacing w:val="-1"/>
        </w:rPr>
        <w:t>available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HEIs,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driven</w:t>
      </w:r>
      <w:r>
        <w:rPr>
          <w:spacing w:val="-13"/>
        </w:rPr>
        <w:t> </w:t>
      </w:r>
      <w:r>
        <w:rPr/>
        <w:t>by</w:t>
      </w:r>
      <w:r>
        <w:rPr>
          <w:spacing w:val="-19"/>
        </w:rPr>
        <w:t> </w:t>
      </w:r>
      <w:r>
        <w:rPr/>
        <w:t>student</w:t>
      </w:r>
      <w:r>
        <w:rPr>
          <w:spacing w:val="1"/>
        </w:rPr>
        <w:t> </w:t>
      </w:r>
      <w:r>
        <w:rPr/>
        <w:t>and graduate numbers as shown previously, imposes limits on their overall spending on staff wages that</w:t>
      </w:r>
      <w:r>
        <w:rPr>
          <w:spacing w:val="1"/>
        </w:rPr>
        <w:t> </w:t>
      </w:r>
      <w:r>
        <w:rPr/>
        <w:t>form the large majority of the “teaching” category in the funding formula (see </w:t>
      </w:r>
      <w:hyperlink w:history="true" w:anchor="_bookmark45">
        <w:r>
          <w:rPr/>
          <w:t>Table 3.3</w:t>
        </w:r>
      </w:hyperlink>
      <w:r>
        <w:rPr/>
        <w:t>). With declining</w:t>
      </w:r>
      <w:r>
        <w:rPr>
          <w:spacing w:val="1"/>
        </w:rPr>
        <w:t> </w:t>
      </w:r>
      <w:r>
        <w:rPr/>
        <w:t>student</w:t>
      </w:r>
      <w:r>
        <w:rPr>
          <w:spacing w:val="-8"/>
        </w:rPr>
        <w:t> </w:t>
      </w:r>
      <w:r>
        <w:rPr/>
        <w:t>numbers,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lower</w:t>
      </w:r>
      <w:r>
        <w:rPr>
          <w:spacing w:val="-9"/>
        </w:rPr>
        <w:t> </w:t>
      </w:r>
      <w:r>
        <w:rPr/>
        <w:t>amount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public</w:t>
      </w:r>
      <w:r>
        <w:rPr>
          <w:spacing w:val="-9"/>
        </w:rPr>
        <w:t> </w:t>
      </w:r>
      <w:r>
        <w:rPr/>
        <w:t>funding</w:t>
      </w:r>
      <w:r>
        <w:rPr>
          <w:spacing w:val="-9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HEI</w:t>
      </w:r>
      <w:r>
        <w:rPr>
          <w:spacing w:val="-7"/>
        </w:rPr>
        <w:t> </w:t>
      </w:r>
      <w:r>
        <w:rPr/>
        <w:t>expenditure</w:t>
      </w:r>
      <w:r>
        <w:rPr>
          <w:spacing w:val="-7"/>
        </w:rPr>
        <w:t> </w:t>
      </w:r>
      <w:r>
        <w:rPr/>
        <w:t>overall,</w:t>
      </w:r>
      <w:r>
        <w:rPr>
          <w:spacing w:val="-7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staff.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Second,</w:t>
      </w:r>
      <w:r>
        <w:rPr>
          <w:spacing w:val="-5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there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flows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EU</w:t>
      </w:r>
      <w:r>
        <w:rPr>
          <w:spacing w:val="-5"/>
        </w:rPr>
        <w:t> </w:t>
      </w:r>
      <w:r>
        <w:rPr/>
        <w:t>structural</w:t>
      </w:r>
      <w:r>
        <w:rPr>
          <w:spacing w:val="-5"/>
        </w:rPr>
        <w:t> </w:t>
      </w:r>
      <w:r>
        <w:rPr/>
        <w:t>funds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 the Slovak Republic makes limited use of available EU structural funds. In 2019, the country had</w:t>
      </w:r>
      <w:r>
        <w:rPr>
          <w:spacing w:val="1"/>
        </w:rPr>
        <w:t> </w:t>
      </w:r>
      <w:r>
        <w:rPr/>
        <w:t>drawn about 23% of the total allocation of EU funds to the Slovak Republic for the budgetary period of</w:t>
      </w:r>
      <w:r>
        <w:rPr>
          <w:spacing w:val="1"/>
        </w:rPr>
        <w:t> </w:t>
      </w:r>
      <w:r>
        <w:rPr>
          <w:position w:val="1"/>
        </w:rPr>
        <w:t>2014-20</w:t>
      </w:r>
      <w:r>
        <w:rPr>
          <w:spacing w:val="-2"/>
          <w:position w:val="1"/>
        </w:rPr>
        <w:t> </w:t>
      </w:r>
      <w:r>
        <w:rPr>
          <w:position w:val="1"/>
        </w:rPr>
        <w:t>(Government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Slovak</w:t>
      </w:r>
      <w:r>
        <w:rPr>
          <w:spacing w:val="2"/>
          <w:position w:val="1"/>
        </w:rPr>
        <w:t> </w:t>
      </w:r>
      <w:r>
        <w:rPr>
          <w:position w:val="1"/>
        </w:rPr>
        <w:t>Republic,</w:t>
      </w:r>
      <w:r>
        <w:rPr>
          <w:spacing w:val="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[35]</w:t>
      </w:r>
      <w:r>
        <w:rPr>
          <w:position w:val="1"/>
        </w:rPr>
        <w:t>).</w:t>
      </w:r>
    </w:p>
    <w:p>
      <w:pPr>
        <w:pStyle w:val="BodyText"/>
        <w:spacing w:line="271" w:lineRule="auto" w:before="118"/>
        <w:ind w:left="183" w:right="302"/>
        <w:jc w:val="both"/>
      </w:pPr>
      <w:r>
        <w:rPr/>
        <w:t>According to the Learning Makes Sense study (</w:t>
      </w:r>
      <w:r>
        <w:rPr>
          <w:rFonts w:ascii="Arial" w:hAnsi="Arial"/>
          <w:i/>
        </w:rPr>
        <w:t>To dá rozum</w:t>
      </w:r>
      <w:r>
        <w:rPr/>
        <w:t>), the under-utilisation of funds during the</w:t>
      </w:r>
      <w:r>
        <w:rPr>
          <w:spacing w:val="1"/>
        </w:rPr>
        <w:t> </w:t>
      </w:r>
      <w:r>
        <w:rPr/>
        <w:t>2014-20 period resulted from multiple challenges. These include the lack of a national strategy to use the</w:t>
      </w:r>
      <w:r>
        <w:rPr>
          <w:spacing w:val="-53"/>
        </w:rPr>
        <w:t> </w:t>
      </w:r>
      <w:r>
        <w:rPr/>
        <w:t>funds, in turn leading to delays in announcing calls and implementing projects, insufficient numbers of</w:t>
      </w:r>
      <w:r>
        <w:rPr>
          <w:spacing w:val="1"/>
        </w:rPr>
        <w:t> </w:t>
      </w:r>
      <w:r>
        <w:rPr/>
        <w:t>expert evaluators to review proposals, and uncoordinated project inspections by multiple government</w:t>
      </w:r>
      <w:r>
        <w:rPr>
          <w:spacing w:val="1"/>
        </w:rPr>
        <w:t> </w:t>
      </w:r>
      <w:r>
        <w:rPr/>
        <w:t>bodies.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noted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significant</w:t>
      </w:r>
      <w:r>
        <w:rPr>
          <w:spacing w:val="-13"/>
        </w:rPr>
        <w:t> </w:t>
      </w:r>
      <w:r>
        <w:rPr/>
        <w:t>administrative</w:t>
      </w:r>
      <w:r>
        <w:rPr>
          <w:spacing w:val="-13"/>
        </w:rPr>
        <w:t> </w:t>
      </w:r>
      <w:r>
        <w:rPr/>
        <w:t>burden</w:t>
      </w:r>
      <w:r>
        <w:rPr>
          <w:spacing w:val="-13"/>
        </w:rPr>
        <w:t> </w:t>
      </w:r>
      <w:r>
        <w:rPr/>
        <w:t>involved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preparing</w:t>
      </w:r>
      <w:r>
        <w:rPr>
          <w:spacing w:val="-14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poor</w:t>
      </w:r>
      <w:r>
        <w:rPr>
          <w:spacing w:val="-8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those</w:t>
      </w:r>
      <w:r>
        <w:rPr>
          <w:spacing w:val="-9"/>
        </w:rPr>
        <w:t> </w:t>
      </w:r>
      <w:r>
        <w:rPr/>
        <w:t>proposals,</w:t>
      </w:r>
      <w:r>
        <w:rPr>
          <w:spacing w:val="-9"/>
        </w:rPr>
        <w:t> </w:t>
      </w:r>
      <w:r>
        <w:rPr/>
        <w:t>often</w:t>
      </w:r>
      <w:r>
        <w:rPr>
          <w:spacing w:val="-6"/>
        </w:rPr>
        <w:t> </w:t>
      </w:r>
      <w:r>
        <w:rPr/>
        <w:t>outsourced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third</w:t>
      </w:r>
      <w:r>
        <w:rPr>
          <w:spacing w:val="-9"/>
        </w:rPr>
        <w:t> </w:t>
      </w:r>
      <w:r>
        <w:rPr/>
        <w:t>parties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HEI</w:t>
      </w:r>
      <w:r>
        <w:rPr>
          <w:spacing w:val="-9"/>
        </w:rPr>
        <w:t> </w:t>
      </w:r>
      <w:r>
        <w:rPr/>
        <w:t>staff</w:t>
      </w:r>
      <w:r>
        <w:rPr>
          <w:spacing w:val="-9"/>
        </w:rPr>
        <w:t> </w:t>
      </w:r>
      <w:r>
        <w:rPr/>
        <w:t>themselves</w:t>
      </w:r>
      <w:r>
        <w:rPr>
          <w:spacing w:val="-8"/>
        </w:rPr>
        <w:t> </w:t>
      </w:r>
      <w:r>
        <w:rPr/>
        <w:t>face</w:t>
      </w:r>
      <w:r>
        <w:rPr>
          <w:spacing w:val="-9"/>
        </w:rPr>
        <w:t> </w:t>
      </w:r>
      <w:r>
        <w:rPr/>
        <w:t>high</w:t>
      </w:r>
      <w:r>
        <w:rPr>
          <w:spacing w:val="1"/>
        </w:rPr>
        <w:t> </w:t>
      </w:r>
      <w:r>
        <w:rPr>
          <w:position w:val="1"/>
        </w:rPr>
        <w:t>levels</w:t>
      </w:r>
      <w:r>
        <w:rPr>
          <w:spacing w:val="-8"/>
          <w:position w:val="1"/>
        </w:rPr>
        <w:t> </w:t>
      </w:r>
      <w:r>
        <w:rPr>
          <w:position w:val="1"/>
        </w:rPr>
        <w:t>of</w:t>
      </w:r>
      <w:r>
        <w:rPr>
          <w:spacing w:val="-8"/>
          <w:position w:val="1"/>
        </w:rPr>
        <w:t> </w:t>
      </w:r>
      <w:r>
        <w:rPr>
          <w:position w:val="1"/>
        </w:rPr>
        <w:t>administrative</w:t>
      </w:r>
      <w:r>
        <w:rPr>
          <w:spacing w:val="-9"/>
          <w:position w:val="1"/>
        </w:rPr>
        <w:t> </w:t>
      </w:r>
      <w:r>
        <w:rPr>
          <w:position w:val="1"/>
        </w:rPr>
        <w:t>burden</w:t>
      </w:r>
      <w:r>
        <w:rPr>
          <w:spacing w:val="-9"/>
          <w:position w:val="1"/>
        </w:rPr>
        <w:t> </w:t>
      </w:r>
      <w:r>
        <w:rPr>
          <w:position w:val="1"/>
        </w:rPr>
        <w:t>in</w:t>
      </w:r>
      <w:r>
        <w:rPr>
          <w:spacing w:val="-11"/>
          <w:position w:val="1"/>
        </w:rPr>
        <w:t> </w:t>
      </w:r>
      <w:r>
        <w:rPr>
          <w:position w:val="1"/>
        </w:rPr>
        <w:t>their</w:t>
      </w:r>
      <w:r>
        <w:rPr>
          <w:spacing w:val="-10"/>
          <w:position w:val="1"/>
        </w:rPr>
        <w:t> </w:t>
      </w:r>
      <w:r>
        <w:rPr>
          <w:position w:val="1"/>
        </w:rPr>
        <w:t>regular</w:t>
      </w:r>
      <w:r>
        <w:rPr>
          <w:spacing w:val="-9"/>
          <w:position w:val="1"/>
        </w:rPr>
        <w:t> </w:t>
      </w:r>
      <w:r>
        <w:rPr>
          <w:position w:val="1"/>
        </w:rPr>
        <w:t>activities</w:t>
      </w:r>
      <w:r>
        <w:rPr>
          <w:spacing w:val="-5"/>
          <w:position w:val="1"/>
        </w:rPr>
        <w:t> </w:t>
      </w:r>
      <w:r>
        <w:rPr>
          <w:position w:val="1"/>
        </w:rPr>
        <w:t>(MESA10,</w:t>
      </w:r>
      <w:r>
        <w:rPr>
          <w:spacing w:val="-10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[9]</w:t>
      </w:r>
      <w:r>
        <w:rPr>
          <w:position w:val="1"/>
        </w:rPr>
        <w:t>).</w:t>
      </w:r>
      <w:r>
        <w:rPr>
          <w:spacing w:val="-8"/>
          <w:position w:val="1"/>
        </w:rPr>
        <w:t> </w:t>
      </w:r>
      <w:r>
        <w:rPr>
          <w:position w:val="1"/>
        </w:rPr>
        <w:t>Another</w:t>
      </w:r>
      <w:r>
        <w:rPr>
          <w:spacing w:val="-10"/>
          <w:position w:val="1"/>
        </w:rPr>
        <w:t> </w:t>
      </w:r>
      <w:r>
        <w:rPr>
          <w:position w:val="1"/>
        </w:rPr>
        <w:t>reason</w:t>
      </w:r>
      <w:r>
        <w:rPr>
          <w:spacing w:val="-7"/>
          <w:position w:val="1"/>
        </w:rPr>
        <w:t> </w:t>
      </w:r>
      <w:r>
        <w:rPr>
          <w:position w:val="1"/>
        </w:rPr>
        <w:t>underlying</w:t>
      </w:r>
      <w:r>
        <w:rPr>
          <w:spacing w:val="-11"/>
          <w:position w:val="1"/>
        </w:rPr>
        <w:t> </w:t>
      </w:r>
      <w:r>
        <w:rPr>
          <w:position w:val="1"/>
        </w:rPr>
        <w:t>this</w:t>
      </w:r>
      <w:r>
        <w:rPr>
          <w:spacing w:val="1"/>
          <w:position w:val="1"/>
        </w:rPr>
        <w:t> </w:t>
      </w:r>
      <w:r>
        <w:rPr/>
        <w:t>under-utilisation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funds</w:t>
      </w:r>
      <w:r>
        <w:rPr>
          <w:spacing w:val="11"/>
        </w:rPr>
        <w:t> </w:t>
      </w:r>
      <w:r>
        <w:rPr/>
        <w:t>relates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constraints</w:t>
      </w:r>
      <w:r>
        <w:rPr>
          <w:spacing w:val="12"/>
        </w:rPr>
        <w:t> </w:t>
      </w:r>
      <w:r>
        <w:rPr/>
        <w:t>associated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European</w:t>
      </w:r>
      <w:r>
        <w:rPr>
          <w:spacing w:val="9"/>
        </w:rPr>
        <w:t> </w:t>
      </w:r>
      <w:r>
        <w:rPr/>
        <w:t>funding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are</w:t>
      </w:r>
      <w:r>
        <w:rPr>
          <w:spacing w:val="14"/>
        </w:rPr>
        <w:t> </w:t>
      </w:r>
      <w:r>
        <w:rPr/>
        <w:t>not</w:t>
      </w:r>
      <w:r>
        <w:rPr>
          <w:spacing w:val="11"/>
        </w:rPr>
        <w:t> </w:t>
      </w:r>
      <w:r>
        <w:rPr/>
        <w:t>unique</w:t>
      </w:r>
      <w:r>
        <w:rPr>
          <w:spacing w:val="12"/>
        </w:rPr>
        <w:t> </w:t>
      </w:r>
      <w:r>
        <w:rPr/>
        <w:t>to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5"/>
        <w:jc w:val="both"/>
      </w:pPr>
      <w:r>
        <w:rPr/>
        <w:t>the Slovak Republic: HEIs in the Bratislava region were not eligible to the same amount of European</w:t>
      </w:r>
      <w:r>
        <w:rPr>
          <w:spacing w:val="1"/>
        </w:rPr>
        <w:t> </w:t>
      </w:r>
      <w:r>
        <w:rPr/>
        <w:t>Structural and Investment Funds (ESIF) as HEIs in other regions despite most research activity taking</w:t>
      </w:r>
      <w:r>
        <w:rPr>
          <w:spacing w:val="1"/>
        </w:rPr>
        <w:t> </w:t>
      </w:r>
      <w:r>
        <w:rPr/>
        <w:t>place in</w:t>
      </w:r>
      <w:r>
        <w:rPr>
          <w:spacing w:val="1"/>
        </w:rPr>
        <w:t> </w:t>
      </w:r>
      <w:r>
        <w:rPr/>
        <w:t>Bratislava.</w:t>
      </w:r>
    </w:p>
    <w:p>
      <w:pPr>
        <w:pStyle w:val="BodyText"/>
        <w:spacing w:line="271" w:lineRule="auto" w:before="120"/>
        <w:ind w:left="183" w:right="299"/>
        <w:jc w:val="both"/>
      </w:pPr>
      <w:r>
        <w:rPr>
          <w:spacing w:val="-1"/>
        </w:rPr>
        <w:t>Furthermore,</w:t>
      </w:r>
      <w:r>
        <w:rPr>
          <w:spacing w:val="-13"/>
        </w:rPr>
        <w:t> </w:t>
      </w:r>
      <w:r>
        <w:rPr/>
        <w:t>EU</w:t>
      </w:r>
      <w:r>
        <w:rPr>
          <w:spacing w:val="-9"/>
        </w:rPr>
        <w:t> </w:t>
      </w:r>
      <w:r>
        <w:rPr/>
        <w:t>funds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mostly</w:t>
      </w:r>
      <w:r>
        <w:rPr>
          <w:spacing w:val="-13"/>
        </w:rPr>
        <w:t> </w:t>
      </w:r>
      <w:r>
        <w:rPr/>
        <w:t>been</w:t>
      </w:r>
      <w:r>
        <w:rPr>
          <w:spacing w:val="-11"/>
        </w:rPr>
        <w:t> </w:t>
      </w:r>
      <w:r>
        <w:rPr/>
        <w:t>targeted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capital</w:t>
      </w:r>
      <w:r>
        <w:rPr>
          <w:spacing w:val="-12"/>
        </w:rPr>
        <w:t> </w:t>
      </w:r>
      <w:r>
        <w:rPr/>
        <w:t>expenditure.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shown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hyperlink w:history="true" w:anchor="_bookmark46">
        <w:r>
          <w:rPr/>
          <w:t>Figure</w:t>
        </w:r>
        <w:r>
          <w:rPr>
            <w:spacing w:val="-2"/>
          </w:rPr>
          <w:t> </w:t>
        </w:r>
        <w:r>
          <w:rPr/>
          <w:t>3.3,</w:t>
        </w:r>
        <w:r>
          <w:rPr>
            <w:spacing w:val="-9"/>
          </w:rPr>
          <w:t> </w:t>
        </w:r>
      </w:hyperlink>
      <w:r>
        <w:rPr/>
        <w:t>Panel</w:t>
      </w:r>
      <w:r>
        <w:rPr>
          <w:spacing w:val="-3"/>
        </w:rPr>
        <w:t> </w:t>
      </w:r>
      <w:r>
        <w:rPr/>
        <w:t>A,</w:t>
      </w:r>
      <w:r>
        <w:rPr>
          <w:spacing w:val="-53"/>
        </w:rPr>
        <w:t> </w:t>
      </w:r>
      <w:r>
        <w:rPr/>
        <w:t>the increase of total resources for public higher education between 2010 and 2019 was not accompanied</w:t>
      </w:r>
      <w:r>
        <w:rPr>
          <w:spacing w:val="-53"/>
        </w:rPr>
        <w:t> </w:t>
      </w:r>
      <w:r>
        <w:rPr/>
        <w:t>by a commensurate rise in spending on wages for higher education staff. Investments planned as part of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Slovak</w:t>
      </w:r>
      <w:r>
        <w:rPr>
          <w:spacing w:val="-3"/>
        </w:rPr>
        <w:t> </w:t>
      </w:r>
      <w:r>
        <w:rPr/>
        <w:t>Republic’s</w:t>
      </w:r>
      <w:r>
        <w:rPr>
          <w:spacing w:val="-5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RRP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strategic</w:t>
      </w:r>
      <w:r>
        <w:rPr>
          <w:spacing w:val="-5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HEIs</w:t>
      </w:r>
      <w:r>
        <w:rPr>
          <w:spacing w:val="-5"/>
        </w:rPr>
        <w:t> </w:t>
      </w:r>
      <w:r>
        <w:rPr/>
        <w:t>also</w:t>
      </w:r>
      <w:r>
        <w:rPr>
          <w:spacing w:val="-7"/>
        </w:rPr>
        <w:t> </w:t>
      </w:r>
      <w:r>
        <w:rPr/>
        <w:t>show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major</w:t>
      </w:r>
      <w:r>
        <w:rPr>
          <w:spacing w:val="-8"/>
        </w:rPr>
        <w:t> </w:t>
      </w:r>
      <w:r>
        <w:rPr/>
        <w:t>focus</w:t>
      </w:r>
      <w:r>
        <w:rPr>
          <w:spacing w:val="1"/>
        </w:rPr>
        <w:t> </w:t>
      </w:r>
      <w:r>
        <w:rPr/>
        <w:t>on physical infrastructure projects, both to upgrade and to create new school and housing facilities, as</w:t>
      </w:r>
      <w:r>
        <w:rPr>
          <w:spacing w:val="1"/>
        </w:rPr>
        <w:t> </w:t>
      </w:r>
      <w:r>
        <w:rPr>
          <w:spacing w:val="-1"/>
        </w:rPr>
        <w:t>discussed</w:t>
      </w:r>
      <w:r>
        <w:rPr>
          <w:spacing w:val="-13"/>
        </w:rPr>
        <w:t> </w:t>
      </w:r>
      <w:r>
        <w:rPr>
          <w:spacing w:val="-1"/>
        </w:rPr>
        <w:t>above.</w:t>
      </w:r>
      <w:r>
        <w:rPr>
          <w:spacing w:val="-13"/>
        </w:rPr>
        <w:t> </w:t>
      </w:r>
      <w:r>
        <w:rPr>
          <w:spacing w:val="-1"/>
        </w:rPr>
        <w:t>Despite</w:t>
      </w:r>
      <w:r>
        <w:rPr>
          <w:spacing w:val="-10"/>
        </w:rPr>
        <w:t> </w:t>
      </w:r>
      <w:r>
        <w:rPr>
          <w:spacing w:val="-1"/>
        </w:rPr>
        <w:t>these</w:t>
      </w:r>
      <w:r>
        <w:rPr>
          <w:spacing w:val="-13"/>
        </w:rPr>
        <w:t> </w:t>
      </w:r>
      <w:r>
        <w:rPr>
          <w:spacing w:val="-1"/>
        </w:rPr>
        <w:t>limitations,</w:t>
      </w:r>
      <w:r>
        <w:rPr>
          <w:spacing w:val="-12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European</w:t>
      </w:r>
      <w:r>
        <w:rPr>
          <w:spacing w:val="-12"/>
        </w:rPr>
        <w:t> </w:t>
      </w:r>
      <w:r>
        <w:rPr/>
        <w:t>structural</w:t>
      </w:r>
      <w:r>
        <w:rPr>
          <w:spacing w:val="-13"/>
        </w:rPr>
        <w:t> </w:t>
      </w:r>
      <w:r>
        <w:rPr/>
        <w:t>funds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played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role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funding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Slovak</w:t>
      </w:r>
      <w:r>
        <w:rPr>
          <w:spacing w:val="1"/>
        </w:rPr>
        <w:t> </w:t>
      </w:r>
      <w:r>
        <w:rPr/>
        <w:t>Republic.</w:t>
      </w:r>
      <w:r>
        <w:rPr>
          <w:spacing w:val="-7"/>
        </w:rPr>
        <w:t> </w:t>
      </w:r>
      <w:r>
        <w:rPr/>
        <w:t>New</w:t>
      </w:r>
      <w:r>
        <w:rPr>
          <w:spacing w:val="-11"/>
        </w:rPr>
        <w:t> </w:t>
      </w:r>
      <w:r>
        <w:rPr/>
        <w:t>funds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Recovery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Resilience</w:t>
      </w:r>
      <w:r>
        <w:rPr>
          <w:spacing w:val="1"/>
        </w:rPr>
        <w:t> </w:t>
      </w:r>
      <w:r>
        <w:rPr/>
        <w:t>Facility</w:t>
      </w:r>
      <w:r>
        <w:rPr>
          <w:spacing w:val="-3"/>
        </w:rPr>
        <w:t> </w:t>
      </w:r>
      <w:r>
        <w:rPr/>
        <w:t>are 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continue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trend, as outlined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Action</w:t>
      </w:r>
      <w:r>
        <w:rPr>
          <w:spacing w:val="-2"/>
        </w:rPr>
        <w:t> </w:t>
      </w:r>
      <w:r>
        <w:rPr/>
        <w:t>Step 1</w:t>
      </w:r>
      <w:r>
        <w:rPr>
          <w:spacing w:val="-1"/>
        </w:rPr>
        <w:t> </w:t>
      </w:r>
      <w:r>
        <w:rPr/>
        <w:t>(see</w:t>
      </w:r>
      <w:r>
        <w:rPr>
          <w:spacing w:val="3"/>
        </w:rPr>
        <w:t> </w:t>
      </w:r>
      <w:hyperlink w:history="true" w:anchor="_bookmark38">
        <w:r>
          <w:rPr/>
          <w:t>Box 3.3</w:t>
        </w:r>
      </w:hyperlink>
      <w:r>
        <w:rPr/>
        <w:t>).</w:t>
      </w:r>
    </w:p>
    <w:p>
      <w:pPr>
        <w:pStyle w:val="BodyText"/>
        <w:spacing w:line="271" w:lineRule="auto" w:before="119"/>
        <w:ind w:left="183" w:right="303"/>
        <w:jc w:val="both"/>
      </w:pPr>
      <w:r>
        <w:rPr/>
        <w:t>At the same time, while the decrease in enrolment could, in principle, reduce overall teaching costs and</w:t>
      </w:r>
      <w:r>
        <w:rPr>
          <w:spacing w:val="1"/>
        </w:rPr>
        <w:t> </w:t>
      </w:r>
      <w:r>
        <w:rPr/>
        <w:t>reallocate them towards initiatives to improve teaching quality, the size of the teaching workforce has</w:t>
      </w:r>
      <w:r>
        <w:rPr>
          <w:spacing w:val="1"/>
        </w:rPr>
        <w:t> </w:t>
      </w:r>
      <w:r>
        <w:rPr/>
        <w:t>decreased to a much lower</w:t>
      </w:r>
      <w:r>
        <w:rPr>
          <w:spacing w:val="1"/>
        </w:rPr>
        <w:t> </w:t>
      </w:r>
      <w:r>
        <w:rPr/>
        <w:t>extent that the numbers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 past decade. As</w:t>
      </w:r>
      <w:r>
        <w:rPr>
          <w:spacing w:val="55"/>
        </w:rPr>
        <w:t> </w:t>
      </w:r>
      <w:r>
        <w:rPr/>
        <w:t>shown in</w:t>
      </w:r>
      <w:r>
        <w:rPr>
          <w:spacing w:val="1"/>
        </w:rPr>
        <w:t> </w:t>
      </w:r>
      <w:hyperlink w:history="true" w:anchor="_bookmark46">
        <w:r>
          <w:rPr/>
          <w:t>Figure 3.3 </w:t>
        </w:r>
      </w:hyperlink>
      <w:r>
        <w:rPr/>
        <w:t>Panel B, between 2009 and 2019, while the number of higher education students dropped by</w:t>
      </w:r>
      <w:r>
        <w:rPr>
          <w:spacing w:val="1"/>
        </w:rPr>
        <w:t> </w:t>
      </w:r>
      <w:r>
        <w:rPr/>
        <w:t>around 40%, the number of higher education teachers declined by approximately 10% and the number of</w:t>
      </w:r>
      <w:r>
        <w:rPr>
          <w:spacing w:val="-53"/>
        </w:rPr>
        <w:t> </w:t>
      </w:r>
      <w:r>
        <w:rPr/>
        <w:t>professors</w:t>
      </w:r>
      <w:r>
        <w:rPr>
          <w:spacing w:val="-8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around</w:t>
      </w:r>
      <w:r>
        <w:rPr>
          <w:spacing w:val="-6"/>
        </w:rPr>
        <w:t> </w:t>
      </w:r>
      <w:r>
        <w:rPr/>
        <w:t>5%.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might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combination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academic</w:t>
      </w:r>
      <w:r>
        <w:rPr>
          <w:spacing w:val="-8"/>
        </w:rPr>
        <w:t> </w:t>
      </w:r>
      <w:r>
        <w:rPr/>
        <w:t>employment</w:t>
      </w:r>
      <w:r>
        <w:rPr>
          <w:spacing w:val="-9"/>
        </w:rPr>
        <w:t> </w:t>
      </w:r>
      <w:r>
        <w:rPr/>
        <w:t>rules,</w:t>
      </w:r>
      <w:r>
        <w:rPr>
          <w:spacing w:val="1"/>
        </w:rPr>
        <w:t> </w:t>
      </w:r>
      <w:r>
        <w:rPr/>
        <w:t>discussed below in “Enabling responsive institutional governance and management”, and of the ageing</w:t>
      </w:r>
      <w:r>
        <w:rPr>
          <w:spacing w:val="1"/>
        </w:rPr>
        <w:t> </w:t>
      </w:r>
      <w:r>
        <w:rPr/>
        <w:t>profiles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2"/>
        </w:rPr>
        <w:t> </w:t>
      </w:r>
      <w:r>
        <w:rPr/>
        <w:t>education teachers.</w:t>
      </w:r>
    </w:p>
    <w:p>
      <w:pPr>
        <w:pStyle w:val="BodyText"/>
        <w:spacing w:line="271" w:lineRule="auto" w:before="123"/>
        <w:ind w:left="183" w:right="302"/>
        <w:jc w:val="both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2018,</w:t>
      </w:r>
      <w:r>
        <w:rPr>
          <w:spacing w:val="-9"/>
        </w:rPr>
        <w:t> </w:t>
      </w:r>
      <w:r>
        <w:rPr>
          <w:spacing w:val="-1"/>
        </w:rPr>
        <w:t>approximately</w:t>
      </w:r>
      <w:r>
        <w:rPr>
          <w:spacing w:val="-13"/>
        </w:rPr>
        <w:t> </w:t>
      </w:r>
      <w:r>
        <w:rPr>
          <w:spacing w:val="-1"/>
        </w:rPr>
        <w:t>11.5%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higher</w:t>
      </w:r>
      <w:r>
        <w:rPr>
          <w:spacing w:val="-11"/>
        </w:rPr>
        <w:t> </w:t>
      </w:r>
      <w:r>
        <w:rPr>
          <w:spacing w:val="-1"/>
        </w:rPr>
        <w:t>education</w:t>
      </w:r>
      <w:r>
        <w:rPr>
          <w:spacing w:val="-9"/>
        </w:rPr>
        <w:t> </w:t>
      </w:r>
      <w:r>
        <w:rPr>
          <w:spacing w:val="-1"/>
        </w:rPr>
        <w:t>teachers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60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64</w:t>
      </w:r>
      <w:r>
        <w:rPr>
          <w:spacing w:val="-7"/>
        </w:rPr>
        <w:t> </w:t>
      </w:r>
      <w:r>
        <w:rPr/>
        <w:t>years</w:t>
      </w:r>
      <w:r>
        <w:rPr>
          <w:spacing w:val="-10"/>
        </w:rPr>
        <w:t> </w:t>
      </w:r>
      <w:r>
        <w:rPr/>
        <w:t>old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Slovak</w:t>
      </w:r>
      <w:r>
        <w:rPr>
          <w:spacing w:val="9"/>
        </w:rPr>
        <w:t> </w:t>
      </w:r>
      <w:r>
        <w:rPr/>
        <w:t>Republic,</w:t>
      </w:r>
      <w:r>
        <w:rPr>
          <w:spacing w:val="1"/>
        </w:rPr>
        <w:t> </w:t>
      </w:r>
      <w:r>
        <w:rPr/>
        <w:t>compared to an EU average of 9%, and 12% were over the age of 65, compared to 6% on average in the</w:t>
      </w:r>
      <w:r>
        <w:rPr>
          <w:spacing w:val="-53"/>
        </w:rPr>
        <w:t> </w:t>
      </w:r>
      <w:r>
        <w:rPr>
          <w:position w:val="1"/>
        </w:rPr>
        <w:t>European Union in 2018 (Eurostat, 2021</w:t>
      </w:r>
      <w:r>
        <w:rPr>
          <w:sz w:val="13"/>
        </w:rPr>
        <w:t>[36]</w:t>
      </w:r>
      <w:r>
        <w:rPr>
          <w:position w:val="1"/>
        </w:rPr>
        <w:t>). Because older academic staff are more likely to have</w:t>
      </w:r>
      <w:r>
        <w:rPr>
          <w:spacing w:val="1"/>
          <w:position w:val="1"/>
        </w:rPr>
        <w:t> </w:t>
      </w:r>
      <w:r>
        <w:rPr/>
        <w:t>permanent employment, HEIs who may want to adjust the size of their academic workforce may face</w:t>
      </w:r>
      <w:r>
        <w:rPr>
          <w:spacing w:val="1"/>
        </w:rPr>
        <w:t> </w:t>
      </w:r>
      <w:r>
        <w:rPr/>
        <w:t>difficulties.</w:t>
      </w:r>
    </w:p>
    <w:p>
      <w:pPr>
        <w:pStyle w:val="BodyText"/>
        <w:spacing w:line="271" w:lineRule="auto" w:before="121"/>
        <w:ind w:left="183" w:right="306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Slovak</w:t>
      </w:r>
      <w:r>
        <w:rPr>
          <w:spacing w:val="-7"/>
        </w:rPr>
        <w:t> </w:t>
      </w:r>
      <w:r>
        <w:rPr>
          <w:spacing w:val="-1"/>
        </w:rPr>
        <w:t>government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taken</w:t>
      </w:r>
      <w:r>
        <w:rPr>
          <w:spacing w:val="-11"/>
        </w:rPr>
        <w:t> </w:t>
      </w:r>
      <w:r>
        <w:rPr/>
        <w:t>steps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address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challenge,</w:t>
      </w:r>
      <w:r>
        <w:rPr>
          <w:spacing w:val="-7"/>
        </w:rPr>
        <w:t> </w:t>
      </w:r>
      <w:r>
        <w:rPr/>
        <w:t>by</w:t>
      </w:r>
      <w:r>
        <w:rPr>
          <w:spacing w:val="-14"/>
        </w:rPr>
        <w:t> </w:t>
      </w:r>
      <w:r>
        <w:rPr/>
        <w:t>restricting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employment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 teachers after they reach 70 years of age. Employment contracts of higher education teachers</w:t>
      </w:r>
      <w:r>
        <w:rPr>
          <w:spacing w:val="1"/>
        </w:rPr>
        <w:t> </w:t>
      </w:r>
      <w:r>
        <w:rPr>
          <w:spacing w:val="-1"/>
        </w:rPr>
        <w:t>terminate</w:t>
      </w:r>
      <w:r>
        <w:rPr>
          <w:spacing w:val="-10"/>
        </w:rPr>
        <w:t> </w:t>
      </w:r>
      <w:r>
        <w:rPr>
          <w:spacing w:val="-1"/>
        </w:rPr>
        <w:t>automatically</w:t>
      </w:r>
      <w:r>
        <w:rPr>
          <w:spacing w:val="-13"/>
        </w:rPr>
        <w:t> </w:t>
      </w:r>
      <w:r>
        <w:rPr>
          <w:spacing w:val="-1"/>
        </w:rPr>
        <w:t>after</w:t>
      </w:r>
      <w:r>
        <w:rPr>
          <w:spacing w:val="-7"/>
        </w:rPr>
        <w:t> </w:t>
      </w:r>
      <w:r>
        <w:rPr>
          <w:spacing w:val="-1"/>
        </w:rPr>
        <w:t>they</w:t>
      </w:r>
      <w:r>
        <w:rPr>
          <w:spacing w:val="-13"/>
        </w:rPr>
        <w:t> </w:t>
      </w:r>
      <w:r>
        <w:rPr>
          <w:spacing w:val="-1"/>
        </w:rPr>
        <w:t>reach</w:t>
      </w:r>
      <w:r>
        <w:rPr>
          <w:spacing w:val="-10"/>
        </w:rPr>
        <w:t> </w:t>
      </w:r>
      <w:r>
        <w:rPr/>
        <w:t>70,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prolongations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employment</w:t>
      </w:r>
      <w:r>
        <w:rPr>
          <w:spacing w:val="-8"/>
        </w:rPr>
        <w:t> </w:t>
      </w:r>
      <w:r>
        <w:rPr/>
        <w:t>contracts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persons</w:t>
      </w:r>
      <w:r>
        <w:rPr>
          <w:spacing w:val="-7"/>
        </w:rPr>
        <w:t> </w:t>
      </w:r>
      <w:r>
        <w:rPr/>
        <w:t>older</w:t>
      </w:r>
      <w:r>
        <w:rPr>
          <w:spacing w:val="1"/>
        </w:rPr>
        <w:t> </w:t>
      </w:r>
      <w:r>
        <w:rPr/>
        <w:t>than 70 can only be signed for a maximum of one year, although they can be renewed. Moreover, the</w:t>
      </w:r>
      <w:r>
        <w:rPr>
          <w:spacing w:val="1"/>
        </w:rPr>
        <w:t> </w:t>
      </w:r>
      <w:r>
        <w:rPr/>
        <w:t>academic titles of staff over 70 did not count in the most recent accreditation process (Act on HEIs: §77</w:t>
      </w:r>
      <w:r>
        <w:rPr>
          <w:spacing w:val="1"/>
        </w:rPr>
        <w:t> </w:t>
      </w:r>
      <w:r>
        <w:rPr/>
        <w:t>col.</w:t>
      </w:r>
      <w:r>
        <w:rPr>
          <w:spacing w:val="-2"/>
        </w:rPr>
        <w:t> </w:t>
      </w:r>
      <w:r>
        <w:rPr/>
        <w:t>6).</w:t>
      </w:r>
    </w:p>
    <w:p>
      <w:pPr>
        <w:pStyle w:val="BodyText"/>
        <w:spacing w:before="2"/>
      </w:pPr>
    </w:p>
    <w:p>
      <w:pPr>
        <w:pStyle w:val="Heading7"/>
      </w:pPr>
      <w:bookmarkStart w:name="Limits of current funding allocation mec" w:id="124"/>
      <w:bookmarkEnd w:id="124"/>
      <w:r>
        <w:rPr>
          <w:i w:val="0"/>
        </w:rPr>
      </w:r>
      <w:r>
        <w:rPr>
          <w:color w:val="616161"/>
        </w:rPr>
        <w:t>Limits</w:t>
      </w:r>
      <w:r>
        <w:rPr>
          <w:color w:val="616161"/>
          <w:spacing w:val="-5"/>
        </w:rPr>
        <w:t> </w:t>
      </w:r>
      <w:r>
        <w:rPr>
          <w:color w:val="616161"/>
        </w:rPr>
        <w:t>of</w:t>
      </w:r>
      <w:r>
        <w:rPr>
          <w:color w:val="616161"/>
          <w:spacing w:val="-3"/>
        </w:rPr>
        <w:t> </w:t>
      </w:r>
      <w:r>
        <w:rPr>
          <w:color w:val="616161"/>
        </w:rPr>
        <w:t>current</w:t>
      </w:r>
      <w:r>
        <w:rPr>
          <w:color w:val="616161"/>
          <w:spacing w:val="-6"/>
        </w:rPr>
        <w:t> </w:t>
      </w:r>
      <w:r>
        <w:rPr>
          <w:color w:val="616161"/>
        </w:rPr>
        <w:t>funding</w:t>
      </w:r>
      <w:r>
        <w:rPr>
          <w:color w:val="616161"/>
          <w:spacing w:val="-7"/>
        </w:rPr>
        <w:t> </w:t>
      </w:r>
      <w:r>
        <w:rPr>
          <w:color w:val="616161"/>
        </w:rPr>
        <w:t>allocation</w:t>
      </w:r>
      <w:r>
        <w:rPr>
          <w:color w:val="616161"/>
          <w:spacing w:val="-6"/>
        </w:rPr>
        <w:t> </w:t>
      </w:r>
      <w:r>
        <w:rPr>
          <w:color w:val="616161"/>
        </w:rPr>
        <w:t>mechanisms</w:t>
      </w: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Heading8"/>
      </w:pPr>
      <w:bookmarkStart w:name="Funding formula" w:id="125"/>
      <w:bookmarkEnd w:id="125"/>
      <w:r>
        <w:rPr>
          <w:b w:val="0"/>
        </w:rPr>
      </w:r>
      <w:r>
        <w:rPr/>
        <w:t>Funding</w:t>
      </w:r>
      <w:r>
        <w:rPr>
          <w:spacing w:val="-9"/>
        </w:rPr>
        <w:t> </w:t>
      </w:r>
      <w:r>
        <w:rPr/>
        <w:t>formula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In the Slovak Republic, the main funding instrument used by the government to incentivise the behaviour</w:t>
      </w:r>
      <w:r>
        <w:rPr>
          <w:spacing w:val="-53"/>
        </w:rPr>
        <w:t> </w:t>
      </w:r>
      <w:r>
        <w:rPr/>
        <w:t>of public HEIs is the funding formula. A major benefit of allocating funding through the formula is the</w:t>
      </w:r>
      <w:r>
        <w:rPr>
          <w:spacing w:val="1"/>
        </w:rPr>
        <w:t> </w:t>
      </w:r>
      <w:r>
        <w:rPr/>
        <w:t>transparency of this approach. Both the methodology for calculating the allocation and the amounts</w:t>
      </w:r>
      <w:r>
        <w:rPr>
          <w:spacing w:val="1"/>
        </w:rPr>
        <w:t> </w:t>
      </w:r>
      <w:r>
        <w:rPr/>
        <w:t>allocated to each HEI are published on the Ministry of Education’s website each year, allowing for public</w:t>
      </w:r>
      <w:r>
        <w:rPr>
          <w:spacing w:val="1"/>
        </w:rPr>
        <w:t> </w:t>
      </w:r>
      <w:r>
        <w:rPr/>
        <w:t>scrutiny</w:t>
      </w:r>
      <w:r>
        <w:rPr>
          <w:spacing w:val="-4"/>
        </w:rPr>
        <w:t> </w:t>
      </w:r>
      <w:r>
        <w:rPr/>
        <w:t>of changes.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 context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trust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government,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transparency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valuable.</w:t>
      </w:r>
    </w:p>
    <w:p>
      <w:pPr>
        <w:pStyle w:val="BodyText"/>
        <w:spacing w:line="271" w:lineRule="auto" w:before="120"/>
        <w:ind w:left="183" w:right="302"/>
        <w:jc w:val="both"/>
      </w:pPr>
      <w:r>
        <w:rPr/>
        <w:t>Secondly, the government has used the formula to introduce incentives – to reward publications in high-</w:t>
      </w:r>
      <w:r>
        <w:rPr>
          <w:spacing w:val="1"/>
        </w:rPr>
        <w:t> </w:t>
      </w:r>
      <w:r>
        <w:rPr/>
        <w:t>impact journals or graduate employment in particular. According to some stakeholders interviewed by the</w:t>
      </w:r>
      <w:r>
        <w:rPr>
          <w:spacing w:val="-53"/>
        </w:rPr>
        <w:t> </w:t>
      </w:r>
      <w:r>
        <w:rPr/>
        <w:t>OECD,</w:t>
      </w:r>
      <w:r>
        <w:rPr>
          <w:spacing w:val="-2"/>
        </w:rPr>
        <w:t> </w:t>
      </w:r>
      <w:r>
        <w:rPr/>
        <w:t>HEIs respond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changes.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spacing w:before="165"/>
        <w:ind w:left="183" w:right="0" w:firstLine="0"/>
        <w:jc w:val="left"/>
        <w:rPr>
          <w:rFonts w:ascii="Arial"/>
          <w:b/>
          <w:sz w:val="24"/>
        </w:rPr>
      </w:pPr>
      <w:bookmarkStart w:name="_bookmark46" w:id="126"/>
      <w:bookmarkEnd w:id="126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3.3.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Human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resources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104"/>
        <w:ind w:left="1982" w:right="0" w:firstLine="0"/>
        <w:jc w:val="left"/>
        <w:rPr>
          <w:rFonts w:ascii="Arial"/>
          <w:b/>
          <w:sz w:val="15"/>
        </w:rPr>
      </w:pPr>
      <w:r>
        <w:rPr/>
        <w:pict>
          <v:group style="position:absolute;margin-left:116.564896pt;margin-top:20.121332pt;width:367.55pt;height:21.25pt;mso-position-horizontal-relative:page;mso-position-vertical-relative:paragraph;z-index:-15702528;mso-wrap-distance-left:0;mso-wrap-distance-right:0" coordorigin="2331,402" coordsize="7351,425">
            <v:rect style="position:absolute;left:2331;top:402;width:7351;height:425" filled="true" fillcolor="#f1f1f1" stroked="false">
              <v:fill type="solid"/>
            </v:rect>
            <v:rect style="position:absolute;left:2716;top:471;width:369;height:74" filled="true" fillcolor="#002f6c" stroked="false">
              <v:fill type="solid"/>
            </v:rect>
            <v:rect style="position:absolute;left:6389;top:471;width:369;height:74" filled="true" fillcolor="#7fa8d9" stroked="false">
              <v:fill type="solid"/>
            </v:rect>
            <v:line style="position:absolute" from="2715,719" to="3084,719" stroked="true" strokeweight="1.498506pt" strokecolor="#006bb6">
              <v:stroke dashstyle="solid"/>
            </v:line>
            <v:shape style="position:absolute;left:3123;top:418;width:2371;height:380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Total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public contribution</w:t>
                    </w:r>
                    <w:r>
                      <w:rPr>
                        <w:rFonts w:ascii="Microsoft Sans Serif"/>
                        <w:spacing w:val="-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for</w:t>
                    </w:r>
                    <w:r>
                      <w:rPr>
                        <w:rFonts w:ascii="Microsoft Sans Serif"/>
                        <w:spacing w:val="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public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institutions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Public contribution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on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wages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per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teacher</w:t>
                    </w:r>
                  </w:p>
                </w:txbxContent>
              </v:textbox>
              <w10:wrap type="none"/>
            </v:shape>
            <v:shape style="position:absolute;left:6799;top:418;width:2587;height:16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Public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contribution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on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wages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at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public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institutions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pacing w:val="-1"/>
          <w:w w:val="85"/>
          <w:sz w:val="15"/>
        </w:rPr>
        <w:t>A.</w:t>
      </w:r>
      <w:r>
        <w:rPr>
          <w:rFonts w:ascii="Arial"/>
          <w:b/>
          <w:spacing w:val="-2"/>
          <w:w w:val="85"/>
          <w:sz w:val="15"/>
        </w:rPr>
        <w:t> </w:t>
      </w:r>
      <w:r>
        <w:rPr>
          <w:rFonts w:ascii="Arial"/>
          <w:b/>
          <w:spacing w:val="-1"/>
          <w:w w:val="85"/>
          <w:sz w:val="15"/>
        </w:rPr>
        <w:t>Wage-related</w:t>
      </w:r>
      <w:r>
        <w:rPr>
          <w:rFonts w:ascii="Arial"/>
          <w:b/>
          <w:spacing w:val="-10"/>
          <w:w w:val="85"/>
          <w:sz w:val="15"/>
        </w:rPr>
        <w:t> </w:t>
      </w:r>
      <w:r>
        <w:rPr>
          <w:rFonts w:ascii="Arial"/>
          <w:b/>
          <w:spacing w:val="-1"/>
          <w:w w:val="85"/>
          <w:sz w:val="15"/>
        </w:rPr>
        <w:t>resources</w:t>
      </w:r>
      <w:r>
        <w:rPr>
          <w:rFonts w:ascii="Arial"/>
          <w:b/>
          <w:spacing w:val="-7"/>
          <w:w w:val="85"/>
          <w:sz w:val="15"/>
        </w:rPr>
        <w:t> </w:t>
      </w:r>
      <w:r>
        <w:rPr>
          <w:rFonts w:ascii="Arial"/>
          <w:b/>
          <w:spacing w:val="-1"/>
          <w:w w:val="85"/>
          <w:sz w:val="15"/>
        </w:rPr>
        <w:t>as</w:t>
      </w:r>
      <w:r>
        <w:rPr>
          <w:rFonts w:ascii="Arial"/>
          <w:b/>
          <w:spacing w:val="-3"/>
          <w:w w:val="85"/>
          <w:sz w:val="15"/>
        </w:rPr>
        <w:t> </w:t>
      </w:r>
      <w:r>
        <w:rPr>
          <w:rFonts w:ascii="Arial"/>
          <w:b/>
          <w:spacing w:val="-1"/>
          <w:w w:val="85"/>
          <w:sz w:val="15"/>
        </w:rPr>
        <w:t>a share</w:t>
      </w:r>
      <w:r>
        <w:rPr>
          <w:rFonts w:ascii="Arial"/>
          <w:b/>
          <w:spacing w:val="-4"/>
          <w:w w:val="85"/>
          <w:sz w:val="15"/>
        </w:rPr>
        <w:t> </w:t>
      </w:r>
      <w:r>
        <w:rPr>
          <w:rFonts w:ascii="Arial"/>
          <w:b/>
          <w:spacing w:val="-1"/>
          <w:w w:val="85"/>
          <w:sz w:val="15"/>
        </w:rPr>
        <w:t>of</w:t>
      </w:r>
      <w:r>
        <w:rPr>
          <w:rFonts w:ascii="Arial"/>
          <w:b/>
          <w:spacing w:val="-2"/>
          <w:w w:val="85"/>
          <w:sz w:val="15"/>
        </w:rPr>
        <w:t> </w:t>
      </w:r>
      <w:r>
        <w:rPr>
          <w:rFonts w:ascii="Arial"/>
          <w:b/>
          <w:spacing w:val="-1"/>
          <w:w w:val="85"/>
          <w:sz w:val="15"/>
        </w:rPr>
        <w:t>total</w:t>
      </w:r>
      <w:r>
        <w:rPr>
          <w:rFonts w:ascii="Arial"/>
          <w:b/>
          <w:spacing w:val="-5"/>
          <w:w w:val="85"/>
          <w:sz w:val="15"/>
        </w:rPr>
        <w:t> </w:t>
      </w:r>
      <w:r>
        <w:rPr>
          <w:rFonts w:ascii="Arial"/>
          <w:b/>
          <w:spacing w:val="-1"/>
          <w:w w:val="85"/>
          <w:sz w:val="15"/>
        </w:rPr>
        <w:t>public</w:t>
      </w:r>
      <w:r>
        <w:rPr>
          <w:rFonts w:ascii="Arial"/>
          <w:b/>
          <w:spacing w:val="-2"/>
          <w:w w:val="85"/>
          <w:sz w:val="15"/>
        </w:rPr>
        <w:t> </w:t>
      </w:r>
      <w:r>
        <w:rPr>
          <w:rFonts w:ascii="Arial"/>
          <w:b/>
          <w:w w:val="85"/>
          <w:sz w:val="15"/>
        </w:rPr>
        <w:t>contributions</w:t>
      </w:r>
      <w:r>
        <w:rPr>
          <w:rFonts w:ascii="Arial"/>
          <w:b/>
          <w:spacing w:val="-10"/>
          <w:w w:val="85"/>
          <w:sz w:val="15"/>
        </w:rPr>
        <w:t> </w:t>
      </w:r>
      <w:r>
        <w:rPr>
          <w:rFonts w:ascii="Arial"/>
          <w:b/>
          <w:w w:val="85"/>
          <w:sz w:val="15"/>
        </w:rPr>
        <w:t>for</w:t>
      </w:r>
      <w:r>
        <w:rPr>
          <w:rFonts w:ascii="Arial"/>
          <w:b/>
          <w:spacing w:val="-1"/>
          <w:w w:val="85"/>
          <w:sz w:val="15"/>
        </w:rPr>
        <w:t> </w:t>
      </w:r>
      <w:r>
        <w:rPr>
          <w:rFonts w:ascii="Arial"/>
          <w:b/>
          <w:w w:val="85"/>
          <w:sz w:val="15"/>
        </w:rPr>
        <w:t>HEIs</w:t>
      </w:r>
      <w:r>
        <w:rPr>
          <w:rFonts w:ascii="Arial"/>
          <w:b/>
          <w:spacing w:val="-3"/>
          <w:w w:val="85"/>
          <w:sz w:val="15"/>
        </w:rPr>
        <w:t> </w:t>
      </w:r>
      <w:r>
        <w:rPr>
          <w:rFonts w:ascii="Arial"/>
          <w:b/>
          <w:w w:val="85"/>
          <w:sz w:val="15"/>
        </w:rPr>
        <w:t>in</w:t>
      </w:r>
      <w:r>
        <w:rPr>
          <w:rFonts w:ascii="Arial"/>
          <w:b/>
          <w:spacing w:val="-1"/>
          <w:w w:val="85"/>
          <w:sz w:val="15"/>
        </w:rPr>
        <w:t> </w:t>
      </w:r>
      <w:r>
        <w:rPr>
          <w:rFonts w:ascii="Arial"/>
          <w:b/>
          <w:w w:val="85"/>
          <w:sz w:val="15"/>
        </w:rPr>
        <w:t>2015</w:t>
      </w:r>
      <w:r>
        <w:rPr>
          <w:rFonts w:ascii="Arial"/>
          <w:b/>
          <w:spacing w:val="-4"/>
          <w:w w:val="85"/>
          <w:sz w:val="15"/>
        </w:rPr>
        <w:t> </w:t>
      </w:r>
      <w:r>
        <w:rPr>
          <w:rFonts w:ascii="Arial"/>
          <w:b/>
          <w:w w:val="85"/>
          <w:sz w:val="15"/>
        </w:rPr>
        <w:t>EUR</w:t>
      </w:r>
      <w:r>
        <w:rPr>
          <w:rFonts w:ascii="Arial"/>
          <w:b/>
          <w:spacing w:val="-6"/>
          <w:w w:val="85"/>
          <w:sz w:val="15"/>
        </w:rPr>
        <w:t> </w:t>
      </w:r>
      <w:r>
        <w:rPr>
          <w:rFonts w:ascii="Arial"/>
          <w:b/>
          <w:w w:val="85"/>
          <w:sz w:val="15"/>
        </w:rPr>
        <w:t>(2010-19)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500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450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400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350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300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250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200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150</w:t>
      </w: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spacing w:before="1"/>
        <w:ind w:left="0" w:right="1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100</w:t>
      </w:r>
    </w:p>
    <w:p>
      <w:pPr>
        <w:pStyle w:val="BodyText"/>
        <w:spacing w:before="5"/>
        <w:rPr>
          <w:rFonts w:ascii="Microsoft Sans Serif"/>
          <w:sz w:val="14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50</w:t>
      </w:r>
    </w:p>
    <w:p>
      <w:pPr>
        <w:spacing w:before="60"/>
        <w:ind w:left="134" w:right="0" w:firstLine="0"/>
        <w:jc w:val="lef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pacing w:val="-1"/>
          <w:w w:val="85"/>
          <w:sz w:val="14"/>
        </w:rPr>
        <w:t>Total</w:t>
      </w:r>
      <w:r>
        <w:rPr>
          <w:rFonts w:ascii="Microsoft Sans Serif"/>
          <w:spacing w:val="-2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public contribution</w:t>
      </w:r>
      <w:r>
        <w:rPr>
          <w:rFonts w:ascii="Microsoft Sans Serif"/>
          <w:spacing w:val="-2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for</w:t>
      </w:r>
      <w:r>
        <w:rPr>
          <w:rFonts w:ascii="Microsoft Sans Serif"/>
          <w:spacing w:val="1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public</w:t>
      </w:r>
      <w:r>
        <w:rPr>
          <w:rFonts w:ascii="Microsoft Sans Serif"/>
          <w:spacing w:val="2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institutions</w:t>
      </w:r>
      <w:r>
        <w:rPr>
          <w:rFonts w:ascii="Microsoft Sans Serif"/>
          <w:spacing w:val="-2"/>
          <w:w w:val="85"/>
          <w:sz w:val="14"/>
        </w:rPr>
        <w:t> </w:t>
      </w:r>
      <w:r>
        <w:rPr>
          <w:rFonts w:ascii="Microsoft Sans Serif"/>
          <w:w w:val="85"/>
          <w:sz w:val="14"/>
        </w:rPr>
        <w:t>(millions)</w:t>
      </w:r>
    </w:p>
    <w:p>
      <w:pPr>
        <w:spacing w:before="5"/>
        <w:ind w:left="13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w w:val="85"/>
          <w:sz w:val="14"/>
        </w:rPr>
        <w:t>Public</w:t>
      </w:r>
      <w:r>
        <w:rPr>
          <w:rFonts w:ascii="Microsoft Sans Serif"/>
          <w:spacing w:val="1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contribution</w:t>
      </w:r>
      <w:r>
        <w:rPr>
          <w:rFonts w:ascii="Microsoft Sans Serif"/>
          <w:spacing w:val="-3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on wages</w:t>
      </w:r>
      <w:r>
        <w:rPr>
          <w:rFonts w:ascii="Microsoft Sans Serif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at</w:t>
      </w:r>
      <w:r>
        <w:rPr>
          <w:rFonts w:ascii="Microsoft Sans Serif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public</w:t>
      </w:r>
      <w:r>
        <w:rPr>
          <w:rFonts w:ascii="Microsoft Sans Serif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institutions</w:t>
      </w:r>
      <w:r>
        <w:rPr>
          <w:rFonts w:ascii="Microsoft Sans Serif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(millions)</w:t>
      </w:r>
    </w:p>
    <w:p>
      <w:pPr>
        <w:pStyle w:val="BodyText"/>
        <w:spacing w:before="6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0"/>
        <w:ind w:left="571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w w:val="85"/>
          <w:sz w:val="14"/>
        </w:rPr>
        <w:t>Public</w:t>
      </w:r>
      <w:r>
        <w:rPr>
          <w:rFonts w:ascii="Microsoft Sans Serif"/>
          <w:spacing w:val="1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contribution</w:t>
      </w:r>
      <w:r>
        <w:rPr>
          <w:rFonts w:ascii="Microsoft Sans Serif"/>
          <w:spacing w:val="-4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on wages </w:t>
      </w:r>
      <w:r>
        <w:rPr>
          <w:rFonts w:ascii="Microsoft Sans Serif"/>
          <w:w w:val="85"/>
          <w:sz w:val="14"/>
        </w:rPr>
        <w:t>per</w:t>
      </w:r>
      <w:r>
        <w:rPr>
          <w:rFonts w:ascii="Microsoft Sans Serif"/>
          <w:spacing w:val="-2"/>
          <w:w w:val="85"/>
          <w:sz w:val="14"/>
        </w:rPr>
        <w:t> </w:t>
      </w:r>
      <w:r>
        <w:rPr>
          <w:rFonts w:ascii="Microsoft Sans Serif"/>
          <w:w w:val="85"/>
          <w:sz w:val="14"/>
        </w:rPr>
        <w:t>teacher</w:t>
      </w:r>
      <w:r>
        <w:rPr>
          <w:rFonts w:ascii="Microsoft Sans Serif"/>
          <w:spacing w:val="-5"/>
          <w:w w:val="85"/>
          <w:sz w:val="14"/>
        </w:rPr>
        <w:t> </w:t>
      </w:r>
      <w:r>
        <w:rPr>
          <w:rFonts w:ascii="Microsoft Sans Serif"/>
          <w:w w:val="85"/>
          <w:sz w:val="14"/>
        </w:rPr>
        <w:t>(thousands)</w:t>
      </w:r>
    </w:p>
    <w:p>
      <w:pPr>
        <w:spacing w:before="16"/>
        <w:ind w:left="3520" w:right="0" w:firstLine="0"/>
        <w:jc w:val="left"/>
        <w:rPr>
          <w:rFonts w:ascii="Microsoft Sans Serif"/>
          <w:sz w:val="14"/>
        </w:rPr>
      </w:pPr>
      <w:r>
        <w:rPr/>
        <w:pict>
          <v:group style="position:absolute;margin-left:100.310875pt;margin-top:4.534718pt;width:397.85pt;height:161.5pt;mso-position-horizontal-relative:page;mso-position-vertical-relative:paragraph;z-index:-19703296" coordorigin="2006,91" coordsize="7957,3230">
            <v:rect style="position:absolute;left:2013;top:97;width:7943;height:3217" filled="true" fillcolor="#f1f1f1" stroked="false">
              <v:fill type="solid"/>
            </v:rect>
            <v:shape style="position:absolute;left:2013;top:2993;width:7943;height:2" coordorigin="2013,2993" coordsize="7943,0" path="m2013,2993l2172,2993m2382,2993l2440,2993m2649,2993l2965,2993m3177,2993l3233,2993m3445,2993l3761,2993m3971,2993l4028,2993m4238,2993l4554,2993m4766,2993l4821,2993m5033,2993l5349,2993m5559,2993l5617,2993m5826,2993l6142,2993m6354,2993l6410,2993m6622,2993l6938,2993m7148,2993l7205,2993m7415,2993l7731,2993m7943,2993l7998,2993m8210,2993l8526,2993m8736,2993l8794,2993m9004,2993l9319,2993m9529,2993l9587,2993m9799,2993l9956,2993e" filled="false" stroked="true" strokeweight=".691618pt" strokecolor="#ffffff">
              <v:path arrowok="t"/>
              <v:stroke dashstyle="solid"/>
            </v:shape>
            <v:shape style="position:absolute;left:2013;top:740;width:7943;height:1930" coordorigin="2013,741" coordsize="7943,1930" path="m2013,2670l2172,2670m2382,2670l2440,2670m2649,2670l2965,2670m3177,2670l3233,2670m3445,2670l3761,2670m3971,2670l4028,2670m4238,2670l4554,2670m4766,2670l4821,2670m5033,2670l5349,2670m5559,2670l5617,2670m5826,2670l6142,2670m6354,2670l6410,2670m6622,2670l6938,2670m7148,2670l7205,2670m7415,2670l7731,2670m7943,2670l7998,2670m8210,2670l8526,2670m8736,2670l8794,2670m9004,2670l9319,2670m9529,2670l9587,2670m9799,2670l9956,2670m2013,2350l2172,2350m2382,2350l2440,2350m2649,2350l2965,2350m3177,2350l3761,2350m3971,2350l4554,2350m4766,2350l5349,2350m5559,2350l6142,2350m6354,2350l6938,2350m7148,2350l7731,2350m7943,2350l8526,2350m8736,2350l8794,2350m9004,2350l9319,2350m9529,2350l9587,2350m9799,2350l9956,2350m2013,2027l2172,2027m2382,2027l2965,2027m3177,2027l3761,2027m3971,2027l4554,2027m4766,2027l5349,2027m5559,2027l6142,2027m6354,2027l6938,2027m7148,2027l7731,2027m7943,2027l8526,2027m8736,2027l9319,2027m9529,2027l9956,2027m2013,1707l2172,1707m2382,1707l2965,1707m3177,1707l3761,1707m3971,1707l4554,1707m4766,1707l5349,1707m5559,1707l6142,1707m6354,1707l6938,1707m7148,1707l7731,1707m7943,1707l8526,1707m8736,1707l9319,1707m9529,1707l9956,1707m2013,1384l2172,1384m2382,1384l2965,1384m3177,1384l3761,1384m3971,1384l4554,1384m4766,1384l5349,1384m5559,1384l6142,1384m6354,1384l6938,1384m7148,1384l7731,1384m7943,1384l8526,1384m8736,1384l9319,1384m9529,1384l9956,1384m2013,1064l2172,1064m2382,1064l2965,1064m3177,1064l3761,1064m3971,1064l4554,1064m4766,1064l5349,1064m5559,1064l6142,1064m6354,1064l6938,1064m7148,1064l7731,1064m7943,1064l8526,1064m8736,1064l9319,1064m9529,1064l9956,1064m2013,741l2172,741m2382,741l2965,741m3177,741l3761,741m3971,741l4554,741m4766,741l5349,741m5559,741l6142,741m6354,741l6938,741m7148,741l7731,741m7943,741l8526,741m8736,741l9319,741m9529,741l9956,741e" filled="false" stroked="true" strokeweight=".691618pt" strokecolor="#ffffff">
              <v:path arrowok="t"/>
              <v:stroke dashstyle="solid"/>
            </v:shape>
            <v:shape style="position:absolute;left:2013;top:413;width:7943;height:7" coordorigin="2013,413" coordsize="7943,7" path="m2013,420l9956,420m2013,413l9956,413e" filled="false" stroked="true" strokeweight=".461066pt" strokecolor="#ffffff">
              <v:path arrowok="t"/>
              <v:stroke dashstyle="solid"/>
            </v:shape>
            <v:shape style="position:absolute;left:2013;top:97;width:7943;height:3217" coordorigin="2013,98" coordsize="7943,3217" path="m2013,98l9956,98m2809,98l2809,3314m3602,98l3602,3314m4397,98l4397,3314m5190,98l5190,3314m5986,98l5986,3314m6779,98l6779,3314m7574,98l7574,3314m8367,98l8367,3314m9163,98l9163,3314m9956,98l9956,3314e" filled="false" stroked="true" strokeweight=".691639pt" strokecolor="#ffffff">
              <v:path arrowok="t"/>
              <v:stroke dashstyle="solid"/>
            </v:shape>
            <v:shape style="position:absolute;left:2172;top:415;width:7357;height:2898" coordorigin="2172,416" coordsize="7357,2898" path="m2382,549l2172,549,2172,3314,2382,3314,2382,549xm3177,667l2965,667,2965,3314,3177,3314,3177,667xm3971,658l3761,658,3761,3314,3971,3314,3971,658xm4766,685l4554,685,4554,3314,4766,3314,4766,685xm5559,662l5349,662,5349,3314,5559,3314,5559,662xm6354,602l6142,602,6142,3314,6354,3314,6354,602xm7148,577l6938,577,6938,3314,7148,3314,7148,577xm7943,466l7731,466,7731,3314,7943,3314,7943,466xm8736,416l8526,416,8526,3314,8736,3314,8736,416xm9529,483l9319,483,9319,3314,9529,3314,9529,483xe" filled="true" fillcolor="#002f6c" stroked="false">
              <v:path arrowok="t"/>
              <v:fill type="solid"/>
            </v:shape>
            <v:shape style="position:absolute;left:2439;top:2071;width:7360;height:1243" coordorigin="2440,2071" coordsize="7360,1243" path="m2649,2071l2440,2071,2440,3314,2649,3314,2649,2071xm3445,2491l3233,2491,3233,3314,3445,3314,3445,2491xm4238,2491l4028,2491,4028,3314,4238,3314,4238,2491xm5033,2504l4821,2504,4821,3314,5033,3314,5033,2504xm5826,2458l5617,2458,5617,3314,5826,3314,5826,2458xm6622,2447l6410,2447,6410,3314,6622,3314,6622,2447xm7415,2435l7205,2435,7205,3314,7415,3314,7415,2435xm8210,2378l7998,2378,7998,3314,8210,3314,8210,2378xm9004,2320l8794,2320,8794,3314,9004,3314,9004,2320xm9799,2343l9587,2343,9587,3314,9799,3314,9799,2343xe" filled="true" fillcolor="#7fa8d9" stroked="false">
              <v:path arrowok="t"/>
              <v:fill type="solid"/>
            </v:shape>
            <v:shape style="position:absolute;left:2013;top:97;width:7943;height:3217" coordorigin="2013,98" coordsize="7943,3217" path="m2013,3314l2013,98m2013,3314l2059,3314m2013,2993l2059,2993m2013,2670l2059,2670m2013,2350l2059,2350m2013,2027l2059,2027m2013,1707l2059,1707m2013,1384l2059,1384m2013,1064l2059,1064m2013,741l2059,741m2013,418l2059,418m2013,98l2059,98m2013,3314l9956,3314m2013,3270l2013,3314m2809,3270l2809,3314m3602,3270l3602,3314m4397,3270l4397,3314m5190,3270l5190,3314m5986,3270l5986,3314m6779,3270l6779,3314m7574,3270l7574,3314m8367,3270l8367,3314m9163,3270l9163,3314m9956,3270l9956,3314e" filled="false" stroked="true" strokeweight=".691639pt" strokecolor="#000000">
              <v:path arrowok="t"/>
              <v:stroke dashstyle="solid"/>
            </v:shape>
            <v:shape style="position:absolute;left:2410;top:303;width:7148;height:987" coordorigin="2411,304" coordsize="7148,987" path="m2411,304l3206,1279,3999,1272,4795,1291,5588,1164,6381,1072,7176,996,7969,825,8765,664,9558,687e" filled="false" stroked="true" strokeweight="1.498508pt" strokecolor="#006bb6">
              <v:path arrowok="t"/>
              <v:stroke dashstyle="solid"/>
            </v:shape>
            <w10:wrap type="none"/>
          </v:group>
        </w:pict>
      </w:r>
      <w:r>
        <w:rPr>
          <w:rFonts w:ascii="Microsoft Sans Serif"/>
          <w:w w:val="95"/>
          <w:sz w:val="14"/>
        </w:rPr>
        <w:t>16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0"/>
        <w:ind w:left="352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14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0"/>
        <w:ind w:left="352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12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0"/>
        <w:ind w:left="352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10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0"/>
        <w:ind w:left="352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85"/>
          <w:sz w:val="14"/>
        </w:rPr>
        <w:t>8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0"/>
        <w:ind w:left="352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85"/>
          <w:sz w:val="14"/>
        </w:rPr>
        <w:t>6</w:t>
      </w: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1"/>
        <w:ind w:left="352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85"/>
          <w:sz w:val="14"/>
        </w:rPr>
        <w:t>4</w:t>
      </w: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before="1"/>
        <w:ind w:left="352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85"/>
          <w:sz w:val="14"/>
        </w:rPr>
        <w:t>2</w:t>
      </w:r>
    </w:p>
    <w:p>
      <w:pPr>
        <w:spacing w:after="0"/>
        <w:jc w:val="left"/>
        <w:rPr>
          <w:rFonts w:ascii="Microsoft Sans Serif"/>
          <w:sz w:val="14"/>
        </w:rPr>
        <w:sectPr>
          <w:type w:val="continuous"/>
          <w:pgSz w:w="11910" w:h="15880"/>
          <w:pgMar w:top="1500" w:bottom="280" w:left="1120" w:right="1000"/>
          <w:cols w:num="3" w:equalWidth="0">
            <w:col w:w="771" w:space="40"/>
            <w:col w:w="3245" w:space="1388"/>
            <w:col w:w="4346"/>
          </w:cols>
        </w:sectPr>
      </w:pP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tabs>
          <w:tab w:pos="8261" w:val="left" w:leader="none"/>
        </w:tabs>
        <w:spacing w:line="138" w:lineRule="exact" w:before="1"/>
        <w:ind w:left="0" w:right="51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0</w:t>
        <w:tab/>
        <w:t>0</w:t>
      </w:r>
    </w:p>
    <w:p>
      <w:pPr>
        <w:tabs>
          <w:tab w:pos="794" w:val="left" w:leader="none"/>
          <w:tab w:pos="1588" w:val="left" w:leader="none"/>
          <w:tab w:pos="2382" w:val="left" w:leader="none"/>
          <w:tab w:pos="3177" w:val="left" w:leader="none"/>
          <w:tab w:pos="3971" w:val="left" w:leader="none"/>
          <w:tab w:pos="4765" w:val="left" w:leader="none"/>
          <w:tab w:pos="5560" w:val="left" w:leader="none"/>
          <w:tab w:pos="6354" w:val="left" w:leader="none"/>
          <w:tab w:pos="7149" w:val="left" w:leader="none"/>
        </w:tabs>
        <w:spacing w:line="138" w:lineRule="exact" w:before="0"/>
        <w:ind w:left="0" w:right="50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</w:p>
    <w:p>
      <w:pPr>
        <w:pStyle w:val="BodyText"/>
        <w:spacing w:before="1"/>
        <w:rPr>
          <w:rFonts w:ascii="Microsoft Sans Serif"/>
          <w:sz w:val="12"/>
        </w:rPr>
      </w:pPr>
    </w:p>
    <w:p>
      <w:pPr>
        <w:spacing w:before="104"/>
        <w:ind w:left="3202" w:right="0" w:firstLine="0"/>
        <w:jc w:val="left"/>
        <w:rPr>
          <w:rFonts w:ascii="Arial"/>
          <w:b/>
          <w:sz w:val="15"/>
        </w:rPr>
      </w:pPr>
      <w:r>
        <w:rPr/>
        <w:pict>
          <v:group style="position:absolute;margin-left:122.444008pt;margin-top:19.871542pt;width:348.75pt;height:13.5pt;mso-position-horizontal-relative:page;mso-position-vertical-relative:paragraph;z-index:-15702016;mso-wrap-distance-left:0;mso-wrap-distance-right:0" coordorigin="2449,397" coordsize="6975,270">
            <v:rect style="position:absolute;left:2448;top:397;width:6975;height:270" filled="true" fillcolor="#f1f1f1" stroked="false">
              <v:fill type="solid"/>
            </v:rect>
            <v:rect style="position:absolute;left:3465;top:496;width:369;height:72" filled="true" fillcolor="#002f6c" stroked="false">
              <v:fill type="solid"/>
            </v:rect>
            <v:rect style="position:absolute;left:5621;top:496;width:369;height:72" filled="true" fillcolor="#7fa8d9" stroked="false">
              <v:fill type="solid"/>
            </v:rect>
            <v:line style="position:absolute" from="7601,532" to="7969,532" stroked="true" strokeweight="1.498506pt" strokecolor="#006bb6">
              <v:stroke dashstyle="solid"/>
            </v:line>
            <v:shape style="position:absolute;left:2448;top:397;width:6975;height:270" type="#_x0000_t202" filled="false" stroked="false">
              <v:textbox inset="0,0,0,0">
                <w:txbxContent>
                  <w:p>
                    <w:pPr>
                      <w:tabs>
                        <w:tab w:pos="3581" w:val="left" w:leader="none"/>
                        <w:tab w:pos="5561" w:val="left" w:leader="none"/>
                      </w:tabs>
                      <w:spacing w:before="54"/>
                      <w:ind w:left="1423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85"/>
                        <w:sz w:val="14"/>
                      </w:rPr>
                      <w:t>Teaching</w:t>
                    </w:r>
                    <w:r>
                      <w:rPr>
                        <w:rFonts w:ascii="Microsoft Sans Serif"/>
                        <w:spacing w:val="-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4"/>
                      </w:rPr>
                      <w:t>staff</w:t>
                      <w:tab/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Professors</w:t>
                      <w:tab/>
                    </w:r>
                    <w:r>
                      <w:rPr>
                        <w:rFonts w:ascii="Microsoft Sans Serif"/>
                        <w:w w:val="95"/>
                        <w:sz w:val="14"/>
                      </w:rPr>
                      <w:t>Students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w w:val="80"/>
          <w:sz w:val="15"/>
        </w:rPr>
        <w:t>B.</w:t>
      </w:r>
      <w:r>
        <w:rPr>
          <w:rFonts w:ascii="Arial"/>
          <w:b/>
          <w:spacing w:val="19"/>
          <w:w w:val="80"/>
          <w:sz w:val="15"/>
        </w:rPr>
        <w:t> </w:t>
      </w:r>
      <w:r>
        <w:rPr>
          <w:rFonts w:ascii="Arial"/>
          <w:b/>
          <w:w w:val="80"/>
          <w:sz w:val="15"/>
        </w:rPr>
        <w:t>Number</w:t>
      </w:r>
      <w:r>
        <w:rPr>
          <w:rFonts w:ascii="Arial"/>
          <w:b/>
          <w:spacing w:val="12"/>
          <w:w w:val="80"/>
          <w:sz w:val="15"/>
        </w:rPr>
        <w:t> </w:t>
      </w:r>
      <w:r>
        <w:rPr>
          <w:rFonts w:ascii="Arial"/>
          <w:b/>
          <w:w w:val="80"/>
          <w:sz w:val="15"/>
        </w:rPr>
        <w:t>of</w:t>
      </w:r>
      <w:r>
        <w:rPr>
          <w:rFonts w:ascii="Arial"/>
          <w:b/>
          <w:spacing w:val="16"/>
          <w:w w:val="80"/>
          <w:sz w:val="15"/>
        </w:rPr>
        <w:t> </w:t>
      </w:r>
      <w:r>
        <w:rPr>
          <w:rFonts w:ascii="Arial"/>
          <w:b/>
          <w:w w:val="80"/>
          <w:sz w:val="15"/>
        </w:rPr>
        <w:t>students</w:t>
      </w:r>
      <w:r>
        <w:rPr>
          <w:rFonts w:ascii="Arial"/>
          <w:b/>
          <w:spacing w:val="15"/>
          <w:w w:val="80"/>
          <w:sz w:val="15"/>
        </w:rPr>
        <w:t> </w:t>
      </w:r>
      <w:r>
        <w:rPr>
          <w:rFonts w:ascii="Arial"/>
          <w:b/>
          <w:w w:val="80"/>
          <w:sz w:val="15"/>
        </w:rPr>
        <w:t>and</w:t>
      </w:r>
      <w:r>
        <w:rPr>
          <w:rFonts w:ascii="Arial"/>
          <w:b/>
          <w:spacing w:val="14"/>
          <w:w w:val="80"/>
          <w:sz w:val="15"/>
        </w:rPr>
        <w:t> </w:t>
      </w:r>
      <w:r>
        <w:rPr>
          <w:rFonts w:ascii="Arial"/>
          <w:b/>
          <w:w w:val="80"/>
          <w:sz w:val="15"/>
        </w:rPr>
        <w:t>teaching</w:t>
      </w:r>
      <w:r>
        <w:rPr>
          <w:rFonts w:ascii="Arial"/>
          <w:b/>
          <w:spacing w:val="10"/>
          <w:w w:val="80"/>
          <w:sz w:val="15"/>
        </w:rPr>
        <w:t> </w:t>
      </w:r>
      <w:r>
        <w:rPr>
          <w:rFonts w:ascii="Arial"/>
          <w:b/>
          <w:w w:val="80"/>
          <w:sz w:val="15"/>
        </w:rPr>
        <w:t>staff</w:t>
      </w:r>
      <w:r>
        <w:rPr>
          <w:rFonts w:ascii="Arial"/>
          <w:b/>
          <w:spacing w:val="20"/>
          <w:w w:val="80"/>
          <w:sz w:val="15"/>
        </w:rPr>
        <w:t> </w:t>
      </w:r>
      <w:r>
        <w:rPr>
          <w:rFonts w:ascii="Arial"/>
          <w:b/>
          <w:w w:val="80"/>
          <w:sz w:val="15"/>
        </w:rPr>
        <w:t>(1991-2020)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10" w:h="15880"/>
          <w:pgMar w:top="1500" w:bottom="280" w:left="1120" w:right="1000"/>
        </w:sectPr>
      </w:pPr>
    </w:p>
    <w:p>
      <w:pPr>
        <w:spacing w:before="87"/>
        <w:ind w:left="1056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w w:val="85"/>
          <w:sz w:val="14"/>
        </w:rPr>
        <w:t>Number</w:t>
      </w:r>
      <w:r>
        <w:rPr>
          <w:rFonts w:ascii="Microsoft Sans Serif"/>
          <w:spacing w:val="-4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of</w:t>
      </w:r>
      <w:r>
        <w:rPr>
          <w:rFonts w:ascii="Microsoft Sans Serif"/>
          <w:spacing w:val="3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teaching</w:t>
      </w:r>
      <w:r>
        <w:rPr>
          <w:rFonts w:ascii="Microsoft Sans Serif"/>
          <w:spacing w:val="-2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staff/professors</w:t>
      </w:r>
      <w:r>
        <w:rPr>
          <w:rFonts w:ascii="Microsoft Sans Serif"/>
          <w:spacing w:val="-3"/>
          <w:w w:val="85"/>
          <w:sz w:val="14"/>
        </w:rPr>
        <w:t> </w:t>
      </w:r>
      <w:r>
        <w:rPr>
          <w:rFonts w:ascii="Microsoft Sans Serif"/>
          <w:w w:val="85"/>
          <w:sz w:val="14"/>
        </w:rPr>
        <w:t>(thousands)</w:t>
      </w:r>
    </w:p>
    <w:p>
      <w:pPr>
        <w:spacing w:before="1"/>
        <w:ind w:left="758" w:right="0" w:firstLine="0"/>
        <w:jc w:val="left"/>
        <w:rPr>
          <w:rFonts w:ascii="Microsoft Sans Serif"/>
          <w:sz w:val="14"/>
        </w:rPr>
      </w:pPr>
      <w:r>
        <w:rPr/>
        <w:pict>
          <v:group style="position:absolute;margin-left:103.26004pt;margin-top:3.717454pt;width:381.5pt;height:151.4pt;mso-position-horizontal-relative:page;mso-position-vertical-relative:paragraph;z-index:-19702784" coordorigin="2065,74" coordsize="7630,3028">
            <v:rect style="position:absolute;left:2135;top:81;width:7553;height:2712" filled="true" fillcolor="#f1f1f1" stroked="false">
              <v:fill type="solid"/>
            </v:rect>
            <v:shape style="position:absolute;left:2135;top:81;width:7553;height:2712" coordorigin="2135,81" coordsize="7553,2712" path="m2135,2405l9688,2405m2135,2018l9688,2018m2135,1630l9688,1630m2135,1243l9688,1243m2135,856l9688,856m2135,469l9688,469m2135,81l9688,81m2387,81l2387,2792m2640,81l2640,2792m2892,81l2892,2792m3143,81l3143,2792m3394,81l3394,2792m3645,81l3645,2792m3897,81l3897,2792m4150,81l4150,2792m4402,81l4402,2792m4653,81l4653,2792m4904,81l4904,2792m5156,81l5156,2792m5409,81l5409,2792m5660,81l5660,2792m5912,81l5912,2792m6163,81l6163,2792m6414,81l6414,2792m6666,81l6666,2792m6919,81l6919,2792m7171,81l7171,2792m7422,81l7422,2792m7673,81l7673,2792m7925,81l7925,2792m8178,81l8178,2792m8429,81l8429,2792m8681,81l8681,2792m8932,81l8932,2792m9183,81l9183,2792m9437,81l9437,2792m9688,81l9688,2792e" filled="false" stroked="true" strokeweight=".691639pt" strokecolor="#ffffff">
              <v:path arrowok="t"/>
              <v:stroke dashstyle="solid"/>
            </v:shape>
            <v:shape style="position:absolute;left:2190;top:175;width:7371;height:2617" coordorigin="2191,176" coordsize="7371,2617" path="m2262,1059l2191,1059,2191,2792,2262,2792,2262,1059xm2513,983l2442,983,2442,2792,2513,2792,2513,983xm2765,1167l2693,1167,2693,2792,2765,2792,2765,1167xm3016,1096l2945,1096,2945,2792,3016,2792,3016,1096xm3270,1020l3196,1020,3196,2792,3270,2792,3270,1020xm3521,941l3447,941,3447,2792,3521,2792,3521,941xm3772,819l3701,819,3701,2792,3772,2792,3772,819xm4024,678l3952,678,3952,2792,4024,2792,4024,678xm4275,637l4203,637,4203,2792,4275,2792,4275,637xm4526,455l4455,455,4455,2792,4526,2792,4526,455xm4780,319l4706,319,4706,2792,4780,2792,4780,319xm5031,459l4960,459,4960,2792,5031,2792,5031,459xm5282,390l5211,390,5211,2792,5282,2792,5282,390xm5534,358l5462,358,5462,2792,5534,2792,5534,358xm5785,282l5714,282,5714,2792,5785,2792,5785,282xm6039,176l5965,176,5965,2792,6039,2792,6039,176xm6290,432l6218,432,6218,2792,6290,2792,6290,432xm6541,381l6470,381,6470,2792,6541,2792,6541,381xm6793,240l6721,240,6721,2792,6793,2792,6793,240xm7044,293l6972,293,6972,2792,7044,2792,7044,293xm7295,344l7224,344,7224,2792,7295,2792,7295,344xm7549,353l7475,353,7475,2792,7549,2792,7549,353xm7800,367l7729,367,7729,2792,7800,2792,7800,367xm8051,383l7980,383,7980,2792,8051,2792,8051,383xm8303,450l8231,450,8231,2792,8303,2792,8303,450xm8554,499l8482,499,8482,2792,8554,2792,8554,499xm8808,515l8734,515,8734,2792,8808,2792,8808,515xm9059,519l8987,519,8987,2792,9059,2792,9059,519xm9310,556l9239,556,9239,2792,9310,2792,9310,556xm9561,545l9490,545,9490,2792,9561,2792,9561,545xe" filled="true" fillcolor="#002f6c" stroked="false">
              <v:path arrowok="t"/>
              <v:fill type="solid"/>
            </v:shape>
            <v:shape style="position:absolute;left:2262;top:1960;width:7371;height:833" coordorigin="2262,1960" coordsize="7371,833" path="m2334,2264l2262,2264,2262,2792,2334,2792,2334,2264xm2585,2244l2513,2244,2513,2792,2585,2792,2585,2244xm2836,2255l2765,2255,2765,2792,2836,2792,2836,2255xm3090,2257l3016,2257,3016,2792,3090,2792,3090,2257xm3341,2239l3270,2239,3270,2792,3341,2792,3341,2239xm3592,2211l3521,2211,3521,2792,3592,2792,3592,2211xm3844,2188l3772,2188,3772,2792,3844,2792,3844,2188xm4095,2175l4024,2175,4024,2792,4095,2792,4095,2175xm4346,2156l4275,2156,4275,2792,4346,2792,4346,2156xm4600,2138l4526,2138,4526,2792,4600,2792,4600,2138xm4851,2112l4780,2112,4780,2792,4851,2792,4851,2112xm5103,2108l5031,2108,5031,2792,5103,2792,5103,2108xm5354,2119l5282,2119,5282,2792,5354,2792,5354,2119xm5605,2087l5534,2087,5534,2792,5605,2792,5605,2087xm5859,2080l5785,2080,5785,2792,5859,2792,5859,2080xm6110,2055l6039,2055,6039,2792,6110,2792,6110,2055xm6361,2117l6290,2117,6290,2792,6361,2792,6361,2117xm6613,2098l6541,2098,6541,2792,6613,2792,6613,2098xm6864,2036l6793,2036,6793,2792,6864,2792,6864,2036xm7115,2048l7044,2048,7044,2792,7115,2792,7115,2048xm7369,2032l7295,2032,7295,2792,7369,2792,7369,2032xm7620,2009l7549,2009,7549,2792,7620,2792,7620,2009xm7871,2006l7800,2006,7800,2792,7871,2792,7871,2006xm8123,1960l8051,1960,8051,2792,8123,2792,8123,1960xm8374,1974l8303,1974,8303,2792,8374,2792,8374,1974xm8628,1985l8554,1985,8554,2792,8628,2792,8628,1985xm8879,1988l8808,1988,8808,2792,8879,2792,8879,1988xm9130,1988l9059,1988,9059,2792,9130,2792,9130,1988xm9382,1995l9310,1995,9310,2792,9382,2792,9382,1995xm9633,2004l9561,2004,9561,2792,9633,2792,9633,2004xe" filled="true" fillcolor="#7fa8d9" stroked="false">
              <v:path arrowok="t"/>
              <v:fill type="solid"/>
            </v:shape>
            <v:shape style="position:absolute;left:2135;top:81;width:7553;height:2712" coordorigin="2135,81" coordsize="7553,2712" path="m2135,2792l2135,81m2135,2792l2179,2792m2135,2405l2179,2405m2135,2018l2179,2018m2135,1630l2179,1630m2135,1243l2179,1243m2135,856l2179,856m2135,469l2179,469m2135,81l2179,81m2135,2792l9688,2792m2135,2749l2135,2792m2387,2749l2387,2792m2640,2749l2640,2792m2892,2749l2892,2792m3143,2749l3143,2792m3394,2749l3394,2792m3645,2749l3645,2792m3897,2749l3897,2792m4150,2749l4150,2792m4402,2749l4402,2792m4653,2749l4653,2792m4904,2749l4904,2792m5156,2749l5156,2792m5409,2749l5409,2792m5660,2749l5660,2792m5912,2749l5912,2792m6163,2749l6163,2792m6414,2749l6414,2792m6666,2749l6666,2792m6919,2749l6919,2792m7171,2749l7171,2792m7422,2749l7422,2792m7673,2749l7673,2792m7925,2749l7925,2792m8178,2749l8178,2792m8429,2749l8429,2792m8681,2749l8681,2792m8932,2749l8932,2792m9183,2749l9183,2792m9437,2749l9437,2792m9688,2749l9688,2792e" filled="false" stroked="true" strokeweight=".691639pt" strokecolor="#000000">
              <v:path arrowok="t"/>
              <v:stroke dashstyle="solid"/>
            </v:shape>
            <v:shape style="position:absolute;left:2260;top:292;width:7302;height:1829" coordorigin="2261,292" coordsize="7302,1829" path="m2261,2120l2512,2079,2766,2012,3017,1920,3268,1830,3520,1735,3771,1629,4025,1523,4276,1429,4527,1297,4779,1210,5030,1159,5281,1083,5535,896,5786,696,6037,477,6289,352,6540,292,6794,297,7045,389,7296,447,7548,573,7799,700,8052,848,8304,1030,8555,1152,8806,1274,9058,1309,9309,1330,9563,1304e" filled="false" stroked="true" strokeweight="1.498512pt" strokecolor="#006bb6">
              <v:path arrowok="t"/>
              <v:stroke dashstyle="solid"/>
            </v:shape>
            <v:shape style="position:absolute;left:2065;top:2859;width:219;height:222" type="#_x0000_t75" stroked="false">
              <v:imagedata r:id="rId137" o:title=""/>
            </v:shape>
            <v:shape style="position:absolute;left:2316;top:2858;width:472;height:223" type="#_x0000_t75" stroked="false">
              <v:imagedata r:id="rId138" o:title=""/>
            </v:shape>
            <v:shape style="position:absolute;left:2820;top:2851;width:473;height:230" type="#_x0000_t75" stroked="false">
              <v:imagedata r:id="rId139" o:title=""/>
            </v:shape>
            <v:shape style="position:absolute;left:3323;top:2859;width:221;height:222" type="#_x0000_t75" stroked="false">
              <v:imagedata r:id="rId140" o:title=""/>
            </v:shape>
            <v:shape style="position:absolute;left:3575;top:2848;width:208;height:232" type="#_x0000_t75" stroked="false">
              <v:imagedata r:id="rId141" o:title=""/>
            </v:shape>
            <v:shape style="position:absolute;left:3827;top:2860;width:221;height:221" type="#_x0000_t75" stroked="false">
              <v:imagedata r:id="rId142" o:title=""/>
            </v:shape>
            <v:shape style="position:absolute;left:4079;top:2849;width:4739;height:254" coordorigin="4079,2849" coordsize="4739,254" path="m4158,3073l4108,3023,4084,3000,4079,3004,4081,3009,4082,3014,4082,3020,4082,3028,4082,3034,4080,3040,4089,3049,4090,3045,4091,3041,4093,3031,4093,3027,4093,3023,4150,3081,4158,3073xm4204,3016l4203,3010,4195,2995,4189,2987,4188,2986,4169,2967,4168,2966,4168,2994,4167,2998,4161,3005,4156,3006,4146,3005,4141,3002,4131,2992,4128,2987,4127,2981,4126,2977,4126,2975,4127,2971,4131,2968,4133,2965,4138,2963,4148,2965,4154,2968,4159,2973,4164,2978,4167,2984,4168,2994,4168,2966,4165,2963,4162,2961,4155,2958,4148,2955,4142,2954,4131,2955,4126,2957,4122,2961,4117,2966,4115,2972,4115,2975,4116,2989,4116,2989,4120,2997,4128,3005,4136,3012,4143,3017,4159,3018,4165,3016,4170,3011,4173,3008,4174,3006,4175,3005,4175,3004,4176,3000,4176,2996,4176,2992,4175,2987,4177,2989,4182,2995,4187,3000,4192,3012,4193,3016,4194,3018,4193,3021,4193,3024,4192,3027,4184,3035,4176,3035,4167,3028,4161,3036,4168,3041,4174,3044,4186,3044,4192,3042,4198,3035,4201,3033,4203,3028,4204,3022,4204,3018,4204,3016xm4250,2971l4248,2964,4241,2949,4235,2941,4234,2940,4224,2930,4215,2921,4214,2920,4214,2949,4213,2952,4210,2956,4206,2959,4202,2960,4191,2959,4186,2957,4176,2947,4173,2941,4172,2931,4172,2929,4173,2925,4176,2922,4179,2919,4183,2918,4194,2919,4199,2922,4205,2927,4210,2933,4213,2938,4214,2946,4214,2949,4214,2920,4211,2918,4207,2915,4194,2909,4188,2908,4176,2909,4172,2912,4168,2915,4163,2921,4160,2927,4161,2929,4162,2944,4166,2952,4181,2967,4189,2971,4205,2972,4211,2970,4217,2965,4219,2963,4220,2960,4220,2959,4221,2955,4222,2951,4222,2946,4220,2941,4222,2943,4228,2949,4232,2955,4238,2966,4239,2970,4239,2972,4239,2975,4239,2978,4237,2981,4235,2984,4229,2989,4222,2989,4213,2982,4207,2990,4213,2996,4220,2998,4232,2998,4237,2996,4244,2989,4246,2987,4249,2982,4249,2977,4250,2971xm4297,2924l4296,2917,4288,2902,4282,2894,4281,2893,4271,2883,4262,2874,4261,2873,4261,2901,4260,2905,4254,2912,4249,2913,4239,2912,4234,2910,4229,2905,4224,2899,4220,2894,4219,2882,4220,2878,4223,2875,4226,2872,4231,2871,4241,2872,4247,2875,4252,2880,4257,2885,4260,2891,4261,2901,4261,2873,4258,2871,4254,2868,4241,2862,4235,2861,4224,2862,4219,2864,4215,2868,4210,2873,4208,2880,4209,2896,4213,2904,4221,2912,4228,2919,4236,2924,4252,2925,4258,2923,4263,2918,4266,2915,4267,2913,4268,2912,4269,2907,4269,2904,4269,2899,4268,2894,4269,2896,4275,2902,4279,2907,4285,2919,4286,2923,4286,2925,4286,2927,4286,2931,4284,2934,4282,2937,4277,2942,4269,2942,4260,2935,4254,2943,4261,2948,4267,2951,4279,2951,4285,2949,4291,2942,4293,2940,4296,2935,4296,2929,4297,2924xm4420,3062l4412,3054,4382,3083,4381,3081,4381,3078,4380,3072,4380,3066,4380,3057,4380,3043,4379,3033,4377,3026,4375,3019,4372,3014,4368,3010,4367,3009,4362,3004,4355,3000,4341,2998,4334,3001,4322,3013,4319,3019,4320,3033,4323,3041,4329,3048,4338,3041,4333,3037,4331,3032,4330,3024,4330,3022,4332,3018,4338,3012,4342,3010,4351,3010,4355,3012,4359,3016,4362,3019,4365,3024,4367,3030,4368,3036,4369,3046,4369,3072,4370,3081,4374,3094,4377,3099,4381,3102,4400,3083,4420,3062xm4458,3021l4455,3011,4452,3004,4447,2996,4447,2996,4447,3020,4446,3025,4442,3028,4439,3032,4434,3032,4421,3029,4412,3022,4399,3009,4388,2998,4381,2989,4379,2982,4378,2976,4378,2972,4383,2967,4385,2965,4390,2964,4403,2967,4412,2974,4424,2986,4436,2998,4443,3007,4445,3014,4447,3020,4447,2996,4440,2987,4432,2978,4422,2969,4415,2964,4413,2962,4404,2957,4396,2955,4387,2953,4380,2955,4375,2960,4368,2967,4367,2974,4367,2975,4369,2985,4373,2992,4377,3000,4384,3009,4392,3018,4402,3027,4411,3034,4420,3039,4427,3041,4436,3043,4444,3041,4453,3032,4456,3029,4458,3021xm4503,2975l4500,2966,4497,2958,4492,2950,4492,2950,4492,2974,4491,2979,4488,2982,4484,2986,4479,2987,4467,2983,4458,2976,4446,2964,4434,2953,4427,2944,4425,2937,4423,2931,4424,2926,4429,2921,4431,2919,4436,2918,4449,2921,4458,2928,4466,2936,4482,2952,4489,2961,4491,2968,4492,2974,4492,2950,4486,2942,4478,2933,4468,2924,4460,2918,4458,2917,4450,2912,4442,2909,4433,2907,4426,2909,4414,2921,4412,2929,4415,2939,4418,2947,4423,2955,4430,2963,4438,2972,4448,2981,4457,2988,4465,2993,4473,2996,4482,2998,4489,2996,4498,2987,4502,2983,4503,2975xm4551,2928l4548,2918,4545,2911,4540,2903,4540,2903,4540,2927,4539,2932,4532,2939,4527,2940,4514,2936,4505,2929,4493,2917,4481,2905,4474,2896,4472,2890,4471,2883,4471,2879,4478,2872,4483,2871,4496,2874,4505,2881,4517,2893,4529,2905,4536,2914,4540,2927,4540,2903,4533,2894,4525,2885,4515,2876,4507,2871,4506,2869,4497,2864,4489,2862,4480,2860,4473,2862,4461,2874,4459,2882,4462,2892,4466,2899,4470,2907,4477,2916,4485,2925,4495,2934,4504,2941,4513,2946,4520,2948,4529,2950,4537,2948,4546,2940,4549,2936,4551,2928xm4672,3062l4664,3054,4634,3083,4633,3081,4633,3078,4632,3072,4632,3066,4631,3057,4631,3043,4630,3033,4628,3026,4627,3019,4623,3014,4620,3010,4619,3009,4613,3004,4607,3000,4592,2998,4586,3001,4574,3013,4571,3019,4571,3033,4575,3041,4581,3048,4590,3041,4585,3037,4582,3032,4582,3028,4582,3024,4582,3022,4583,3018,4587,3015,4590,3012,4594,3010,4603,3010,4607,3012,4611,3016,4614,3019,4616,3024,4618,3030,4620,3036,4620,3043,4621,3072,4622,3081,4626,3094,4629,3099,4632,3102,4651,3083,4672,3062xm4710,3021l4707,3011,4703,3004,4699,2996,4698,2996,4698,3020,4698,3025,4694,3028,4691,3032,4686,3032,4673,3029,4664,3022,4650,3009,4640,2998,4633,2989,4629,2976,4630,2972,4635,2967,4637,2965,4642,2964,4655,2967,4664,2974,4676,2986,4688,2998,4695,3007,4697,3014,4698,3020,4698,2996,4692,2987,4684,2978,4674,2969,4666,2964,4664,2962,4656,2957,4648,2955,4639,2953,4632,2955,4620,2967,4618,2974,4618,2975,4621,2985,4624,2992,4629,3000,4636,3009,4644,3018,4654,3027,4663,3034,4671,3039,4679,3041,4688,3043,4696,3041,4705,3032,4708,3029,4710,3021xm4755,2975l4752,2966,4749,2958,4744,2950,4744,2950,4744,2974,4743,2979,4736,2986,4731,2987,4718,2983,4709,2976,4698,2964,4686,2953,4679,2944,4677,2937,4675,2931,4676,2926,4680,2921,4683,2919,4688,2918,4700,2921,4710,2928,4733,2952,4740,2961,4742,2968,4744,2974,4744,2950,4738,2942,4729,2933,4719,2924,4712,2918,4710,2917,4701,2912,4693,2909,4685,2907,4678,2909,4672,2915,4666,2921,4664,2929,4667,2939,4670,2947,4675,2955,4682,2963,4690,2972,4700,2981,4709,2988,4717,2993,4724,2996,4734,2998,4741,2996,4747,2990,4750,2987,4753,2983,4755,2975xm4801,2933l4751,2883,4728,2859,4723,2864,4725,2869,4726,2874,4726,2887,4725,2894,4724,2900,4733,2909,4734,2905,4735,2901,4736,2891,4737,2887,4736,2883,4794,2941,4801,2933xm4924,3062l4915,3054,4886,3083,4885,3081,4884,3078,4884,3072,4883,3057,4883,3043,4882,3033,4880,3026,4878,3019,4875,3014,4872,3010,4870,3009,4865,3004,4859,3000,4844,2998,4837,3001,4826,3013,4823,3018,4823,3033,4826,3041,4833,3048,4841,3041,4837,3037,4834,3032,4834,3027,4834,3024,4834,3022,4835,3018,4839,3015,4842,3012,4846,3010,4855,3010,4859,3012,4863,3016,4866,3019,4868,3024,4870,3030,4872,3036,4872,3046,4872,3072,4873,3081,4878,3094,4880,3099,4884,3102,4903,3083,4924,3062xm4961,3021l4958,3011,4955,3004,4950,2996,4950,2996,4950,3020,4949,3025,4946,3028,4942,3032,4937,3032,4925,3029,4915,3022,4902,3009,4892,2998,4885,2989,4883,2982,4881,2976,4882,2972,4887,2967,4889,2965,4894,2964,4907,2967,4916,2974,4928,2986,4940,2998,4946,3007,4948,3014,4950,3020,4950,2996,4944,2987,4935,2978,4925,2969,4918,2964,4916,2962,4907,2957,4899,2955,4891,2953,4884,2955,4872,2967,4870,2974,4870,2975,4873,2985,4876,2992,4881,3000,4888,3009,4896,3018,4906,3027,4915,3034,4923,3039,4931,3041,4940,3043,4947,3041,4956,3032,4960,3029,4961,3021xm5007,2975l5004,2966,5001,2958,4996,2950,4996,2950,4996,2974,4995,2979,4992,2982,4988,2986,4983,2987,4970,2983,4961,2976,4949,2964,4937,2953,4930,2944,4929,2937,4927,2931,4928,2926,4932,2921,4934,2919,4939,2918,4952,2921,4961,2928,4974,2940,4985,2952,4992,2961,4994,2968,4996,2974,4996,2950,4989,2942,4981,2933,4971,2924,4964,2918,4962,2917,4953,2912,4945,2909,4937,2907,4929,2909,4924,2915,4917,2921,4916,2929,4918,2939,4922,2947,4927,2955,4933,2963,4942,2972,4951,2981,4961,2988,4969,2993,4976,2996,4986,2998,4993,2996,5002,2987,5005,2983,5007,2975xm5064,2922l5055,2913,5026,2943,5025,2940,5025,2938,5024,2933,5024,2929,5023,2922,5023,2903,5022,2893,5020,2886,5019,2879,5015,2873,5012,2870,5011,2869,5005,2863,4999,2860,4984,2858,4978,2861,4972,2867,4966,2873,4963,2879,4963,2893,4967,2900,4973,2908,4982,2901,4977,2896,4974,2892,4974,2887,4974,2882,4975,2878,4979,2875,4982,2871,4986,2870,4995,2870,4999,2872,5003,2876,5006,2879,5008,2884,5010,2890,5012,2896,5013,2905,5013,2933,5014,2940,5018,2953,5021,2958,5024,2962,5043,2943,5064,2922xm5176,3062l5167,3054,5138,3083,5137,3081,5136,3078,5135,3072,5135,3043,5134,3033,5132,3026,5130,3019,5127,3014,5123,3010,5122,3009,5117,3004,5111,3000,5096,2998,5089,3001,5077,3013,5075,3018,5075,3033,5078,3041,5085,3048,5093,3041,5089,3037,5086,3032,5085,3025,5085,3022,5087,3018,5094,3012,5097,3010,5106,3010,5111,3012,5114,3016,5118,3019,5120,3024,5122,3030,5123,3036,5124,3046,5124,3072,5125,3081,5127,3087,5129,3094,5132,3099,5136,3102,5155,3083,5176,3062xm5213,3021l5210,3011,5207,3004,5202,2996,5202,2996,5202,3020,5201,3025,5194,3032,5189,3032,5176,3029,5167,3022,5154,3009,5143,2998,5137,2989,5135,2982,5133,2976,5134,2972,5138,2967,5141,2965,5146,2964,5158,2967,5168,2974,5179,2986,5191,2998,5198,3007,5202,3020,5202,2996,5195,2987,5187,2978,5177,2969,5170,2964,5168,2962,5159,2957,5151,2955,5143,2953,5136,2955,5123,2967,5122,2974,5122,2975,5125,2985,5128,2992,5133,3000,5139,3009,5148,3018,5158,3027,5167,3034,5175,3039,5182,3041,5192,3043,5199,3041,5208,3032,5211,3029,5213,3021xm5259,2975l5256,2966,5253,2958,5248,2950,5247,2950,5247,2974,5247,2979,5243,2982,5240,2986,5235,2987,5222,2983,5213,2976,5201,2964,5189,2953,5182,2944,5178,2931,5179,2926,5184,2921,5186,2919,5191,2918,5204,2921,5213,2928,5227,2942,5237,2952,5244,2961,5246,2968,5247,2974,5247,2950,5241,2942,5233,2933,5223,2924,5215,2918,5213,2917,5205,2912,5197,2909,5188,2907,5181,2909,5169,2921,5167,2929,5170,2939,5173,2947,5178,2955,5185,2963,5193,2972,5203,2981,5212,2988,5221,2993,5228,2996,5237,2998,5245,2996,5254,2987,5257,2983,5259,2975xm5305,2931l5305,2921,5305,2914,5301,2907,5295,2901,5291,2897,5288,2894,5285,2893,5281,2891,5278,2890,5271,2890,5268,2891,5265,2893,5266,2890,5266,2885,5264,2877,5262,2873,5260,2872,5259,2870,5253,2864,5247,2861,5233,2861,5227,2863,5218,2873,5217,2873,5215,2878,5215,2891,5217,2898,5223,2906,5232,2900,5228,2895,5226,2890,5226,2889,5226,2882,5227,2878,5230,2876,5232,2873,5236,2872,5244,2872,5247,2874,5251,2877,5255,2881,5256,2885,5256,2893,5256,2894,5255,2898,5251,2902,5250,2903,5257,2912,5258,2909,5260,2907,5261,2905,5264,2902,5268,2901,5278,2901,5283,2904,5288,2909,5291,2912,5294,2917,5295,2926,5295,2928,5293,2932,5290,2936,5284,2942,5275,2941,5264,2933,5257,2942,5264,2947,5271,2950,5286,2951,5292,2948,5298,2942,5303,2938,5305,2931xm5427,3062l5419,3054,5389,3083,5388,3081,5388,3078,5387,3075,5387,3072,5387,3066,5387,3057,5387,3043,5385,3033,5384,3026,5382,3019,5378,3014,5375,3010,5369,3004,5362,3000,5348,2998,5341,3001,5335,3007,5329,3013,5327,3018,5327,3033,5330,3041,5336,3048,5345,3041,5340,3037,5338,3032,5337,3025,5337,3022,5338,3018,5345,3012,5349,3010,5358,3010,5362,3012,5366,3016,5369,3019,5372,3024,5373,3030,5375,3036,5375,3037,5376,3046,5376,3072,5377,3081,5381,3094,5384,3099,5387,3102,5406,3083,5427,3062xm5465,3021l5462,3011,5459,3004,5454,2996,5454,2996,5454,3020,5453,3025,5446,3032,5441,3032,5428,3029,5419,3022,5407,3010,5395,2998,5388,2989,5386,2982,5385,2976,5385,2972,5390,2967,5392,2965,5397,2964,5410,2967,5419,2974,5431,2986,5443,2998,5450,3007,5452,3014,5454,3020,5454,2996,5447,2987,5439,2978,5429,2969,5421,2964,5420,2962,5411,2957,5403,2955,5394,2953,5387,2955,5382,2960,5375,2967,5374,2974,5374,2975,5376,2985,5380,2992,5384,3000,5391,3009,5399,3018,5409,3027,5418,3034,5427,3039,5434,3041,5443,3043,5451,3041,5457,3036,5460,3032,5463,3029,5465,3021xm5510,2975l5507,2966,5504,2958,5499,2950,5499,2950,5499,2974,5498,2979,5495,2982,5491,2986,5486,2987,5474,2983,5465,2976,5453,2964,5441,2953,5434,2944,5432,2937,5430,2931,5431,2926,5436,2921,5438,2919,5443,2918,5456,2921,5465,2928,5474,2937,5489,2952,5495,2961,5498,2968,5499,2974,5499,2950,5493,2942,5484,2933,5474,2924,5467,2918,5465,2917,5457,2912,5449,2909,5440,2907,5433,2909,5421,2921,5419,2928,5419,2930,5422,2939,5425,2947,5430,2955,5437,2963,5445,2972,5455,2981,5464,2988,5472,2993,5480,2996,5489,2998,5496,2996,5505,2987,5509,2983,5510,2975xm5560,2930l5550,2920,5542,2912,5550,2904,5550,2904,5542,2896,5534,2904,5526,2897,5526,2911,5508,2930,5493,2878,5526,2911,5526,2897,5508,2878,5486,2856,5480,2862,5500,2938,5509,2946,5524,2930,5535,2920,5552,2937,5560,2930xm5679,3062l5670,3054,5641,3083,5640,3081,5640,3078,5639,3072,5639,3066,5638,3057,5638,3043,5637,3033,5635,3026,5634,3019,5630,3014,5627,3010,5625,3009,5620,3004,5614,3000,5599,2998,5593,3001,5581,3013,5578,3019,5578,3033,5582,3041,5588,3048,5597,3041,5592,3037,5589,3032,5589,3024,5589,3022,5590,3018,5597,3012,5601,3010,5610,3010,5614,3012,5618,3016,5621,3019,5623,3024,5625,3030,5627,3036,5627,3046,5628,3072,5629,3081,5633,3094,5636,3099,5639,3102,5658,3083,5679,3062xm5717,3021l5714,3011,5710,3004,5705,2996,5705,2996,5705,3020,5704,3025,5701,3028,5698,3032,5693,3032,5680,3029,5671,3022,5657,3009,5647,2998,5640,2989,5638,2983,5636,2976,5637,2972,5642,2967,5644,2965,5649,2964,5662,2967,5671,2974,5683,2986,5695,2998,5702,3007,5703,3014,5705,3020,5705,2996,5699,2987,5690,2978,5681,2969,5673,2964,5671,2962,5663,2957,5655,2955,5646,2953,5639,2955,5633,2960,5627,2967,5625,2974,5625,2975,5628,2985,5631,2992,5636,3000,5643,3009,5651,3018,5661,3027,5670,3034,5678,3039,5686,3041,5695,3043,5703,3041,5711,3032,5715,3029,5717,3021xm5762,2975l5759,2966,5756,2958,5751,2950,5751,2950,5751,2974,5750,2979,5743,2986,5738,2987,5725,2983,5716,2976,5704,2964,5693,2953,5686,2944,5684,2937,5682,2931,5683,2926,5687,2921,5690,2919,5695,2918,5707,2921,5717,2928,5730,2942,5740,2952,5747,2961,5751,2974,5751,2950,5745,2942,5736,2933,5726,2924,5719,2918,5717,2917,5708,2912,5700,2909,5692,2907,5685,2909,5672,2921,5671,2929,5674,2939,5677,2947,5682,2955,5688,2963,5697,2972,5707,2981,5716,2988,5724,2993,5731,2996,5741,2998,5748,2996,5757,2987,5760,2983,5762,2975xm5810,2929l5809,2927,5808,2920,5807,2911,5802,2903,5795,2896,5788,2889,5780,2885,5764,2884,5758,2886,5753,2891,5749,2895,5747,2900,5746,2907,5729,2884,5753,2860,5745,2851,5715,2881,5747,2925,5755,2919,5754,2916,5754,2911,5754,2909,5755,2907,5755,2906,5757,2903,5759,2901,5763,2897,5767,2896,5778,2897,5783,2899,5794,2910,5797,2916,5798,2927,5797,2932,5793,2936,5791,2938,5787,2940,5778,2939,5773,2937,5768,2933,5761,2942,5768,2948,5775,2951,5790,2951,5796,2948,5804,2940,5807,2937,5810,2929xm5931,3062l5922,3054,5893,3083,5892,3081,5891,3078,5890,3072,5890,3066,5890,3057,5890,3043,5889,3033,5887,3026,5885,3019,5882,3014,5879,3010,5877,3009,5872,3004,5866,3000,5851,2998,5844,3001,5833,3013,5830,3019,5830,3033,5833,3041,5840,3048,5848,3041,5844,3037,5841,3032,5841,3029,5841,3026,5841,3022,5842,3018,5846,3015,5849,3012,5853,3010,5862,3010,5866,3012,5870,3016,5873,3019,5875,3024,5878,3036,5879,3043,5879,3072,5880,3081,5885,3094,5887,3099,5891,3102,5910,3083,5931,3062xm5968,3021l5965,3011,5962,3004,5957,2996,5957,2996,5957,3020,5956,3025,5953,3028,5949,3032,5944,3032,5932,3029,5922,3022,5909,3009,5899,2998,5892,2989,5888,2976,5889,2972,5893,2967,5896,2965,5901,2964,5914,2967,5923,2974,5935,2986,5946,2998,5953,3007,5955,3014,5957,3020,5957,2996,5951,2987,5942,2978,5932,2969,5925,2964,5923,2962,5914,2957,5906,2955,5898,2953,5891,2955,5879,2967,5877,2974,5877,2975,5880,2985,5883,2992,5888,3000,5895,3009,5903,3018,5913,3027,5922,3034,5930,3039,5938,3041,5947,3043,5954,3041,5963,3032,5967,3029,5968,3021xm6014,2975l6011,2966,6008,2958,6003,2950,6003,2950,6003,2974,6002,2979,5995,2986,5990,2987,5977,2983,5968,2976,5956,2964,5944,2953,5937,2944,5936,2937,5934,2931,5934,2929,5934,2926,5939,2921,5941,2919,5946,2918,5959,2921,5968,2928,5982,2942,5992,2952,5999,2961,6001,2968,6003,2974,6003,2950,5996,2942,5988,2933,5978,2924,5971,2918,5969,2917,5960,2912,5952,2909,5943,2907,5936,2909,5931,2915,5924,2921,5923,2928,5923,2930,5925,2939,5929,2947,5934,2955,5940,2963,5948,2972,5958,2981,5968,2988,5976,2993,5983,2996,5992,2998,6000,2996,6009,2987,6012,2983,6014,2975xm6061,2925l6061,2920,6058,2914,6056,2908,6053,2903,6051,2901,6051,2927,6050,2931,6046,2934,6043,2938,6039,2939,6027,2937,6022,2934,6017,2929,6012,2924,6009,2919,6009,2916,6008,2914,6008,2909,6009,2904,6012,2901,6016,2898,6020,2897,6030,2898,6036,2901,6046,2911,6049,2917,6051,2927,6051,2901,6048,2898,6047,2897,6041,2891,6033,2886,6017,2885,6011,2887,6003,2895,6001,2898,6000,2903,6000,2906,6000,2911,6001,2916,5992,2907,5987,2899,5984,2892,5981,2884,5982,2878,5987,2874,5989,2871,5993,2870,6000,2870,6004,2872,6008,2875,6013,2870,6015,2867,6008,2862,6002,2859,5989,2859,5984,2861,5979,2866,5973,2872,5971,2880,5973,2891,5976,2898,5981,2907,5988,2917,5997,2927,6010,2940,6021,2947,6040,2950,6048,2948,6054,2942,6057,2939,6057,2938,6060,2934,6060,2929,6061,2925xm6183,3062l6174,3054,6144,3083,6143,3081,6143,3078,6142,3072,6142,3057,6142,3043,6141,3034,6141,3032,6139,3026,6137,3019,6134,3014,6130,3010,6129,3009,6124,3004,6118,3000,6103,2998,6096,3001,6084,3013,6082,3018,6082,3033,6085,3041,6092,3048,6100,3041,6095,3037,6093,3032,6093,3027,6092,3024,6092,3022,6094,3018,6100,3012,6104,3010,6113,3010,6118,3012,6121,3016,6124,3019,6127,3024,6129,3030,6130,3036,6131,3046,6131,3072,6132,3081,6136,3094,6139,3099,6143,3102,6162,3083,6183,3062xm6220,3021l6217,3011,6214,3004,6209,2996,6209,2996,6209,3020,6208,3025,6205,3028,6201,3032,6196,3032,6183,3029,6174,3022,6161,3009,6150,2998,6143,2989,6141,2982,6140,2976,6140,2972,6145,2967,6148,2965,6153,2964,6165,2967,6175,2974,6186,2986,6198,2998,6205,3007,6207,3014,6209,3020,6209,2996,6202,2987,6194,2978,6184,2969,6177,2964,6175,2962,6166,2957,6158,2955,6150,2953,6143,2955,6130,2967,6129,2974,6129,2975,6132,2985,6135,2992,6140,3000,6146,3009,6155,3018,6165,3027,6174,3034,6182,3039,6189,3041,6198,3043,6206,3041,6215,3032,6218,3029,6220,3021xm6266,2975l6263,2966,6259,2958,6255,2950,6254,2950,6254,2974,6254,2979,6250,2982,6247,2986,6242,2987,6229,2983,6220,2976,6208,2964,6196,2953,6189,2944,6187,2937,6185,2931,6186,2926,6189,2923,6193,2919,6198,2918,6211,2921,6220,2928,6232,2940,6244,2952,6251,2961,6253,2968,6254,2974,6254,2950,6248,2942,6240,2933,6230,2924,6222,2918,6220,2917,6212,2912,6204,2909,6195,2907,6188,2909,6183,2915,6176,2921,6174,2929,6177,2939,6180,2947,6185,2955,6192,2963,6200,2972,6210,2981,6219,2988,6227,2993,6235,2996,6244,2998,6252,2996,6261,2987,6264,2983,6266,2975xm6300,2945l6292,2935,6285,2924,6278,2913,6272,2901,6267,2889,6263,2877,6260,2867,6260,2866,6258,2856,6251,2849,6212,2888,6220,2897,6250,2867,6251,2876,6254,2886,6263,2907,6268,2918,6280,2938,6287,2946,6293,2952,6300,2945xm6434,3062l6426,3054,6396,3083,6395,3081,6395,3078,6394,3075,6394,3066,6393,3043,6392,3033,6391,3026,6389,3019,6385,3014,6382,3010,6376,3004,6369,3000,6355,2998,6348,3001,6342,3007,6336,3013,6334,3018,6334,3033,6337,3041,6343,3048,6352,3041,6347,3037,6345,3032,6344,3025,6344,3022,6345,3018,6352,3012,6356,3010,6365,3010,6369,3012,6373,3016,6376,3019,6379,3024,6380,3030,6382,3036,6383,3043,6383,3071,6384,3081,6386,3087,6388,3094,6391,3099,6394,3102,6413,3083,6434,3062xm6472,3021l6469,3011,6466,3004,6461,2996,6461,2996,6461,3020,6460,3025,6453,3032,6448,3032,6435,3029,6426,3022,6414,3010,6402,2998,6395,2989,6393,2982,6392,2976,6392,2972,6397,2967,6399,2965,6404,2964,6417,2967,6426,2974,6438,2986,6450,2998,6457,3007,6461,3020,6461,2996,6454,2987,6446,2978,6436,2969,6428,2964,6426,2962,6418,2957,6410,2955,6401,2953,6394,2955,6382,2967,6380,2974,6380,2975,6383,2985,6386,2992,6391,3000,6398,3009,6406,3018,6416,3027,6425,3034,6434,3039,6441,3041,6450,3043,6458,3041,6467,3032,6470,3029,6472,3021xm6517,2975l6514,2966,6511,2958,6506,2950,6506,2950,6506,2974,6505,2979,6502,2982,6498,2986,6493,2987,6481,2983,6471,2976,6460,2964,6448,2953,6441,2944,6437,2931,6438,2926,6443,2921,6445,2919,6450,2918,6463,2921,6472,2928,6484,2940,6495,2952,6502,2961,6504,2968,6506,2974,6506,2950,6500,2942,6491,2933,6481,2924,6474,2918,6472,2917,6463,2912,6456,2909,6447,2907,6440,2909,6428,2921,6426,2928,6426,2930,6429,2939,6432,2947,6437,2955,6444,2963,6452,2972,6462,2981,6471,2988,6479,2993,6487,2996,6496,2998,6503,2996,6512,2987,6516,2983,6517,2975xm6565,2930l6565,2922,6564,2914,6561,2907,6554,2900,6549,2896,6545,2893,6544,2893,6534,2890,6529,2891,6524,2893,6526,2888,6526,2884,6524,2876,6522,2873,6520,2871,6518,2869,6516,2867,6516,2892,6515,2895,6509,2901,6506,2902,6498,2901,6494,2899,6490,2896,6487,2893,6485,2889,6485,2881,6486,2878,6492,2872,6495,2871,6503,2871,6507,2873,6510,2877,6514,2880,6516,2884,6516,2888,6516,2892,6516,2867,6512,2864,6506,2861,6492,2860,6486,2862,6481,2867,6476,2872,6474,2878,6474,2884,6475,2892,6477,2898,6483,2904,6487,2907,6491,2910,6495,2911,6499,2912,6503,2911,6507,2910,6516,2910,6516,2909,6523,2902,6523,2902,6527,2900,6537,2901,6542,2904,6548,2910,6551,2912,6553,2917,6554,2927,6553,2932,6546,2938,6542,2940,6531,2939,6526,2937,6522,2932,6518,2928,6515,2923,6515,2919,6514,2914,6514,2912,6516,2910,6507,2910,6505,2914,6504,2919,6505,2925,6506,2930,6509,2935,6514,2940,6521,2947,6528,2950,6544,2951,6551,2948,6557,2942,6559,2940,6562,2937,6565,2930xm6686,3062l6677,3054,6648,3083,6647,3081,6646,3078,6646,3075,6646,3072,6646,3066,6645,3057,6645,3043,6644,3033,6642,3026,6640,3019,6637,3014,6634,3010,6632,3009,6627,3004,6621,3000,6606,2998,6600,3001,6588,3013,6585,3019,6585,3033,6588,3041,6595,3048,6604,3041,6599,3037,6596,3032,6596,3024,6596,3022,6597,3018,6604,3012,6608,3010,6617,3010,6621,3012,6625,3016,6628,3019,6630,3024,6632,3030,6634,3036,6634,3046,6634,3072,6636,3081,6640,3094,6643,3099,6646,3102,6665,3083,6686,3062xm6724,3021l6720,3011,6717,3004,6712,2996,6712,2996,6712,3020,6711,3025,6708,3028,6705,3032,6700,3032,6687,3029,6678,3022,6664,3009,6654,2998,6647,2989,6645,2982,6643,2976,6644,2972,6649,2967,6651,2965,6656,2964,6669,2967,6678,2974,6690,2986,6702,2998,6709,3007,6710,3014,6712,3020,6712,2996,6706,2987,6697,2978,6687,2969,6680,2964,6678,2962,6670,2957,6661,2955,6653,2953,6646,2955,6640,2960,6634,2967,6632,2974,6632,2975,6635,2985,6638,2992,6643,3000,6650,3009,6658,3018,6668,3027,6677,3034,6685,3039,6693,3041,6702,3043,6710,3041,6718,3032,6722,3029,6724,3021xm6769,2975l6766,2966,6763,2958,6758,2950,6758,2950,6758,2974,6757,2979,6754,2982,6750,2986,6745,2987,6732,2983,6723,2976,6711,2964,6700,2953,6693,2944,6691,2937,6689,2931,6689,2929,6690,2926,6694,2921,6697,2919,6702,2918,6714,2921,6724,2928,6737,2942,6747,2952,6754,2961,6756,2968,6758,2974,6758,2950,6751,2942,6743,2933,6733,2924,6726,2918,6724,2917,6715,2912,6707,2909,6699,2907,6692,2909,6679,2921,6678,2929,6681,2939,6684,2947,6689,2955,6695,2963,6704,2972,6714,2981,6723,2988,6731,2993,6738,2996,6748,2998,6755,2996,6764,2987,6767,2983,6769,2975xm6814,2924l6813,2917,6806,2902,6800,2894,6799,2893,6788,2883,6779,2874,6779,2873,6779,2901,6777,2905,6771,2912,6766,2913,6756,2912,6751,2910,6741,2899,6738,2894,6736,2882,6738,2878,6741,2875,6744,2872,6748,2871,6759,2872,6764,2875,6769,2880,6774,2885,6778,2891,6779,2901,6779,2873,6775,2871,6772,2868,6765,2865,6759,2862,6752,2861,6741,2862,6736,2864,6732,2868,6727,2873,6725,2880,6726,2896,6731,2904,6738,2912,6746,2919,6753,2924,6769,2925,6775,2923,6781,2918,6783,2915,6784,2913,6785,2912,6786,2907,6786,2904,6786,2899,6785,2894,6787,2896,6793,2902,6797,2907,6800,2913,6803,2919,6804,2923,6804,2926,6804,2928,6803,2931,6802,2934,6799,2937,6794,2942,6787,2942,6778,2935,6771,2943,6778,2948,6784,2951,6797,2951,6802,2949,6807,2944,6809,2942,6811,2940,6813,2935,6814,2929,6814,2924xm6938,3062l6929,3054,6900,3083,6899,3081,6898,3078,6897,3072,6897,3066,6897,3057,6897,3043,6896,3033,6894,3026,6892,3019,6889,3014,6885,3010,6884,3009,6879,3004,6873,3000,6858,2998,6851,3001,6840,3013,6837,3019,6837,3033,6840,3041,6847,3048,6855,3041,6851,3037,6848,3032,6847,3024,6847,3022,6849,3018,6852,3015,6856,3012,6859,3010,6869,3010,6873,3012,6876,3016,6880,3019,6882,3024,6884,3030,6885,3036,6886,3046,6886,3072,6887,3081,6891,3094,6894,3099,6898,3102,6917,3083,6938,3062xm6975,3021l6972,3011,6969,3004,6964,2996,6964,2996,6964,3020,6963,3025,6960,3028,6956,3032,6951,3032,6939,3029,6929,3022,6916,3009,6905,2998,6899,2989,6895,2976,6896,2972,6900,2967,6903,2965,6908,2964,6920,2967,6929,2974,6942,2986,6953,2998,6960,3007,6962,3014,6964,3020,6964,2996,6957,2987,6949,2978,6939,2969,6932,2964,6930,2962,6921,2957,6913,2955,6905,2953,6898,2955,6885,2967,6884,2975,6887,2985,6890,2992,6895,3000,6902,3009,6910,3018,6920,3027,6929,3034,6937,3039,6944,3041,6954,3043,6961,3041,6970,3032,6973,3029,6975,3021xm7020,2980l6970,2930,6946,2907,6941,2911,6943,2916,6944,2921,6944,2925,6944,2936,6944,2941,6942,2947,6951,2956,6952,2953,6953,2948,6955,2938,6955,2934,6955,2930,7012,2988,7020,2980xm7068,2928l7065,2918,7062,2911,7057,2903,7057,2903,7057,2927,7056,2932,7049,2939,7044,2940,7031,2936,7022,2929,7010,2917,6998,2905,6992,2896,6990,2890,6988,2883,6989,2879,6996,2872,7001,2871,7013,2874,7022,2881,7034,2893,7046,2905,7053,2914,7055,2920,7057,2927,7057,2903,7050,2894,7042,2885,7032,2876,7025,2871,7023,2869,7014,2864,7006,2862,6998,2860,6991,2862,6985,2868,6978,2874,6977,2882,6980,2892,6983,2899,6988,2907,6994,2916,7003,2925,7013,2934,7022,2941,7030,2946,7037,2948,7047,2950,7054,2948,7060,2943,7063,2940,7066,2936,7068,2928xm7189,3062l7181,3054,7151,3083,7150,3081,7150,3078,7149,3072,7149,3066,7149,3057,7149,3043,7148,3033,7146,3026,7144,3019,7141,3014,7137,3010,7136,3009,7131,3004,7124,3000,7110,2998,7103,3001,7091,3013,7088,3019,7089,3033,7092,3041,7099,3048,7107,3041,7102,3037,7100,3032,7099,3028,7099,3024,7099,3022,7101,3018,7104,3015,7107,3012,7111,3010,7120,3010,7125,3012,7128,3016,7131,3019,7134,3024,7135,3030,7137,3036,7138,3046,7138,3072,7139,3081,7143,3094,7146,3099,7150,3102,7169,3083,7189,3062xm7227,3021l7224,3011,7221,3004,7216,2996,7216,2996,7216,3020,7215,3025,7212,3028,7208,3032,7203,3032,7190,3029,7181,3022,7168,3009,7157,2998,7150,2989,7147,2976,7147,2972,7152,2967,7154,2965,7159,2964,7172,2967,7181,2974,7193,2986,7205,2998,7212,3007,7214,3014,7216,3020,7216,2996,7209,2987,7201,2978,7191,2969,7183,2964,7182,2962,7173,2957,7165,2955,7157,2953,7149,2955,7137,2967,7135,2975,7139,2985,7142,2992,7147,3000,7153,3009,7162,3018,7171,3027,7180,3034,7189,3039,7196,3041,7205,3043,7213,3041,7222,3032,7225,3029,7227,3021xm7271,2980l7221,2930,7198,2907,7193,2911,7195,2916,7196,2921,7196,2934,7195,2941,7194,2947,7203,2956,7204,2953,7205,2948,7206,2938,7207,2934,7207,2933,7206,2930,7264,2988,7271,2980xm7319,2933l7268,2883,7245,2859,7240,2864,7242,2869,7243,2874,7243,2887,7243,2894,7241,2900,7250,2909,7251,2905,7252,2901,7253,2896,7254,2891,7254,2887,7254,2883,7311,2941,7319,2933xm7441,3062l7433,3054,7403,3083,7402,3081,7402,3078,7401,3072,7401,3057,7400,3043,7399,3034,7399,3032,7398,3026,7396,3019,7392,3014,7389,3010,7388,3009,7382,3004,7376,3000,7362,2998,7355,3001,7343,3013,7341,3018,7340,3033,7344,3041,7350,3048,7359,3041,7354,3037,7351,3032,7351,3027,7351,3024,7351,3022,7352,3018,7359,3012,7363,3010,7372,3010,7376,3012,7380,3016,7383,3019,7386,3024,7387,3030,7389,3036,7390,3046,7390,3072,7391,3081,7395,3094,7398,3099,7401,3102,7420,3083,7441,3062xm7479,3021l7476,3011,7472,3004,7467,2996,7467,2996,7467,3020,7466,3025,7463,3028,7460,3032,7455,3032,7442,3029,7433,3022,7419,3009,7409,2998,7402,2989,7400,2983,7398,2976,7399,2972,7404,2967,7406,2965,7411,2964,7424,2967,7433,2974,7457,2998,7464,3007,7466,3014,7467,3020,7467,2996,7461,2987,7453,2978,7443,2969,7435,2964,7433,2962,7425,2957,7417,2955,7408,2953,7401,2955,7389,2967,7387,2975,7390,2985,7393,2992,7398,3000,7405,3009,7413,3018,7423,3027,7432,3034,7441,3039,7448,3041,7457,3043,7465,3041,7473,3032,7477,3029,7479,3021xm7523,2980l7473,2930,7449,2907,7444,2911,7446,2916,7447,2921,7448,2928,7448,2934,7447,2941,7446,2947,7454,2956,7456,2953,7457,2948,7458,2943,7458,2938,7458,2934,7458,2930,7516,2988,7523,2980xm7581,2922l7573,2913,7543,2943,7542,2940,7542,2938,7541,2932,7541,2926,7541,2917,7540,2903,7540,2893,7538,2886,7536,2879,7533,2873,7529,2870,7528,2869,7523,2863,7516,2860,7502,2858,7495,2861,7489,2867,7483,2873,7480,2879,7481,2893,7484,2900,7491,2908,7499,2901,7494,2896,7492,2892,7491,2887,7491,2882,7493,2878,7496,2875,7499,2871,7503,2870,7512,2870,7516,2872,7520,2876,7523,2879,7526,2884,7529,2896,7530,2903,7530,2932,7531,2940,7535,2953,7538,2958,7542,2962,7561,2943,7581,2922xm7693,3062l7684,3054,7655,3083,7654,3081,7653,3078,7653,3075,7652,3066,7652,3043,7651,3033,7649,3026,7647,3019,7644,3014,7641,3010,7634,3004,7628,3000,7613,2998,7607,3001,7600,3007,7595,3013,7592,3018,7592,3033,7595,3041,7602,3048,7611,3041,7606,3037,7603,3032,7603,3025,7603,3022,7604,3018,7611,3012,7615,3010,7624,3010,7628,3012,7632,3016,7635,3019,7637,3024,7639,3030,7640,3036,7641,3037,7641,3043,7641,3071,7642,3081,7647,3094,7650,3099,7653,3102,7672,3083,7693,3062xm7730,3021l7727,3011,7724,3004,7719,2996,7719,2996,7719,3020,7718,3025,7711,3032,7706,3032,7694,3029,7685,3022,7672,3010,7661,2998,7654,2989,7652,2983,7650,2976,7651,2972,7655,2967,7658,2965,7663,2964,7676,2967,7685,2974,7709,2998,7715,3007,7717,3014,7719,3020,7719,2996,7713,2987,7704,2978,7694,2969,7687,2964,7685,2962,7676,2957,7668,2955,7660,2953,7653,2955,7641,2967,7639,2975,7642,2985,7645,2992,7650,3000,7657,3009,7665,3018,7675,3027,7684,3034,7692,3039,7700,3041,7709,3043,7716,3041,7722,3036,7725,3032,7729,3029,7730,3021xm7775,2980l7725,2930,7701,2907,7696,2911,7698,2916,7699,2921,7699,2928,7699,2930,7700,2936,7699,2941,7697,2947,7706,2956,7707,2953,7708,2948,7710,2938,7710,2930,7767,2988,7775,2980xm7823,2931l7822,2914,7819,2907,7813,2901,7809,2897,7805,2894,7802,2893,7798,2891,7795,2890,7789,2890,7786,2891,7783,2893,7784,2889,7784,2885,7781,2877,7779,2873,7778,2872,7776,2870,7770,2864,7764,2861,7750,2861,7744,2863,7735,2873,7735,2873,7732,2878,7732,2891,7735,2898,7740,2906,7749,2900,7745,2895,7743,2890,7743,2889,7743,2882,7744,2878,7747,2876,7750,2873,7753,2872,7761,2872,7765,2874,7768,2877,7772,2881,7774,2885,7774,2894,7772,2898,7768,2902,7767,2903,7774,2912,7775,2909,7777,2907,7778,2905,7781,2902,7786,2901,7795,2901,7800,2904,7804,2908,7809,2912,7811,2917,7812,2928,7810,2932,7807,2936,7801,2942,7792,2941,7781,2933,7775,2942,7782,2947,7789,2950,7803,2951,7809,2948,7816,2942,7820,2938,7823,2931xm7945,3062l7936,3054,7906,3083,7906,3081,7905,3078,7905,3075,7904,3072,7904,3066,7904,3057,7904,3043,7903,3033,7899,3019,7896,3014,7892,3010,7891,3009,7886,3004,7880,3000,7865,2998,7858,3001,7847,3013,7844,3019,7844,3033,7847,3041,7854,3048,7862,3041,7857,3037,7855,3032,7854,3024,7854,3022,7856,3018,7862,3012,7866,3010,7876,3010,7880,3012,7883,3016,7887,3019,7889,3024,7891,3030,7892,3036,7893,3046,7893,3072,7894,3081,7898,3094,7901,3099,7905,3102,7924,3083,7945,3062xm7982,3021l7979,3011,7976,3004,7971,2996,7971,2996,7971,3020,7970,3025,7967,3028,7963,3032,7958,3032,7945,3029,7936,3022,7923,3009,7912,2998,7906,2989,7904,2983,7902,2976,7903,2972,7907,2967,7910,2965,7915,2964,7927,2967,7936,2974,7960,2998,7967,3007,7969,3014,7971,3020,7971,2996,7964,2987,7956,2978,7946,2969,7939,2964,7937,2962,7928,2957,7920,2955,7912,2953,7905,2955,7899,2960,7892,2967,7891,2975,7894,2985,7897,2992,7902,3000,7908,3009,7917,3018,7927,3027,7936,3034,7944,3039,7951,3041,7961,3043,7968,3041,7977,3032,7980,3029,7982,3021xm8027,2980l7976,2930,7953,2907,7948,2911,7950,2916,7951,2921,7951,2928,7951,2934,7951,2941,7949,2947,7958,2956,7959,2953,7960,2948,7962,2938,7962,2930,8019,2988,8027,2980xm8077,2930l8067,2920,8059,2912,8068,2904,8068,2904,8059,2896,8051,2904,8044,2897,8044,2911,8025,2930,8011,2878,8044,2911,8044,2897,8025,2878,8003,2856,7998,2862,8018,2938,8026,2946,8042,2930,8052,2920,8070,2937,8077,2930xm8196,3062l8188,3054,8158,3083,8157,3081,8157,3078,8156,3072,8156,3066,8156,3057,8155,3043,8155,3033,8153,3026,8151,3019,8148,3014,8144,3010,8143,3009,8138,3004,8131,3000,8117,2998,8110,3001,8098,3013,8095,3019,8096,3033,8099,3041,8106,3048,8114,3041,8109,3037,8107,3032,8106,3028,8106,3024,8106,3022,8108,3018,8111,3015,8114,3012,8118,3010,8127,3010,8131,3012,8135,3016,8138,3019,8141,3024,8142,3030,8144,3036,8145,3043,8145,3072,8146,3081,8150,3094,8153,3099,8157,3102,8176,3083,8196,3062xm8234,3021l8231,3011,8228,3004,8223,2996,8223,2996,8223,3020,8222,3025,8218,3028,8215,3032,8210,3032,8197,3029,8188,3022,8175,3009,8164,2998,8157,2989,8154,2976,8154,2972,8159,2967,8161,2965,8166,2964,8179,2967,8188,2974,8200,2986,8212,2998,8219,3007,8221,3014,8223,3020,8223,2996,8216,2987,8208,2978,8198,2969,8190,2964,8189,2962,8180,2957,8172,2955,8164,2953,8156,2955,8144,2967,8142,2975,8145,2985,8149,2992,8153,3000,8160,3009,8169,3018,8178,3027,8187,3034,8196,3039,8203,3041,8212,3043,8220,3041,8229,3032,8232,3029,8234,3021xm8278,2980l8228,2930,8204,2907,8200,2911,8202,2916,8203,2921,8203,2925,8203,2936,8202,2941,8201,2947,8209,2956,8211,2953,8212,2948,8213,2938,8214,2934,8213,2932,8213,2930,8271,2988,8278,2980xm8327,2929l8325,2920,8324,2911,8320,2903,8312,2896,8305,2889,8298,2885,8282,2884,8275,2886,8270,2891,8266,2895,8264,2900,8263,2907,8247,2884,8271,2860,8262,2851,8232,2881,8264,2925,8272,2919,8271,2916,8271,2912,8272,2909,8272,2907,8272,2906,8274,2903,8276,2901,8280,2897,8284,2896,8295,2897,8300,2899,8306,2905,8311,2910,8314,2916,8315,2922,8316,2927,8314,2932,8311,2936,8308,2938,8304,2940,8296,2939,8291,2937,8285,2933,8278,2942,8285,2948,8292,2951,8307,2951,8313,2948,8321,2940,8325,2937,8327,2929xm8448,3062l8439,3054,8410,3083,8409,3081,8408,3078,8408,3072,8408,3066,8407,3057,8407,3043,8406,3033,8404,3026,8403,3019,8399,3014,8396,3010,8395,3009,8389,3004,8383,3000,8368,2998,8362,3001,8350,3013,8348,3018,8347,3033,8351,3041,8357,3048,8366,3041,8361,3037,8358,3032,8358,3027,8358,3024,8358,3022,8359,3018,8363,3015,8366,3012,8370,3010,8379,3010,8383,3012,8387,3016,8390,3019,8393,3024,8394,3030,8396,3036,8397,3046,8397,3072,8398,3081,8402,3094,8405,3099,8408,3102,8427,3083,8448,3062xm8486,3021l8482,3011,8479,3004,8474,2996,8474,2996,8474,3020,8473,3025,8470,3028,8467,3032,8462,3032,8449,3029,8440,3022,8426,3009,8416,2998,8409,2989,8405,2976,8406,2972,8411,2967,8413,2965,8418,2964,8431,2967,8440,2974,8464,2998,8471,3007,8473,3014,8474,3020,8474,2996,8468,2987,8459,2978,8450,2969,8442,2964,8440,2962,8432,2957,8424,2955,8415,2953,8408,2955,8396,2967,8394,2975,8397,2985,8400,2992,8405,3000,8412,3009,8420,3018,8430,3027,8439,3034,8447,3039,8455,3041,8464,3043,8472,3041,8480,3032,8484,3029,8486,3021xm8530,2980l8480,2930,8456,2907,8451,2911,8453,2916,8454,2921,8455,2934,8454,2941,8452,2947,8461,2956,8462,2953,8463,2948,8464,2943,8465,2939,8465,2937,8465,2934,8465,2930,8523,2988,8530,2980xm8579,2925l8578,2920,8576,2914,8574,2908,8570,2903,8568,2901,8568,2927,8567,2931,8564,2934,8560,2938,8556,2939,8545,2937,8539,2934,8539,2934,8534,2929,8529,2924,8526,2919,8526,2916,8525,2911,8525,2908,8527,2904,8530,2901,8533,2898,8537,2897,8548,2898,8553,2901,8559,2907,8563,2911,8566,2917,8567,2922,8568,2927,8568,2901,8565,2898,8564,2897,8558,2891,8550,2886,8534,2885,8528,2887,8520,2895,8519,2898,8517,2906,8517,2909,8517,2911,8518,2916,8510,2907,8504,2899,8501,2892,8499,2884,8499,2878,8504,2874,8506,2871,8510,2870,8517,2870,8521,2872,8526,2875,8530,2870,8532,2867,8526,2862,8519,2859,8507,2859,8501,2861,8497,2866,8491,2872,8488,2880,8490,2891,8493,2898,8498,2907,8505,2917,8515,2927,8527,2940,8539,2947,8557,2950,8565,2948,8574,2939,8575,2938,8577,2934,8577,2934,8578,2929,8579,2925xm8700,3062l8691,3054,8662,3083,8661,3081,8660,3078,8659,3072,8659,3057,8659,3043,8658,3034,8658,3032,8656,3026,8654,3019,8651,3014,8648,3010,8646,3009,8641,3004,8635,3000,8620,2998,8613,3001,8602,3013,8599,3018,8599,3033,8602,3041,8609,3048,8618,3041,8613,3037,8610,3032,8610,3024,8610,3022,8611,3018,8618,3012,8622,3010,8631,3010,8635,3012,8638,3016,8642,3019,8644,3024,8646,3030,8648,3036,8648,3046,8648,3072,8649,3081,8653,3094,8656,3099,8660,3102,8679,3083,8700,3062xm8737,3021l8734,3011,8731,3004,8726,2996,8726,2995,8726,3020,8725,3025,8722,3028,8718,3032,8713,3032,8701,3029,8691,3022,8678,3009,8668,2998,8661,2989,8659,2983,8657,2976,8658,2972,8662,2967,8665,2965,8670,2964,8682,2967,8692,2974,8716,2998,8722,3007,8724,3014,8726,3020,8726,2995,8720,2987,8711,2978,8701,2969,8694,2964,8692,2962,8683,2957,8675,2955,8667,2953,8660,2955,8648,2967,8646,2975,8649,2985,8652,2992,8657,3000,8664,3009,8672,3018,8682,3027,8691,3034,8699,3039,8706,3041,8716,3043,8723,3041,8732,3032,8735,3029,8737,3021xm8782,2980l8732,2930,8708,2907,8703,2911,8705,2916,8706,2921,8706,2928,8707,2934,8707,2935,8706,2941,8704,2947,8713,2956,8714,2953,8715,2948,8717,2938,8717,2934,8717,2930,8774,2988,8782,2980xm8818,2945l8809,2935,8802,2924,8795,2913,8789,2901,8784,2889,8780,2877,8777,2867,8777,2866,8775,2856,8768,2849,8729,2888,8738,2897,8767,2867,8769,2876,8771,2886,8780,2907,8785,2918,8798,2938,8804,2946,8810,2952,8818,2945xe" filled="true" fillcolor="#000000" stroked="false">
              <v:path arrowok="t"/>
              <v:fill type="solid"/>
            </v:shape>
            <v:shape style="position:absolute;left:8850;top:2859;width:735;height:243" type="#_x0000_t75" stroked="false">
              <v:imagedata r:id="rId143" o:title=""/>
            </v:shape>
            <w10:wrap type="none"/>
          </v:group>
        </w:pict>
      </w:r>
      <w:r>
        <w:rPr>
          <w:rFonts w:ascii="Microsoft Sans Serif"/>
          <w:w w:val="95"/>
          <w:sz w:val="14"/>
        </w:rPr>
        <w:t>14</w:t>
      </w:r>
    </w:p>
    <w:p>
      <w:pPr>
        <w:spacing w:before="87"/>
        <w:ind w:left="758" w:right="0" w:firstLine="0"/>
        <w:jc w:val="lef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pacing w:val="-1"/>
          <w:w w:val="85"/>
          <w:sz w:val="14"/>
        </w:rPr>
        <w:t>Number</w:t>
      </w:r>
      <w:r>
        <w:rPr>
          <w:rFonts w:ascii="Microsoft Sans Serif"/>
          <w:spacing w:val="-4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of</w:t>
      </w:r>
      <w:r>
        <w:rPr>
          <w:rFonts w:ascii="Microsoft Sans Serif"/>
          <w:spacing w:val="3"/>
          <w:w w:val="85"/>
          <w:sz w:val="14"/>
        </w:rPr>
        <w:t> </w:t>
      </w:r>
      <w:r>
        <w:rPr>
          <w:rFonts w:ascii="Microsoft Sans Serif"/>
          <w:spacing w:val="-1"/>
          <w:w w:val="85"/>
          <w:sz w:val="14"/>
        </w:rPr>
        <w:t>Students</w:t>
      </w:r>
      <w:r>
        <w:rPr>
          <w:rFonts w:ascii="Microsoft Sans Serif"/>
          <w:spacing w:val="1"/>
          <w:w w:val="85"/>
          <w:sz w:val="14"/>
        </w:rPr>
        <w:t> </w:t>
      </w:r>
      <w:r>
        <w:rPr>
          <w:rFonts w:ascii="Microsoft Sans Serif"/>
          <w:w w:val="85"/>
          <w:sz w:val="14"/>
        </w:rPr>
        <w:t>(thousands)</w:t>
      </w:r>
    </w:p>
    <w:p>
      <w:pPr>
        <w:pStyle w:val="BodyText"/>
        <w:spacing w:before="9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spacing w:before="0"/>
        <w:ind w:left="152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250</w:t>
      </w:r>
    </w:p>
    <w:p>
      <w:pPr>
        <w:spacing w:after="0"/>
        <w:jc w:val="left"/>
        <w:rPr>
          <w:rFonts w:ascii="Microsoft Sans Serif"/>
          <w:sz w:val="14"/>
        </w:rPr>
        <w:sectPr>
          <w:type w:val="continuous"/>
          <w:pgSz w:w="11910" w:h="15880"/>
          <w:pgMar w:top="1500" w:bottom="280" w:left="1120" w:right="1000"/>
          <w:cols w:num="3" w:equalWidth="0">
            <w:col w:w="3629" w:space="2403"/>
            <w:col w:w="2472" w:space="39"/>
            <w:col w:w="1247"/>
          </w:cols>
        </w:sectPr>
      </w:pPr>
    </w:p>
    <w:p>
      <w:pPr>
        <w:pStyle w:val="BodyText"/>
        <w:spacing w:before="9"/>
        <w:rPr>
          <w:rFonts w:ascii="Microsoft Sans Serif"/>
          <w:sz w:val="10"/>
        </w:rPr>
      </w:pPr>
    </w:p>
    <w:p>
      <w:pPr>
        <w:spacing w:line="157" w:lineRule="exact" w:before="107"/>
        <w:ind w:left="758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12</w:t>
      </w:r>
    </w:p>
    <w:p>
      <w:pPr>
        <w:spacing w:line="157" w:lineRule="exact" w:before="0"/>
        <w:ind w:left="8695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200</w:t>
      </w:r>
    </w:p>
    <w:p>
      <w:pPr>
        <w:spacing w:before="74"/>
        <w:ind w:left="758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10</w:t>
      </w:r>
    </w:p>
    <w:p>
      <w:pPr>
        <w:pStyle w:val="BodyText"/>
        <w:spacing w:before="4"/>
        <w:rPr>
          <w:rFonts w:ascii="Microsoft Sans Serif"/>
          <w:sz w:val="13"/>
        </w:rPr>
      </w:pPr>
    </w:p>
    <w:p>
      <w:pPr>
        <w:tabs>
          <w:tab w:pos="8695" w:val="left" w:leader="none"/>
        </w:tabs>
        <w:spacing w:before="0"/>
        <w:ind w:left="82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position w:val="-7"/>
          <w:sz w:val="14"/>
        </w:rPr>
        <w:t>8</w:t>
        <w:tab/>
      </w:r>
      <w:r>
        <w:rPr>
          <w:rFonts w:ascii="Microsoft Sans Serif"/>
          <w:w w:val="95"/>
          <w:sz w:val="14"/>
        </w:rPr>
        <w:t>150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tabs>
          <w:tab w:pos="8695" w:val="left" w:leader="none"/>
        </w:tabs>
        <w:spacing w:before="0"/>
        <w:ind w:left="82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position w:val="8"/>
          <w:sz w:val="14"/>
        </w:rPr>
        <w:t>6</w:t>
        <w:tab/>
      </w:r>
      <w:r>
        <w:rPr>
          <w:rFonts w:ascii="Microsoft Sans Serif"/>
          <w:w w:val="95"/>
          <w:sz w:val="14"/>
        </w:rPr>
        <w:t>100</w:t>
      </w:r>
    </w:p>
    <w:p>
      <w:pPr>
        <w:spacing w:before="152"/>
        <w:ind w:left="82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85"/>
          <w:sz w:val="14"/>
        </w:rPr>
        <w:t>4</w:t>
      </w:r>
    </w:p>
    <w:p>
      <w:pPr>
        <w:spacing w:line="157" w:lineRule="exact" w:before="74"/>
        <w:ind w:left="8695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50</w:t>
      </w:r>
    </w:p>
    <w:p>
      <w:pPr>
        <w:spacing w:line="157" w:lineRule="exact" w:before="0"/>
        <w:ind w:left="82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85"/>
          <w:sz w:val="14"/>
        </w:rPr>
        <w:t>2</w:t>
      </w:r>
    </w:p>
    <w:p>
      <w:pPr>
        <w:pStyle w:val="BodyText"/>
        <w:spacing w:before="9"/>
        <w:rPr>
          <w:rFonts w:ascii="Microsoft Sans Serif"/>
          <w:sz w:val="10"/>
        </w:rPr>
      </w:pPr>
    </w:p>
    <w:p>
      <w:pPr>
        <w:tabs>
          <w:tab w:pos="8695" w:val="left" w:leader="none"/>
        </w:tabs>
        <w:spacing w:before="107"/>
        <w:ind w:left="824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0</w:t>
        <w:tab/>
        <w:t>0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  <w:sz w:val="17"/>
        </w:rPr>
      </w:pPr>
    </w:p>
    <w:p>
      <w:pPr>
        <w:spacing w:line="256" w:lineRule="auto" w:before="102"/>
        <w:ind w:left="183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Note: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Panel</w:t>
      </w:r>
      <w:r>
        <w:rPr>
          <w:rFonts w:ascii="Microsoft Sans Serif" w:hAnsi="Microsoft Sans Serif"/>
          <w:spacing w:val="2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B:</w:t>
      </w:r>
      <w:r>
        <w:rPr>
          <w:rFonts w:ascii="Microsoft Sans Serif" w:hAnsi="Microsoft Sans Serif"/>
          <w:spacing w:val="2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Teaching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staff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and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students</w:t>
      </w:r>
      <w:r>
        <w:rPr>
          <w:rFonts w:ascii="Microsoft Sans Serif" w:hAnsi="Microsoft Sans Serif"/>
          <w:spacing w:val="2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include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both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full-time</w:t>
      </w:r>
      <w:r>
        <w:rPr>
          <w:rFonts w:ascii="Microsoft Sans Serif" w:hAnsi="Microsoft Sans Serif"/>
          <w:spacing w:val="23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and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part-time.</w:t>
      </w:r>
      <w:r>
        <w:rPr>
          <w:rFonts w:ascii="Microsoft Sans Serif" w:hAnsi="Microsoft Sans Serif"/>
          <w:spacing w:val="2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Professors</w:t>
      </w:r>
      <w:r>
        <w:rPr>
          <w:rFonts w:ascii="Microsoft Sans Serif" w:hAnsi="Microsoft Sans Serif"/>
          <w:spacing w:val="2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include</w:t>
      </w:r>
      <w:r>
        <w:rPr>
          <w:rFonts w:ascii="Microsoft Sans Serif" w:hAnsi="Microsoft Sans Serif"/>
          <w:spacing w:val="1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both</w:t>
      </w:r>
      <w:r>
        <w:rPr>
          <w:rFonts w:ascii="Microsoft Sans Serif" w:hAnsi="Microsoft Sans Serif"/>
          <w:spacing w:val="2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“profesori</w:t>
      </w:r>
      <w:r>
        <w:rPr>
          <w:rFonts w:ascii="Microsoft Sans Serif" w:hAnsi="Microsoft Sans Serif"/>
          <w:spacing w:val="2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(professors)”</w:t>
      </w:r>
      <w:r>
        <w:rPr>
          <w:rFonts w:ascii="Microsoft Sans Serif" w:hAnsi="Microsoft Sans Serif"/>
          <w:spacing w:val="1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and</w:t>
      </w:r>
      <w:r>
        <w:rPr>
          <w:rFonts w:ascii="Microsoft Sans Serif" w:hAnsi="Microsoft Sans Serif"/>
          <w:spacing w:val="2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“docenti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(associate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professors)”.</w:t>
      </w:r>
    </w:p>
    <w:p>
      <w:pPr>
        <w:spacing w:line="256" w:lineRule="auto" w:before="0"/>
        <w:ind w:left="183" w:right="0" w:firstLine="0"/>
        <w:jc w:val="left"/>
        <w:rPr>
          <w:rFonts w:ascii="Microsoft Sans Serif" w:hAnsi="Microsoft Sans Serif"/>
          <w:sz w:val="18"/>
        </w:rPr>
      </w:pPr>
      <w:r>
        <w:rPr/>
        <w:pict>
          <v:rect style="position:absolute;margin-left:65.183998pt;margin-top:20.491848pt;width:81.36pt;height:.60004pt;mso-position-horizontal-relative:page;mso-position-vertical-relative:paragraph;z-index:15755776" filled="true" fillcolor="#0000ff" stroked="false">
            <v:fill type="solid"/>
            <w10:wrap type="none"/>
          </v:rect>
        </w:pic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Sources:</w:t>
      </w:r>
      <w:r>
        <w:rPr>
          <w:rFonts w:ascii="Microsoft Sans Serif" w:hAnsi="Microsoft Sans Serif"/>
          <w:spacing w:val="32"/>
          <w:w w:val="85"/>
          <w:position w:val="1"/>
          <w:sz w:val="18"/>
        </w:rPr>
        <w:t> 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CVTI</w:t>
      </w:r>
      <w:r>
        <w:rPr>
          <w:rFonts w:ascii="Microsoft Sans Serif" w:hAnsi="Microsoft Sans Serif"/>
          <w:spacing w:val="33"/>
          <w:w w:val="85"/>
          <w:position w:val="1"/>
          <w:sz w:val="18"/>
        </w:rPr>
        <w:t> 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(2021</w:t>
      </w:r>
      <w:r>
        <w:rPr>
          <w:rFonts w:ascii="Microsoft Sans Serif" w:hAnsi="Microsoft Sans Serif"/>
          <w:spacing w:val="-1"/>
          <w:w w:val="85"/>
          <w:sz w:val="12"/>
        </w:rPr>
        <w:t>[37]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),</w:t>
      </w:r>
      <w:r>
        <w:rPr>
          <w:rFonts w:ascii="Microsoft Sans Serif" w:hAnsi="Microsoft Sans Serif"/>
          <w:spacing w:val="32"/>
          <w:w w:val="85"/>
          <w:position w:val="1"/>
          <w:sz w:val="18"/>
        </w:rPr>
        <w:t> </w:t>
      </w:r>
      <w:r>
        <w:rPr>
          <w:rFonts w:ascii="Arial" w:hAnsi="Arial"/>
          <w:i/>
          <w:spacing w:val="-1"/>
          <w:w w:val="85"/>
          <w:position w:val="1"/>
          <w:sz w:val="18"/>
        </w:rPr>
        <w:t>Časové</w:t>
      </w:r>
      <w:r>
        <w:rPr>
          <w:rFonts w:ascii="Arial" w:hAnsi="Arial"/>
          <w:i/>
          <w:spacing w:val="32"/>
          <w:w w:val="85"/>
          <w:position w:val="1"/>
          <w:sz w:val="18"/>
        </w:rPr>
        <w:t> </w:t>
      </w:r>
      <w:r>
        <w:rPr>
          <w:rFonts w:ascii="Arial" w:hAnsi="Arial"/>
          <w:i/>
          <w:spacing w:val="-1"/>
          <w:w w:val="85"/>
          <w:position w:val="1"/>
          <w:sz w:val="18"/>
        </w:rPr>
        <w:t>rady</w:t>
      </w:r>
      <w:r>
        <w:rPr>
          <w:rFonts w:ascii="Arial" w:hAnsi="Arial"/>
          <w:i/>
          <w:spacing w:val="30"/>
          <w:w w:val="85"/>
          <w:position w:val="1"/>
          <w:sz w:val="18"/>
        </w:rPr>
        <w:t> </w:t>
      </w:r>
      <w:r>
        <w:rPr>
          <w:rFonts w:ascii="Arial" w:hAnsi="Arial"/>
          <w:i/>
          <w:spacing w:val="-1"/>
          <w:w w:val="85"/>
          <w:position w:val="1"/>
          <w:sz w:val="18"/>
        </w:rPr>
        <w:t>[Timelines]</w:t>
      </w:r>
      <w:r>
        <w:rPr>
          <w:rFonts w:ascii="Microsoft Sans Serif" w:hAnsi="Microsoft Sans Serif"/>
          <w:spacing w:val="-1"/>
          <w:w w:val="85"/>
          <w:position w:val="1"/>
          <w:sz w:val="18"/>
        </w:rPr>
        <w:t>,</w:t>
      </w:r>
      <w:r>
        <w:rPr>
          <w:rFonts w:ascii="Microsoft Sans Serif" w:hAnsi="Microsoft Sans Serif"/>
          <w:spacing w:val="33"/>
          <w:w w:val="85"/>
          <w:position w:val="1"/>
          <w:sz w:val="18"/>
        </w:rPr>
        <w:t> </w:t>
      </w:r>
      <w:hyperlink r:id="rId47">
        <w:r>
          <w:rPr>
            <w:rFonts w:ascii="Microsoft Sans Serif" w:hAnsi="Microsoft Sans Serif"/>
            <w:color w:val="0000FF"/>
            <w:spacing w:val="-1"/>
            <w:w w:val="85"/>
            <w:position w:val="1"/>
            <w:sz w:val="18"/>
            <w:u w:val="single" w:color="0000FF"/>
          </w:rPr>
          <w:t>https://www.cvtisr.sk/cvti-sr-vedecka-kniznica/informacie-o-skolstve/statistiky/casove</w:t>
        </w:r>
        <w:r>
          <w:rPr>
            <w:rFonts w:ascii="Microsoft Sans Serif" w:hAnsi="Microsoft Sans Serif"/>
            <w:color w:val="0000FF"/>
            <w:spacing w:val="-1"/>
            <w:w w:val="85"/>
            <w:position w:val="1"/>
            <w:sz w:val="18"/>
          </w:rPr>
          <w:t>-</w:t>
        </w:r>
      </w:hyperlink>
      <w:r>
        <w:rPr>
          <w:rFonts w:ascii="Microsoft Sans Serif" w:hAnsi="Microsoft Sans Serif"/>
          <w:color w:val="0000FF"/>
          <w:spacing w:val="-38"/>
          <w:w w:val="85"/>
          <w:position w:val="1"/>
          <w:sz w:val="18"/>
        </w:rPr>
        <w:t> </w:t>
      </w:r>
      <w:hyperlink r:id="rId47">
        <w:r>
          <w:rPr>
            <w:rFonts w:ascii="Microsoft Sans Serif" w:hAnsi="Microsoft Sans Serif"/>
            <w:color w:val="0000FF"/>
            <w:w w:val="80"/>
            <w:position w:val="1"/>
            <w:sz w:val="18"/>
          </w:rPr>
          <w:t>rady.html?page_id=9724</w:t>
        </w:r>
        <w:r>
          <w:rPr>
            <w:rFonts w:ascii="Microsoft Sans Serif" w:hAnsi="Microsoft Sans Serif"/>
            <w:w w:val="80"/>
            <w:position w:val="1"/>
            <w:sz w:val="18"/>
          </w:rPr>
          <w:t>;</w:t>
        </w:r>
        <w:r>
          <w:rPr>
            <w:rFonts w:ascii="Microsoft Sans Serif" w:hAnsi="Microsoft Sans Serif"/>
            <w:spacing w:val="5"/>
            <w:w w:val="80"/>
            <w:position w:val="1"/>
            <w:sz w:val="18"/>
          </w:rPr>
          <w:t> </w:t>
        </w:r>
      </w:hyperlink>
      <w:r>
        <w:rPr>
          <w:rFonts w:ascii="Microsoft Sans Serif" w:hAnsi="Microsoft Sans Serif"/>
          <w:w w:val="80"/>
          <w:position w:val="1"/>
          <w:sz w:val="18"/>
        </w:rPr>
        <w:t>MoE</w:t>
      </w:r>
      <w:r>
        <w:rPr>
          <w:rFonts w:ascii="Microsoft Sans Serif" w:hAnsi="Microsoft Sans Serif"/>
          <w:spacing w:val="6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(2021</w:t>
      </w:r>
      <w:r>
        <w:rPr>
          <w:rFonts w:ascii="Microsoft Sans Serif" w:hAnsi="Microsoft Sans Serif"/>
          <w:w w:val="80"/>
          <w:sz w:val="12"/>
        </w:rPr>
        <w:t>[38]</w:t>
      </w:r>
      <w:r>
        <w:rPr>
          <w:rFonts w:ascii="Microsoft Sans Serif" w:hAnsi="Microsoft Sans Serif"/>
          <w:w w:val="80"/>
          <w:position w:val="1"/>
          <w:sz w:val="18"/>
        </w:rPr>
        <w:t>),</w:t>
      </w:r>
      <w:r>
        <w:rPr>
          <w:rFonts w:ascii="Microsoft Sans Serif" w:hAnsi="Microsoft Sans Serif"/>
          <w:spacing w:val="5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Financovanie</w:t>
      </w:r>
      <w:r>
        <w:rPr>
          <w:rFonts w:ascii="Arial" w:hAnsi="Arial"/>
          <w:i/>
          <w:spacing w:val="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[Financing]</w:t>
      </w:r>
      <w:r>
        <w:rPr>
          <w:rFonts w:ascii="Microsoft Sans Serif" w:hAnsi="Microsoft Sans Serif"/>
          <w:w w:val="80"/>
          <w:position w:val="1"/>
          <w:sz w:val="18"/>
        </w:rPr>
        <w:t>,</w:t>
      </w:r>
      <w:r>
        <w:rPr>
          <w:rFonts w:ascii="Microsoft Sans Serif" w:hAnsi="Microsoft Sans Serif"/>
          <w:spacing w:val="5"/>
          <w:w w:val="80"/>
          <w:position w:val="1"/>
          <w:sz w:val="18"/>
        </w:rPr>
        <w:t> </w:t>
      </w:r>
      <w:hyperlink r:id="rId144">
        <w:r>
          <w:rPr>
            <w:rFonts w:ascii="Microsoft Sans Serif" w:hAnsi="Microsoft Sans Serif"/>
            <w:color w:val="0000FF"/>
            <w:w w:val="80"/>
            <w:position w:val="1"/>
            <w:sz w:val="18"/>
            <w:u w:val="single" w:color="0000FF"/>
          </w:rPr>
          <w:t>https://www.minedu.sk/677-sk/financovanie</w:t>
        </w:r>
        <w:r>
          <w:rPr>
            <w:rFonts w:ascii="Microsoft Sans Serif" w:hAnsi="Microsoft Sans Serif"/>
            <w:color w:val="0000FF"/>
            <w:w w:val="80"/>
            <w:position w:val="1"/>
            <w:sz w:val="18"/>
          </w:rPr>
          <w:t>/</w:t>
        </w:r>
        <w:r>
          <w:rPr>
            <w:rFonts w:ascii="Microsoft Sans Serif" w:hAnsi="Microsoft Sans Serif"/>
            <w:w w:val="80"/>
            <w:position w:val="1"/>
            <w:sz w:val="18"/>
          </w:rPr>
          <w:t>.</w:t>
        </w:r>
      </w:hyperlink>
    </w:p>
    <w:p>
      <w:pPr>
        <w:pStyle w:val="BodyText"/>
        <w:spacing w:before="2"/>
        <w:rPr>
          <w:rFonts w:ascii="Microsoft Sans Serif"/>
          <w:sz w:val="22"/>
        </w:rPr>
      </w:pPr>
    </w:p>
    <w:p>
      <w:pPr>
        <w:spacing w:before="99"/>
        <w:ind w:left="5507" w:right="0" w:firstLine="0"/>
        <w:jc w:val="left"/>
        <w:rPr>
          <w:rFonts w:ascii="Microsoft Sans Serif"/>
          <w:sz w:val="18"/>
        </w:rPr>
      </w:pPr>
      <w:r>
        <w:rPr>
          <w:rFonts w:ascii="Arial"/>
          <w:i/>
          <w:spacing w:val="-1"/>
          <w:w w:val="115"/>
          <w:sz w:val="18"/>
        </w:rPr>
        <w:t>StatLink</w:t>
      </w:r>
      <w:r>
        <w:rPr>
          <w:rFonts w:ascii="Arial"/>
          <w:i/>
          <w:spacing w:val="-4"/>
          <w:w w:val="115"/>
          <w:sz w:val="18"/>
        </w:rPr>
        <w:t> </w:t>
      </w:r>
      <w:r>
        <w:rPr>
          <w:rFonts w:ascii="Arial"/>
          <w:i/>
          <w:spacing w:val="-1"/>
          <w:w w:val="115"/>
          <w:sz w:val="18"/>
        </w:rPr>
        <w:t>2</w:t>
      </w:r>
      <w:r>
        <w:rPr>
          <w:rFonts w:ascii="Arial"/>
          <w:i/>
          <w:spacing w:val="-15"/>
          <w:w w:val="115"/>
          <w:sz w:val="18"/>
        </w:rPr>
        <w:t> </w:t>
      </w:r>
      <w:hyperlink r:id="rId145">
        <w:r>
          <w:rPr>
            <w:rFonts w:ascii="Microsoft Sans Serif"/>
            <w:color w:val="0000FF"/>
            <w:spacing w:val="-1"/>
            <w:sz w:val="18"/>
            <w:u w:val="single" w:color="0000FF"/>
          </w:rPr>
          <w:t>https://doi.org/10.1787/888934279168</w:t>
        </w:r>
      </w:hyperlink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71" w:lineRule="auto" w:before="93"/>
        <w:ind w:left="183" w:right="304"/>
        <w:jc w:val="both"/>
      </w:pPr>
      <w:r>
        <w:rPr/>
        <w:t>However, the formula presents several limits. These relate to the components of the formula, the method</w:t>
      </w:r>
      <w:r>
        <w:rPr>
          <w:spacing w:val="-53"/>
        </w:rPr>
        <w:t> </w:t>
      </w:r>
      <w:r>
        <w:rPr/>
        <w:t>through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public</w:t>
      </w:r>
      <w:r>
        <w:rPr>
          <w:spacing w:val="-6"/>
        </w:rPr>
        <w:t> </w:t>
      </w:r>
      <w:r>
        <w:rPr/>
        <w:t>funding</w:t>
      </w:r>
      <w:r>
        <w:rPr>
          <w:spacing w:val="-7"/>
        </w:rPr>
        <w:t> </w:t>
      </w:r>
      <w:r>
        <w:rPr/>
        <w:t>once</w:t>
      </w:r>
      <w:r>
        <w:rPr>
          <w:spacing w:val="-7"/>
        </w:rPr>
        <w:t> </w:t>
      </w:r>
      <w:r>
        <w:rPr/>
        <w:t>calculated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allocated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HEIs,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general</w:t>
      </w:r>
      <w:r>
        <w:rPr>
          <w:spacing w:val="-5"/>
        </w:rPr>
        <w:t> </w:t>
      </w:r>
      <w:r>
        <w:rPr/>
        <w:t>limitations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policy</w:t>
      </w:r>
      <w:r>
        <w:rPr>
          <w:spacing w:val="1"/>
        </w:rPr>
        <w:t> </w:t>
      </w:r>
      <w:r>
        <w:rPr/>
        <w:t>instrument. In the Slovak Republic, recent policy efforts appear to have focused primarily on rewarding</w:t>
      </w:r>
      <w:r>
        <w:rPr>
          <w:spacing w:val="1"/>
        </w:rPr>
        <w:t> </w:t>
      </w:r>
      <w:r>
        <w:rPr/>
        <w:t>quality research,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nuanced</w:t>
      </w:r>
      <w:r>
        <w:rPr>
          <w:spacing w:val="1"/>
        </w:rPr>
        <w:t> </w:t>
      </w:r>
      <w:r>
        <w:rPr/>
        <w:t>measures of research quality would be desirable in addition to scientometric indicators currently built into</w:t>
      </w:r>
      <w:r>
        <w:rPr>
          <w:spacing w:val="-53"/>
        </w:rPr>
        <w:t> </w:t>
      </w:r>
      <w:r>
        <w:rPr/>
        <w:t>the</w:t>
      </w:r>
      <w:r>
        <w:rPr>
          <w:spacing w:val="-10"/>
        </w:rPr>
        <w:t> </w:t>
      </w:r>
      <w:r>
        <w:rPr/>
        <w:t>formula.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new</w:t>
      </w:r>
      <w:r>
        <w:rPr>
          <w:spacing w:val="-12"/>
        </w:rPr>
        <w:t> </w:t>
      </w:r>
      <w:r>
        <w:rPr/>
        <w:t>scientific</w:t>
      </w:r>
      <w:r>
        <w:rPr>
          <w:spacing w:val="-8"/>
        </w:rPr>
        <w:t> </w:t>
      </w:r>
      <w:r>
        <w:rPr/>
        <w:t>evaluation</w:t>
      </w:r>
      <w:r>
        <w:rPr>
          <w:spacing w:val="-10"/>
        </w:rPr>
        <w:t> </w:t>
      </w:r>
      <w:r>
        <w:rPr/>
        <w:t>process</w:t>
      </w:r>
      <w:r>
        <w:rPr>
          <w:spacing w:val="-8"/>
        </w:rPr>
        <w:t> </w:t>
      </w:r>
      <w:r>
        <w:rPr/>
        <w:t>indicated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-7"/>
        </w:rPr>
        <w:t> </w:t>
      </w:r>
      <w:r>
        <w:rPr/>
        <w:t>Republic’s</w:t>
      </w:r>
      <w:r>
        <w:rPr>
          <w:spacing w:val="-9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RRP</w:t>
      </w:r>
    </w:p>
    <w:p>
      <w:pPr>
        <w:spacing w:after="0" w:line="271" w:lineRule="auto"/>
        <w:jc w:val="both"/>
        <w:sectPr>
          <w:type w:val="continuous"/>
          <w:pgSz w:w="11910" w:h="15880"/>
          <w:pgMar w:top="1500" w:bottom="28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4"/>
        <w:jc w:val="both"/>
      </w:pPr>
      <w:r>
        <w:rPr/>
        <w:t>might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step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direction.</w:t>
      </w:r>
      <w:r>
        <w:rPr>
          <w:spacing w:val="-9"/>
        </w:rPr>
        <w:t> </w:t>
      </w:r>
      <w:r>
        <w:rPr/>
        <w:t>Examples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other</w:t>
      </w:r>
      <w:r>
        <w:rPr>
          <w:spacing w:val="-8"/>
        </w:rPr>
        <w:t> </w:t>
      </w:r>
      <w:r>
        <w:rPr/>
        <w:t>jurisdictions,</w:t>
      </w:r>
      <w:r>
        <w:rPr>
          <w:spacing w:val="-8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Flemish</w:t>
      </w:r>
      <w:r>
        <w:rPr>
          <w:spacing w:val="-8"/>
        </w:rPr>
        <w:t> </w:t>
      </w:r>
      <w:r>
        <w:rPr/>
        <w:t>Community</w:t>
      </w:r>
      <w:r>
        <w:rPr>
          <w:spacing w:val="-54"/>
        </w:rPr>
        <w:t> </w:t>
      </w:r>
      <w:r>
        <w:rPr/>
        <w:t>of Belgium discussed later, highlight potential indicators that may help the Slovak Republic improve its</w:t>
      </w:r>
      <w:r>
        <w:rPr>
          <w:spacing w:val="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measuring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 research.</w:t>
      </w:r>
    </w:p>
    <w:p>
      <w:pPr>
        <w:pStyle w:val="BodyText"/>
        <w:spacing w:line="271" w:lineRule="auto" w:before="120"/>
        <w:ind w:left="183" w:right="302"/>
        <w:jc w:val="both"/>
      </w:pPr>
      <w:r>
        <w:rPr/>
        <w:t>The current funding formula is a weak instrument to promote teaching quality. Graduate employment is</w:t>
      </w:r>
      <w:r>
        <w:rPr>
          <w:spacing w:val="1"/>
        </w:rPr>
        <w:t> </w:t>
      </w:r>
      <w:r>
        <w:rPr/>
        <w:t>taken into account, but no metric aims to reward the </w:t>
      </w:r>
      <w:r>
        <w:rPr>
          <w:rFonts w:ascii="Arial"/>
          <w:i/>
        </w:rPr>
        <w:t>quality </w:t>
      </w:r>
      <w:r>
        <w:rPr/>
        <w:t>of graduate employment, a concept defined</w:t>
      </w:r>
      <w:r>
        <w:rPr>
          <w:spacing w:val="1"/>
        </w:rPr>
        <w:t> </w:t>
      </w:r>
      <w:r>
        <w:rPr/>
        <w:t>by the OECD as combining earnings quality, job security and a good working environment (OECD,</w:t>
      </w:r>
      <w:r>
        <w:rPr>
          <w:spacing w:val="1"/>
        </w:rPr>
        <w:t> </w:t>
      </w:r>
      <w:r>
        <w:rPr>
          <w:position w:val="1"/>
        </w:rPr>
        <w:t>2016</w:t>
      </w:r>
      <w:r>
        <w:rPr>
          <w:sz w:val="13"/>
        </w:rPr>
        <w:t>[39]</w:t>
      </w:r>
      <w:r>
        <w:rPr>
          <w:position w:val="1"/>
        </w:rPr>
        <w:t>). Earnings measures in particular are frequently used as a proxy for the value assigned by</w:t>
      </w:r>
      <w:r>
        <w:rPr>
          <w:spacing w:val="1"/>
          <w:position w:val="1"/>
        </w:rPr>
        <w:t> </w:t>
      </w:r>
      <w:r>
        <w:rPr>
          <w:spacing w:val="-1"/>
        </w:rPr>
        <w:t>employers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graduate</w:t>
      </w:r>
      <w:r>
        <w:rPr>
          <w:spacing w:val="-11"/>
        </w:rPr>
        <w:t> </w:t>
      </w:r>
      <w:r>
        <w:rPr>
          <w:spacing w:val="-1"/>
        </w:rPr>
        <w:t>skills,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extent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graduates</w:t>
      </w:r>
      <w:r>
        <w:rPr>
          <w:spacing w:val="-12"/>
        </w:rPr>
        <w:t> </w:t>
      </w:r>
      <w:r>
        <w:rPr/>
        <w:t>use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skills</w:t>
      </w:r>
      <w:r>
        <w:rPr>
          <w:spacing w:val="-11"/>
        </w:rPr>
        <w:t> </w:t>
      </w:r>
      <w:r>
        <w:rPr/>
        <w:t>they</w:t>
      </w:r>
      <w:r>
        <w:rPr>
          <w:spacing w:val="-14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their</w:t>
      </w:r>
      <w:r>
        <w:rPr>
          <w:spacing w:val="-12"/>
        </w:rPr>
        <w:t> </w:t>
      </w:r>
      <w:r>
        <w:rPr/>
        <w:t>higher</w:t>
      </w:r>
      <w:r>
        <w:rPr>
          <w:spacing w:val="1"/>
        </w:rPr>
        <w:t> </w:t>
      </w:r>
      <w:r>
        <w:rPr>
          <w:spacing w:val="-1"/>
        </w:rPr>
        <w:t>education</w:t>
      </w:r>
      <w:r>
        <w:rPr>
          <w:spacing w:val="-13"/>
        </w:rPr>
        <w:t> </w:t>
      </w:r>
      <w:r>
        <w:rPr>
          <w:spacing w:val="-1"/>
        </w:rPr>
        <w:t>studies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workplace,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system</w:t>
      </w:r>
      <w:r>
        <w:rPr>
          <w:spacing w:val="-9"/>
        </w:rPr>
        <w:t> </w:t>
      </w:r>
      <w:r>
        <w:rPr/>
        <w:t>level</w:t>
      </w:r>
      <w:r>
        <w:rPr>
          <w:spacing w:val="-14"/>
        </w:rPr>
        <w:t> </w:t>
      </w:r>
      <w:r>
        <w:rPr/>
        <w:t>reflect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overall</w:t>
      </w:r>
      <w:r>
        <w:rPr>
          <w:spacing w:val="-13"/>
        </w:rPr>
        <w:t> </w:t>
      </w:r>
      <w:r>
        <w:rPr/>
        <w:t>alignment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 labour</w:t>
      </w:r>
      <w:r>
        <w:rPr>
          <w:spacing w:val="-2"/>
        </w:rPr>
        <w:t> </w:t>
      </w:r>
      <w:r>
        <w:rPr/>
        <w:t>market.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Labour market mismatches are large in the Slovak Republic, in part due to the insufficient focus of the</w:t>
      </w:r>
      <w:r>
        <w:rPr>
          <w:spacing w:val="1"/>
        </w:rPr>
        <w:t> </w:t>
      </w:r>
      <w:r>
        <w:rPr>
          <w:position w:val="1"/>
        </w:rPr>
        <w:t>education system – at the school level and in higher education – to labour market needs (OECD, 2020</w:t>
      </w:r>
      <w:r>
        <w:rPr>
          <w:sz w:val="13"/>
        </w:rPr>
        <w:t>[4]</w:t>
      </w:r>
      <w:r>
        <w:rPr>
          <w:position w:val="1"/>
        </w:rPr>
        <w:t>).</w:t>
      </w:r>
      <w:r>
        <w:rPr>
          <w:spacing w:val="-54"/>
          <w:position w:val="1"/>
        </w:rPr>
        <w:t> </w:t>
      </w:r>
      <w:r>
        <w:rPr/>
        <w:t>At the same time, as the Slovak Republic’s labour market evolves, ensuring graduates have appropriate</w:t>
      </w:r>
      <w:r>
        <w:rPr>
          <w:spacing w:val="1"/>
        </w:rPr>
        <w:t> </w:t>
      </w:r>
      <w:r>
        <w:rPr/>
        <w:t>levels and combinations of transversal skills is important to ensure graduates are prepared to succeed in</w:t>
      </w:r>
      <w:r>
        <w:rPr>
          <w:spacing w:val="1"/>
        </w:rPr>
        <w:t> </w:t>
      </w:r>
      <w:r>
        <w:rPr/>
        <w:t>occupations, jobs and tasks that do not exist today. This suggests the need for connecting funding with</w:t>
      </w:r>
      <w:r>
        <w:rPr>
          <w:spacing w:val="1"/>
        </w:rPr>
        <w:t> </w:t>
      </w:r>
      <w:r>
        <w:rPr>
          <w:spacing w:val="-1"/>
        </w:rPr>
        <w:t>measures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more</w:t>
      </w:r>
      <w:r>
        <w:rPr>
          <w:spacing w:val="-7"/>
        </w:rPr>
        <w:t> </w:t>
      </w:r>
      <w:r>
        <w:rPr>
          <w:spacing w:val="-1"/>
        </w:rPr>
        <w:t>effectively</w:t>
      </w:r>
      <w:r>
        <w:rPr>
          <w:spacing w:val="-13"/>
        </w:rPr>
        <w:t> </w:t>
      </w:r>
      <w:r>
        <w:rPr>
          <w:spacing w:val="-1"/>
        </w:rPr>
        <w:t>reflect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quality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teaching,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skills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labour</w:t>
      </w:r>
      <w:r>
        <w:rPr>
          <w:spacing w:val="1"/>
        </w:rPr>
        <w:t> </w:t>
      </w:r>
      <w:r>
        <w:rPr/>
        <w:t>market</w:t>
      </w:r>
      <w:r>
        <w:rPr>
          <w:spacing w:val="-3"/>
        </w:rPr>
        <w:t> </w:t>
      </w:r>
      <w:r>
        <w:rPr/>
        <w:t>outcomes.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divides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allocates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3"/>
        </w:rPr>
        <w:t> </w:t>
      </w:r>
      <w:r>
        <w:rPr/>
        <w:t>government builds into the formula have an impact on institutional actions. Two problems appear to limit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“incentivising</w:t>
      </w:r>
      <w:r>
        <w:rPr>
          <w:spacing w:val="-5"/>
        </w:rPr>
        <w:t> </w:t>
      </w:r>
      <w:r>
        <w:rPr/>
        <w:t>power”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funding</w:t>
      </w:r>
      <w:r>
        <w:rPr>
          <w:spacing w:val="-7"/>
        </w:rPr>
        <w:t> </w:t>
      </w:r>
      <w:r>
        <w:rPr/>
        <w:t>formula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Slovak</w:t>
      </w:r>
      <w:r>
        <w:rPr>
          <w:spacing w:val="3"/>
        </w:rPr>
        <w:t> </w:t>
      </w:r>
      <w:r>
        <w:rPr/>
        <w:t>Republic.</w:t>
      </w:r>
      <w:r>
        <w:rPr>
          <w:spacing w:val="-7"/>
        </w:rPr>
        <w:t> </w:t>
      </w:r>
      <w:r>
        <w:rPr/>
        <w:t>First,</w:t>
      </w:r>
      <w:r>
        <w:rPr>
          <w:spacing w:val="-7"/>
        </w:rPr>
        <w:t> </w:t>
      </w:r>
      <w:r>
        <w:rPr/>
        <w:t>frequent</w:t>
      </w:r>
      <w:r>
        <w:rPr>
          <w:spacing w:val="-4"/>
        </w:rPr>
        <w:t> </w:t>
      </w:r>
      <w:r>
        <w:rPr/>
        <w:t>revisions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made,</w:t>
      </w:r>
      <w:r>
        <w:rPr>
          <w:spacing w:val="1"/>
        </w:rPr>
        <w:t> </w:t>
      </w:r>
      <w:r>
        <w:rPr/>
        <w:t>with new elements introduced, changed or removed, often on an annual basis. While policy priorities</w:t>
      </w:r>
      <w:r>
        <w:rPr>
          <w:spacing w:val="1"/>
        </w:rPr>
        <w:t> </w:t>
      </w:r>
      <w:r>
        <w:rPr/>
        <w:t>understandably change, overly frequent changes mean that HEIs have little ability (and few incentives) to</w:t>
      </w:r>
      <w:r>
        <w:rPr>
          <w:spacing w:val="-53"/>
        </w:rPr>
        <w:t> </w:t>
      </w:r>
      <w:r>
        <w:rPr/>
        <w:t>plan their operations strategically. The complexity of the formula can also pose challenges, as many</w:t>
      </w:r>
      <w:r>
        <w:rPr>
          <w:spacing w:val="1"/>
        </w:rPr>
        <w:t> </w:t>
      </w:r>
      <w:r>
        <w:rPr/>
        <w:t>indicators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small</w:t>
      </w:r>
      <w:r>
        <w:rPr>
          <w:spacing w:val="-10"/>
        </w:rPr>
        <w:t> </w:t>
      </w:r>
      <w:r>
        <w:rPr/>
        <w:t>funding</w:t>
      </w:r>
      <w:r>
        <w:rPr>
          <w:spacing w:val="-8"/>
        </w:rPr>
        <w:t> </w:t>
      </w:r>
      <w:r>
        <w:rPr/>
        <w:t>impacts</w:t>
      </w:r>
      <w:r>
        <w:rPr>
          <w:spacing w:val="-8"/>
        </w:rPr>
        <w:t> </w:t>
      </w:r>
      <w:r>
        <w:rPr/>
        <w:t>may</w:t>
      </w:r>
      <w:r>
        <w:rPr>
          <w:spacing w:val="-11"/>
        </w:rPr>
        <w:t> </w:t>
      </w:r>
      <w:r>
        <w:rPr/>
        <w:t>discourage</w:t>
      </w:r>
      <w:r>
        <w:rPr>
          <w:spacing w:val="-7"/>
        </w:rPr>
        <w:t> </w:t>
      </w:r>
      <w:r>
        <w:rPr/>
        <w:t>HEIs</w:t>
      </w:r>
      <w:r>
        <w:rPr>
          <w:spacing w:val="-8"/>
        </w:rPr>
        <w:t> </w:t>
      </w:r>
      <w:r>
        <w:rPr/>
        <w:t>from</w:t>
      </w:r>
      <w:r>
        <w:rPr>
          <w:spacing w:val="-4"/>
        </w:rPr>
        <w:t> </w:t>
      </w:r>
      <w:r>
        <w:rPr/>
        <w:t>taking</w:t>
      </w:r>
      <w:r>
        <w:rPr>
          <w:spacing w:val="-9"/>
        </w:rPr>
        <w:t> </w:t>
      </w:r>
      <w:r>
        <w:rPr/>
        <w:t>decisive</w:t>
      </w:r>
      <w:r>
        <w:rPr>
          <w:spacing w:val="-7"/>
        </w:rPr>
        <w:t> </w:t>
      </w:r>
      <w:r>
        <w:rPr/>
        <w:t>actions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any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priority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formula</w:t>
      </w:r>
      <w:r>
        <w:rPr>
          <w:spacing w:val="-1"/>
        </w:rPr>
        <w:t> </w:t>
      </w:r>
      <w:r>
        <w:rPr/>
        <w:t>aims to</w:t>
      </w:r>
      <w:r>
        <w:rPr>
          <w:spacing w:val="-2"/>
        </w:rPr>
        <w:t> </w:t>
      </w:r>
      <w:r>
        <w:rPr/>
        <w:t>encourage.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The second issue relates to the timing of the funding allocation to HEIs. The Ministry of Education</w:t>
      </w:r>
      <w:r>
        <w:rPr>
          <w:spacing w:val="1"/>
        </w:rPr>
        <w:t> </w:t>
      </w:r>
      <w:r>
        <w:rPr/>
        <w:t>announces at the end of each calendar year the total amount of funding available for salaries and wages</w:t>
      </w:r>
      <w:r>
        <w:rPr>
          <w:spacing w:val="1"/>
        </w:rPr>
        <w:t> </w:t>
      </w:r>
      <w:r>
        <w:rPr/>
        <w:t>(the largest component of the formula), and then divides this amount between HEIs according to the</w:t>
      </w:r>
      <w:r>
        <w:rPr>
          <w:spacing w:val="1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weighted</w:t>
      </w:r>
      <w:r>
        <w:rPr>
          <w:spacing w:val="-6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graduates.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thus</w:t>
      </w:r>
      <w:r>
        <w:rPr>
          <w:spacing w:val="-3"/>
        </w:rPr>
        <w:t> </w:t>
      </w:r>
      <w:r>
        <w:rPr/>
        <w:t>difficult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HEIs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anticipate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allocation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coming year, other than estimating it based on the previous year. This exacerbates the first problem</w:t>
      </w:r>
      <w:r>
        <w:rPr>
          <w:spacing w:val="1"/>
        </w:rPr>
        <w:t> </w:t>
      </w:r>
      <w:r>
        <w:rPr/>
        <w:t>(frequent changes and complexity of the formula): while government aims to use the funding formula as a</w:t>
      </w:r>
      <w:r>
        <w:rPr>
          <w:spacing w:val="-54"/>
        </w:rPr>
        <w:t> </w:t>
      </w:r>
      <w:r>
        <w:rPr/>
        <w:t>strategic policy tool to encourage HEIs to plan their operations to achieve certain objectives, the lack of</w:t>
      </w:r>
      <w:r>
        <w:rPr>
          <w:spacing w:val="1"/>
        </w:rPr>
        <w:t> </w:t>
      </w:r>
      <w:r>
        <w:rPr/>
        <w:t>predictability</w:t>
      </w:r>
      <w:r>
        <w:rPr>
          <w:spacing w:val="-3"/>
        </w:rPr>
        <w:t> </w:t>
      </w:r>
      <w:r>
        <w:rPr/>
        <w:t>limits the policy</w:t>
      </w:r>
      <w:r>
        <w:rPr>
          <w:spacing w:val="-2"/>
        </w:rPr>
        <w:t> </w:t>
      </w:r>
      <w:r>
        <w:rPr/>
        <w:t>effectiveness of this tool.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Finally, the funding formula has limitations as it is a policy tool focused on institutional actions, but it does</w:t>
      </w:r>
      <w:r>
        <w:rPr>
          <w:spacing w:val="-53"/>
        </w:rPr>
        <w:t> </w:t>
      </w:r>
      <w:r>
        <w:rPr>
          <w:spacing w:val="-1"/>
        </w:rPr>
        <w:t>not</w:t>
      </w:r>
      <w:r>
        <w:rPr>
          <w:spacing w:val="-9"/>
        </w:rPr>
        <w:t> </w:t>
      </w:r>
      <w:r>
        <w:rPr>
          <w:spacing w:val="-1"/>
        </w:rPr>
        <w:t>reach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9"/>
        </w:rPr>
        <w:t> </w:t>
      </w:r>
      <w:r>
        <w:rPr>
          <w:spacing w:val="-1"/>
        </w:rPr>
        <w:t>key</w:t>
      </w:r>
      <w:r>
        <w:rPr>
          <w:spacing w:val="-13"/>
        </w:rPr>
        <w:t> </w:t>
      </w:r>
      <w:r>
        <w:rPr>
          <w:spacing w:val="-1"/>
        </w:rPr>
        <w:t>actors,</w:t>
      </w:r>
      <w:r>
        <w:rPr>
          <w:spacing w:val="-7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>
          <w:spacing w:val="-1"/>
        </w:rPr>
        <w:t>students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employers.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instance,</w:t>
      </w:r>
      <w:r>
        <w:rPr>
          <w:spacing w:val="-7"/>
        </w:rPr>
        <w:t> </w:t>
      </w:r>
      <w:r>
        <w:rPr/>
        <w:t>while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funding</w:t>
      </w:r>
      <w:r>
        <w:rPr>
          <w:spacing w:val="-8"/>
        </w:rPr>
        <w:t> </w:t>
      </w:r>
      <w:r>
        <w:rPr/>
        <w:t>formula</w:t>
      </w:r>
      <w:r>
        <w:rPr>
          <w:spacing w:val="-10"/>
        </w:rPr>
        <w:t> </w:t>
      </w:r>
      <w:r>
        <w:rPr/>
        <w:t>assigns</w:t>
      </w:r>
      <w:r>
        <w:rPr>
          <w:spacing w:val="1"/>
        </w:rPr>
        <w:t> </w:t>
      </w:r>
      <w:r>
        <w:rPr/>
        <w:t>a higher weight to students enrolled in professional bachelor’s degree programmes compared to those in</w:t>
      </w:r>
      <w:r>
        <w:rPr>
          <w:spacing w:val="-53"/>
        </w:rPr>
        <w:t> </w:t>
      </w:r>
      <w:r>
        <w:rPr/>
        <w:t>other</w:t>
      </w:r>
      <w:r>
        <w:rPr>
          <w:spacing w:val="1"/>
        </w:rPr>
        <w:t> </w:t>
      </w:r>
      <w:r>
        <w:rPr/>
        <w:t>bachelor’s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master’s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bachelor’s</w:t>
      </w:r>
      <w:r>
        <w:rPr>
          <w:spacing w:val="1"/>
        </w:rPr>
        <w:t> </w:t>
      </w:r>
      <w:r>
        <w:rPr/>
        <w:t>programmes and many continue to choose master’s degree programmes. Furthermore, some higher</w:t>
      </w:r>
      <w:r>
        <w:rPr>
          <w:spacing w:val="1"/>
        </w:rPr>
        <w:t> </w:t>
      </w:r>
      <w:r>
        <w:rPr/>
        <w:t>education stakeholders interviewed by the OECD highlighted that graduates of professional programmes</w:t>
      </w:r>
      <w:r>
        <w:rPr>
          <w:spacing w:val="-53"/>
        </w:rPr>
        <w:t> </w:t>
      </w:r>
      <w:r>
        <w:rPr/>
        <w:t>often</w:t>
      </w:r>
      <w:r>
        <w:rPr>
          <w:spacing w:val="-2"/>
        </w:rPr>
        <w:t> </w:t>
      </w:r>
      <w:r>
        <w:rPr/>
        <w:t>choose to</w:t>
      </w:r>
      <w:r>
        <w:rPr>
          <w:spacing w:val="-2"/>
        </w:rPr>
        <w:t> </w:t>
      </w:r>
      <w:r>
        <w:rPr/>
        <w:t>pursue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master’s</w:t>
      </w:r>
      <w:r>
        <w:rPr>
          <w:spacing w:val="-1"/>
        </w:rPr>
        <w:t> </w:t>
      </w:r>
      <w:r>
        <w:rPr/>
        <w:t>degree even</w:t>
      </w:r>
      <w:r>
        <w:rPr>
          <w:spacing w:val="-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employment.</w:t>
      </w:r>
    </w:p>
    <w:p>
      <w:pPr>
        <w:pStyle w:val="BodyText"/>
        <w:spacing w:line="271" w:lineRule="auto" w:before="120"/>
        <w:ind w:left="183" w:right="306"/>
        <w:jc w:val="both"/>
      </w:pPr>
      <w:r>
        <w:rPr/>
        <w:t>Data presented in Chapter 2 about the earnings returns of master’s graduates, which are substantially</w:t>
      </w:r>
      <w:r>
        <w:rPr>
          <w:spacing w:val="1"/>
        </w:rPr>
        <w:t> </w:t>
      </w:r>
      <w:r>
        <w:rPr/>
        <w:t>greater than those of bachelor’s graduates, suggests that challenges exist about the real or perceived</w:t>
      </w:r>
      <w:r>
        <w:rPr>
          <w:spacing w:val="1"/>
        </w:rPr>
        <w:t> </w:t>
      </w:r>
      <w:r>
        <w:rPr>
          <w:spacing w:val="-1"/>
        </w:rPr>
        <w:t>quality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professional</w:t>
      </w:r>
      <w:r>
        <w:rPr>
          <w:spacing w:val="-10"/>
        </w:rPr>
        <w:t> </w:t>
      </w:r>
      <w:r>
        <w:rPr>
          <w:spacing w:val="-1"/>
        </w:rPr>
        <w:t>(and</w:t>
      </w:r>
      <w:r>
        <w:rPr>
          <w:spacing w:val="-10"/>
        </w:rPr>
        <w:t> </w:t>
      </w:r>
      <w:r>
        <w:rPr>
          <w:spacing w:val="-1"/>
        </w:rPr>
        <w:t>other)</w:t>
      </w:r>
      <w:r>
        <w:rPr>
          <w:spacing w:val="-8"/>
        </w:rPr>
        <w:t> </w:t>
      </w:r>
      <w:r>
        <w:rPr>
          <w:spacing w:val="-1"/>
        </w:rPr>
        <w:t>bachelor’s</w:t>
      </w:r>
      <w:r>
        <w:rPr>
          <w:spacing w:val="-8"/>
        </w:rPr>
        <w:t> </w:t>
      </w:r>
      <w:r>
        <w:rPr>
          <w:spacing w:val="-1"/>
        </w:rPr>
        <w:t>degree</w:t>
      </w:r>
      <w:r>
        <w:rPr>
          <w:spacing w:val="-10"/>
        </w:rPr>
        <w:t> </w:t>
      </w:r>
      <w:r>
        <w:rPr/>
        <w:t>programmes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Slovak</w:t>
      </w:r>
      <w:r>
        <w:rPr>
          <w:spacing w:val="7"/>
        </w:rPr>
        <w:t> </w:t>
      </w:r>
      <w:r>
        <w:rPr/>
        <w:t>Republic,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both</w:t>
      </w:r>
      <w:r>
        <w:rPr>
          <w:spacing w:val="-1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 make study choices and employers who reward graduates financially. These challenges require</w:t>
      </w:r>
      <w:r>
        <w:rPr>
          <w:spacing w:val="1"/>
        </w:rPr>
        <w:t> </w:t>
      </w:r>
      <w:r>
        <w:rPr/>
        <w:t>complementing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funding</w:t>
      </w:r>
      <w:r>
        <w:rPr>
          <w:spacing w:val="-1"/>
        </w:rPr>
        <w:t> </w:t>
      </w:r>
      <w:r>
        <w:rPr/>
        <w:t>formula</w:t>
      </w:r>
      <w:r>
        <w:rPr>
          <w:spacing w:val="-2"/>
        </w:rPr>
        <w:t> </w:t>
      </w:r>
      <w:r>
        <w:rPr/>
        <w:t>with other</w:t>
      </w:r>
      <w:r>
        <w:rPr>
          <w:spacing w:val="-3"/>
        </w:rPr>
        <w:t> </w:t>
      </w:r>
      <w:r>
        <w:rPr/>
        <w:t>policies, as</w:t>
      </w:r>
      <w:r>
        <w:rPr>
          <w:spacing w:val="-2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later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Heading8"/>
        <w:spacing w:before="185"/>
      </w:pPr>
      <w:bookmarkStart w:name="Research funding" w:id="127"/>
      <w:bookmarkEnd w:id="127"/>
      <w:r>
        <w:rPr>
          <w:b w:val="0"/>
        </w:rPr>
      </w:r>
      <w:r>
        <w:rPr/>
        <w:t>Research</w:t>
      </w:r>
      <w:r>
        <w:rPr>
          <w:spacing w:val="-14"/>
        </w:rPr>
        <w:t> </w:t>
      </w:r>
      <w:r>
        <w:rPr/>
        <w:t>funding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spacing w:line="271" w:lineRule="auto"/>
        <w:ind w:left="183" w:right="302"/>
        <w:jc w:val="both"/>
      </w:pPr>
      <w:r>
        <w:rPr/>
        <w:t>Stakeholders</w:t>
      </w:r>
      <w:r>
        <w:rPr>
          <w:spacing w:val="-6"/>
        </w:rPr>
        <w:t> </w:t>
      </w:r>
      <w:r>
        <w:rPr/>
        <w:t>interviewed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OECD</w:t>
      </w:r>
      <w:r>
        <w:rPr>
          <w:spacing w:val="-5"/>
        </w:rPr>
        <w:t> </w:t>
      </w:r>
      <w:r>
        <w:rPr/>
        <w:t>have</w:t>
      </w:r>
      <w:r>
        <w:rPr>
          <w:spacing w:val="-8"/>
        </w:rPr>
        <w:t> </w:t>
      </w:r>
      <w:r>
        <w:rPr/>
        <w:t>expressed</w:t>
      </w:r>
      <w:r>
        <w:rPr>
          <w:spacing w:val="-7"/>
        </w:rPr>
        <w:t> </w:t>
      </w:r>
      <w:r>
        <w:rPr/>
        <w:t>several</w:t>
      </w:r>
      <w:r>
        <w:rPr>
          <w:spacing w:val="-8"/>
        </w:rPr>
        <w:t> </w:t>
      </w:r>
      <w:r>
        <w:rPr/>
        <w:t>concerns</w:t>
      </w:r>
      <w:r>
        <w:rPr>
          <w:spacing w:val="-7"/>
        </w:rPr>
        <w:t> </w:t>
      </w:r>
      <w:r>
        <w:rPr/>
        <w:t>regarding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 competitive research funding. They cited both the lack of long-term stability, with amounts fluctuating</w:t>
      </w:r>
      <w:r>
        <w:rPr>
          <w:spacing w:val="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calls,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frequent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lower</w:t>
      </w:r>
      <w:r>
        <w:rPr>
          <w:spacing w:val="-4"/>
        </w:rPr>
        <w:t> </w:t>
      </w:r>
      <w:r>
        <w:rPr/>
        <w:t>funding</w:t>
      </w:r>
      <w:r>
        <w:rPr>
          <w:spacing w:val="-6"/>
        </w:rPr>
        <w:t> </w:t>
      </w:r>
      <w:r>
        <w:rPr/>
        <w:t>allocation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those</w:t>
      </w:r>
      <w:r>
        <w:rPr>
          <w:spacing w:val="-7"/>
        </w:rPr>
        <w:t> </w:t>
      </w:r>
      <w:r>
        <w:rPr/>
        <w:t>requested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researchers.</w:t>
      </w:r>
      <w:r>
        <w:rPr>
          <w:spacing w:val="-6"/>
        </w:rPr>
        <w:t> </w:t>
      </w:r>
      <w:r>
        <w:rPr/>
        <w:t>Other</w:t>
      </w:r>
      <w:r>
        <w:rPr>
          <w:spacing w:val="1"/>
        </w:rPr>
        <w:t> </w:t>
      </w:r>
      <w:r>
        <w:rPr/>
        <w:t>concerns included the substantial level of administrative duties required to apply for grants and low</w:t>
      </w:r>
      <w:r>
        <w:rPr>
          <w:spacing w:val="1"/>
        </w:rPr>
        <w:t> </w:t>
      </w:r>
      <w:r>
        <w:rPr/>
        <w:t>administrative support in HEIs to help researchers with this task, which has been described as severely</w:t>
      </w:r>
      <w:r>
        <w:rPr>
          <w:spacing w:val="1"/>
        </w:rPr>
        <w:t> </w:t>
      </w:r>
      <w:r>
        <w:rPr>
          <w:spacing w:val="-1"/>
        </w:rPr>
        <w:t>limiting</w:t>
      </w:r>
      <w:r>
        <w:rPr>
          <w:spacing w:val="-8"/>
        </w:rPr>
        <w:t> </w:t>
      </w:r>
      <w:r>
        <w:rPr>
          <w:spacing w:val="-1"/>
        </w:rPr>
        <w:t>individual</w:t>
      </w:r>
      <w:r>
        <w:rPr>
          <w:spacing w:val="-11"/>
        </w:rPr>
        <w:t> </w:t>
      </w:r>
      <w:r>
        <w:rPr>
          <w:spacing w:val="-1"/>
        </w:rPr>
        <w:t>researchers’</w:t>
      </w:r>
      <w:r>
        <w:rPr>
          <w:spacing w:val="-12"/>
        </w:rPr>
        <w:t> </w:t>
      </w:r>
      <w:r>
        <w:rPr>
          <w:spacing w:val="-1"/>
        </w:rPr>
        <w:t>motivation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pursue</w:t>
      </w:r>
      <w:r>
        <w:rPr>
          <w:spacing w:val="-11"/>
        </w:rPr>
        <w:t> </w:t>
      </w:r>
      <w:r>
        <w:rPr/>
        <w:t>competitive</w:t>
      </w:r>
      <w:r>
        <w:rPr>
          <w:spacing w:val="-10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funding.</w:t>
      </w:r>
      <w:r>
        <w:rPr>
          <w:spacing w:val="-7"/>
        </w:rPr>
        <w:t> </w:t>
      </w:r>
      <w:r>
        <w:rPr/>
        <w:t>This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particularly</w:t>
      </w:r>
      <w:r>
        <w:rPr>
          <w:spacing w:val="-1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case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small</w:t>
      </w:r>
      <w:r>
        <w:rPr>
          <w:spacing w:val="-14"/>
        </w:rPr>
        <w:t> </w:t>
      </w:r>
      <w:r>
        <w:rPr>
          <w:spacing w:val="-1"/>
        </w:rPr>
        <w:t>grants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9"/>
        </w:rPr>
        <w:t> </w:t>
      </w:r>
      <w:r>
        <w:rPr>
          <w:spacing w:val="-1"/>
        </w:rPr>
        <w:t>VEGA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KEGA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>
          <w:spacing w:val="-1"/>
        </w:rPr>
        <w:t>cover</w:t>
      </w:r>
      <w:r>
        <w:rPr>
          <w:spacing w:val="-12"/>
        </w:rPr>
        <w:t> </w:t>
      </w:r>
      <w:r>
        <w:rPr>
          <w:spacing w:val="-1"/>
        </w:rPr>
        <w:t>core</w:t>
      </w:r>
      <w:r>
        <w:rPr>
          <w:spacing w:val="-13"/>
        </w:rPr>
        <w:t> </w:t>
      </w:r>
      <w:r>
        <w:rPr>
          <w:spacing w:val="-1"/>
        </w:rPr>
        <w:t>research</w:t>
      </w:r>
      <w:r>
        <w:rPr>
          <w:spacing w:val="-13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(e.g.</w:t>
      </w:r>
      <w:r>
        <w:rPr>
          <w:spacing w:val="5"/>
        </w:rPr>
        <w:t> </w:t>
      </w:r>
      <w:r>
        <w:rPr/>
        <w:t>travelling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equipment) but make applying for such funds less attractive due to the associated administrative burden.</w:t>
      </w:r>
      <w:r>
        <w:rPr>
          <w:spacing w:val="-53"/>
        </w:rPr>
        <w:t> </w:t>
      </w:r>
      <w:r>
        <w:rPr/>
        <w:t>Some stakeholders interviewed by the OECD also expressed concerns regarding the lack of transparent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agencies allocating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funding.</w:t>
      </w:r>
    </w:p>
    <w:p>
      <w:pPr>
        <w:pStyle w:val="BodyText"/>
        <w:spacing w:line="271" w:lineRule="auto" w:before="120"/>
        <w:ind w:left="183" w:right="299"/>
        <w:jc w:val="both"/>
      </w:pPr>
      <w:r>
        <w:rPr/>
        <w:t>Many</w:t>
      </w:r>
      <w:r>
        <w:rPr>
          <w:spacing w:val="-10"/>
        </w:rPr>
        <w:t> </w:t>
      </w:r>
      <w:r>
        <w:rPr/>
        <w:t>concerns</w:t>
      </w:r>
      <w:r>
        <w:rPr>
          <w:spacing w:val="-6"/>
        </w:rPr>
        <w:t> </w:t>
      </w:r>
      <w:r>
        <w:rPr/>
        <w:t>exist</w:t>
      </w:r>
      <w:r>
        <w:rPr>
          <w:spacing w:val="-6"/>
        </w:rPr>
        <w:t> </w:t>
      </w:r>
      <w:r>
        <w:rPr/>
        <w:t>regarding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EU</w:t>
      </w:r>
      <w:r>
        <w:rPr>
          <w:spacing w:val="-6"/>
        </w:rPr>
        <w:t> </w:t>
      </w:r>
      <w:r>
        <w:rPr/>
        <w:t>structural</w:t>
      </w:r>
      <w:r>
        <w:rPr>
          <w:spacing w:val="-6"/>
        </w:rPr>
        <w:t> </w:t>
      </w:r>
      <w:r>
        <w:rPr/>
        <w:t>funds</w:t>
      </w:r>
      <w:r>
        <w:rPr>
          <w:spacing w:val="-6"/>
        </w:rPr>
        <w:t> </w:t>
      </w:r>
      <w:r>
        <w:rPr/>
        <w:t>dedicated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innovation,</w:t>
      </w:r>
      <w:r>
        <w:rPr>
          <w:spacing w:val="-2"/>
        </w:rPr>
        <w:t> </w:t>
      </w:r>
      <w:r>
        <w:rPr/>
        <w:t>some</w:t>
      </w:r>
      <w:r>
        <w:rPr>
          <w:spacing w:val="-53"/>
        </w:rPr>
        <w:t> </w:t>
      </w:r>
      <w:r>
        <w:rPr/>
        <w:t>relating to the under-utilisation of EU funds for education and research generally, as highlighted earlier in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“funding</w:t>
      </w:r>
      <w:r>
        <w:rPr>
          <w:spacing w:val="-13"/>
        </w:rPr>
        <w:t> </w:t>
      </w:r>
      <w:r>
        <w:rPr/>
        <w:t>levels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priorities”</w:t>
      </w:r>
      <w:r>
        <w:rPr>
          <w:spacing w:val="-13"/>
        </w:rPr>
        <w:t> </w:t>
      </w:r>
      <w:r>
        <w:rPr/>
        <w:t>section.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addition,</w:t>
      </w:r>
      <w:r>
        <w:rPr>
          <w:spacing w:val="-13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Make</w:t>
      </w:r>
      <w:r>
        <w:rPr>
          <w:spacing w:val="-14"/>
        </w:rPr>
        <w:t> </w:t>
      </w:r>
      <w:r>
        <w:rPr/>
        <w:t>Sense</w:t>
      </w:r>
      <w:r>
        <w:rPr>
          <w:spacing w:val="-13"/>
        </w:rPr>
        <w:t> </w:t>
      </w:r>
      <w:r>
        <w:rPr/>
        <w:t>(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dá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rozum</w:t>
      </w:r>
      <w:r>
        <w:rPr/>
        <w:t>)</w:t>
      </w:r>
      <w:r>
        <w:rPr>
          <w:spacing w:val="1"/>
        </w:rPr>
        <w:t> </w:t>
      </w:r>
      <w:r>
        <w:rPr/>
        <w:t>study, the management of the majority of the 2014-20 Operational Programme (OP) on Research of</w:t>
      </w:r>
      <w:r>
        <w:rPr>
          <w:spacing w:val="1"/>
        </w:rPr>
        <w:t> </w:t>
      </w:r>
      <w:r>
        <w:rPr/>
        <w:t>Innovation by the Ministry of Economy led to the transfer of a majority of these funds to business entities</w:t>
      </w:r>
      <w:r>
        <w:rPr>
          <w:spacing w:val="1"/>
        </w:rPr>
        <w:t> </w:t>
      </w:r>
      <w:r>
        <w:rPr/>
        <w:t>rather than to the higher education sector. The study argues this approach led to inefficiencies, as</w:t>
      </w:r>
      <w:r>
        <w:rPr>
          <w:spacing w:val="1"/>
        </w:rPr>
        <w:t> </w:t>
      </w:r>
      <w:r>
        <w:rPr/>
        <w:t>businesses often outsourced the research these funds supported to the Slovak Academy of Science or</w:t>
      </w:r>
      <w:r>
        <w:rPr>
          <w:spacing w:val="1"/>
        </w:rPr>
        <w:t> </w:t>
      </w:r>
      <w:r>
        <w:rPr>
          <w:position w:val="1"/>
        </w:rPr>
        <w:t>HEIs</w:t>
      </w:r>
      <w:r>
        <w:rPr>
          <w:spacing w:val="-1"/>
          <w:position w:val="1"/>
        </w:rPr>
        <w:t> </w:t>
      </w:r>
      <w:r>
        <w:rPr>
          <w:position w:val="1"/>
        </w:rPr>
        <w:t>due</w:t>
      </w:r>
      <w:r>
        <w:rPr>
          <w:spacing w:val="-1"/>
          <w:position w:val="1"/>
        </w:rPr>
        <w:t> </w:t>
      </w:r>
      <w:r>
        <w:rPr>
          <w:position w:val="1"/>
        </w:rPr>
        <w:t>to their limited</w:t>
      </w:r>
      <w:r>
        <w:rPr>
          <w:spacing w:val="-1"/>
          <w:position w:val="1"/>
        </w:rPr>
        <w:t> </w:t>
      </w:r>
      <w:r>
        <w:rPr>
          <w:position w:val="1"/>
        </w:rPr>
        <w:t>capacity</w:t>
      </w:r>
      <w:r>
        <w:rPr>
          <w:spacing w:val="-5"/>
          <w:position w:val="1"/>
        </w:rPr>
        <w:t> </w:t>
      </w:r>
      <w:r>
        <w:rPr>
          <w:position w:val="1"/>
        </w:rPr>
        <w:t>to</w:t>
      </w:r>
      <w:r>
        <w:rPr>
          <w:spacing w:val="1"/>
          <w:position w:val="1"/>
        </w:rPr>
        <w:t> </w:t>
      </w:r>
      <w:r>
        <w:rPr>
          <w:position w:val="1"/>
        </w:rPr>
        <w:t>conduct</w:t>
      </w:r>
      <w:r>
        <w:rPr>
          <w:spacing w:val="-1"/>
          <w:position w:val="1"/>
        </w:rPr>
        <w:t> </w:t>
      </w:r>
      <w:r>
        <w:rPr>
          <w:position w:val="1"/>
        </w:rPr>
        <w:t>it</w:t>
      </w:r>
      <w:r>
        <w:rPr>
          <w:spacing w:val="2"/>
          <w:position w:val="1"/>
        </w:rPr>
        <w:t> </w:t>
      </w:r>
      <w:r>
        <w:rPr>
          <w:position w:val="1"/>
        </w:rPr>
        <w:t>(MESA10,</w:t>
      </w:r>
      <w:r>
        <w:rPr>
          <w:spacing w:val="-1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[9]</w:t>
      </w:r>
      <w:r>
        <w:rPr>
          <w:position w:val="1"/>
        </w:rPr>
        <w:t>).</w:t>
      </w:r>
    </w:p>
    <w:p>
      <w:pPr>
        <w:pStyle w:val="BodyText"/>
        <w:spacing w:before="3"/>
      </w:pPr>
    </w:p>
    <w:p>
      <w:pPr>
        <w:pStyle w:val="Heading7"/>
        <w:spacing w:before="1"/>
      </w:pPr>
      <w:bookmarkStart w:name="Limited use of national funding instrume" w:id="128"/>
      <w:bookmarkEnd w:id="128"/>
      <w:r>
        <w:rPr>
          <w:i w:val="0"/>
        </w:rPr>
      </w:r>
      <w:r>
        <w:rPr>
          <w:color w:val="616161"/>
        </w:rPr>
        <w:t>Limited</w:t>
      </w:r>
      <w:r>
        <w:rPr>
          <w:color w:val="616161"/>
          <w:spacing w:val="-4"/>
        </w:rPr>
        <w:t> </w:t>
      </w:r>
      <w:r>
        <w:rPr>
          <w:color w:val="616161"/>
        </w:rPr>
        <w:t>use</w:t>
      </w:r>
      <w:r>
        <w:rPr>
          <w:color w:val="616161"/>
          <w:spacing w:val="-6"/>
        </w:rPr>
        <w:t> </w:t>
      </w:r>
      <w:r>
        <w:rPr>
          <w:color w:val="616161"/>
        </w:rPr>
        <w:t>of</w:t>
      </w:r>
      <w:r>
        <w:rPr>
          <w:color w:val="616161"/>
          <w:spacing w:val="-4"/>
        </w:rPr>
        <w:t> </w:t>
      </w:r>
      <w:r>
        <w:rPr>
          <w:color w:val="616161"/>
        </w:rPr>
        <w:t>national</w:t>
      </w:r>
      <w:r>
        <w:rPr>
          <w:color w:val="616161"/>
          <w:spacing w:val="-6"/>
        </w:rPr>
        <w:t> </w:t>
      </w:r>
      <w:r>
        <w:rPr>
          <w:color w:val="616161"/>
        </w:rPr>
        <w:t>funding</w:t>
      </w:r>
      <w:r>
        <w:rPr>
          <w:color w:val="616161"/>
          <w:spacing w:val="-3"/>
        </w:rPr>
        <w:t> </w:t>
      </w:r>
      <w:r>
        <w:rPr>
          <w:color w:val="616161"/>
        </w:rPr>
        <w:t>instruments</w:t>
      </w: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pStyle w:val="BodyText"/>
        <w:spacing w:line="271" w:lineRule="auto" w:before="1"/>
        <w:ind w:left="183" w:right="307"/>
        <w:jc w:val="both"/>
      </w:pPr>
      <w:r>
        <w:rPr/>
        <w:t>Governments have a range of funding levers they may use to steer the actions of HEIs, or directly 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more</w:t>
      </w:r>
      <w:r>
        <w:rPr>
          <w:spacing w:val="-53"/>
        </w:rPr>
        <w:t> </w:t>
      </w:r>
      <w:r>
        <w:rPr/>
        <w:t>strategically, both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better</w:t>
      </w:r>
      <w:r>
        <w:rPr>
          <w:spacing w:val="1"/>
        </w:rPr>
        <w:t> </w:t>
      </w:r>
      <w:r>
        <w:rPr/>
        <w:t>use.</w:t>
      </w:r>
    </w:p>
    <w:p>
      <w:pPr>
        <w:pStyle w:val="BodyText"/>
        <w:spacing w:before="3"/>
      </w:pPr>
    </w:p>
    <w:p>
      <w:pPr>
        <w:pStyle w:val="Heading8"/>
      </w:pPr>
      <w:bookmarkStart w:name="Institutional contracts" w:id="129"/>
      <w:bookmarkEnd w:id="129"/>
      <w:r>
        <w:rPr>
          <w:b w:val="0"/>
        </w:rPr>
      </w:r>
      <w:r>
        <w:rPr/>
        <w:t>Institutional</w:t>
      </w:r>
      <w:r>
        <w:rPr>
          <w:spacing w:val="-14"/>
        </w:rPr>
        <w:t> </w:t>
      </w:r>
      <w:r>
        <w:rPr/>
        <w:t>contracts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271" w:lineRule="auto" w:before="1"/>
        <w:ind w:left="183" w:right="308"/>
        <w:jc w:val="both"/>
      </w:pPr>
      <w:r>
        <w:rPr/>
        <w:t>Institutional contracts that tie a portion of higher education funding to performance can be useful tools to</w:t>
      </w:r>
      <w:r>
        <w:rPr>
          <w:spacing w:val="1"/>
        </w:rPr>
        <w:t> </w:t>
      </w:r>
      <w:r>
        <w:rPr/>
        <w:t>reward HEIs for identifying and building on their strengths and contributing to national policy objectives.</w:t>
      </w:r>
      <w:r>
        <w:rPr>
          <w:spacing w:val="1"/>
        </w:rPr>
        <w:t> </w:t>
      </w:r>
      <w:r>
        <w:rPr/>
        <w:t>While many countries use performance contracts – 13 did according to a recent OECD study on higher</w:t>
      </w:r>
      <w:r>
        <w:rPr>
          <w:spacing w:val="1"/>
        </w:rPr>
        <w:t> </w:t>
      </w:r>
      <w:r>
        <w:rPr/>
        <w:t>education resourcing – the impact of contracts depends on the amount of funding tied to institutional</w:t>
      </w:r>
      <w:r>
        <w:rPr>
          <w:spacing w:val="1"/>
        </w:rPr>
        <w:t> </w:t>
      </w:r>
      <w:r>
        <w:rPr>
          <w:position w:val="1"/>
        </w:rPr>
        <w:t>contracts, which varies from</w:t>
      </w:r>
      <w:r>
        <w:rPr>
          <w:spacing w:val="2"/>
          <w:position w:val="1"/>
        </w:rPr>
        <w:t> </w:t>
      </w:r>
      <w:r>
        <w:rPr>
          <w:position w:val="1"/>
        </w:rPr>
        <w:t>below</w:t>
      </w:r>
      <w:r>
        <w:rPr>
          <w:spacing w:val="-2"/>
          <w:position w:val="1"/>
        </w:rPr>
        <w:t> </w:t>
      </w:r>
      <w:r>
        <w:rPr>
          <w:position w:val="1"/>
        </w:rPr>
        <w:t>5%</w:t>
      </w:r>
      <w:r>
        <w:rPr>
          <w:spacing w:val="-1"/>
          <w:position w:val="1"/>
        </w:rPr>
        <w:t> </w:t>
      </w:r>
      <w:r>
        <w:rPr>
          <w:position w:val="1"/>
        </w:rPr>
        <w:t>to</w:t>
      </w:r>
      <w:r>
        <w:rPr>
          <w:spacing w:val="-2"/>
          <w:position w:val="1"/>
        </w:rPr>
        <w:t> </w:t>
      </w:r>
      <w:r>
        <w:rPr>
          <w:position w:val="1"/>
        </w:rPr>
        <w:t>close to</w:t>
      </w:r>
      <w:r>
        <w:rPr>
          <w:spacing w:val="-1"/>
          <w:position w:val="1"/>
        </w:rPr>
        <w:t> </w:t>
      </w:r>
      <w:r>
        <w:rPr>
          <w:position w:val="1"/>
        </w:rPr>
        <w:t>100% (OECD,</w:t>
      </w:r>
      <w:r>
        <w:rPr>
          <w:spacing w:val="-1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[32]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299"/>
        <w:jc w:val="both"/>
      </w:pPr>
      <w:r>
        <w:rPr/>
        <w:t>MoE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HEI</w:t>
      </w:r>
      <w:r>
        <w:rPr>
          <w:spacing w:val="-6"/>
        </w:rPr>
        <w:t> </w:t>
      </w:r>
      <w:r>
        <w:rPr/>
        <w:t>sign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contract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year</w:t>
      </w:r>
      <w:r>
        <w:rPr>
          <w:spacing w:val="-6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allocation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HEI</w:t>
      </w:r>
      <w:r>
        <w:rPr>
          <w:spacing w:val="-4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funding</w:t>
      </w:r>
      <w:r>
        <w:rPr>
          <w:spacing w:val="-8"/>
        </w:rPr>
        <w:t> </w:t>
      </w:r>
      <w:r>
        <w:rPr/>
        <w:t>formula,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thus</w:t>
      </w:r>
      <w:r>
        <w:rPr>
          <w:spacing w:val="-9"/>
        </w:rPr>
        <w:t> </w:t>
      </w:r>
      <w:r>
        <w:rPr/>
        <w:t>reflecting</w:t>
      </w:r>
      <w:r>
        <w:rPr>
          <w:spacing w:val="-8"/>
        </w:rPr>
        <w:t> </w:t>
      </w:r>
      <w:r>
        <w:rPr/>
        <w:t>past</w:t>
      </w:r>
      <w:r>
        <w:rPr>
          <w:spacing w:val="-7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formula</w:t>
      </w:r>
      <w:r>
        <w:rPr>
          <w:spacing w:val="-9"/>
        </w:rPr>
        <w:t> </w:t>
      </w:r>
      <w:r>
        <w:rPr/>
        <w:t>criteria.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funding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 future plans of HEIs, limiting longer-term, strategic management of institutional resources. Slovak</w:t>
      </w:r>
      <w:r>
        <w:rPr>
          <w:spacing w:val="1"/>
        </w:rPr>
        <w:t> </w:t>
      </w:r>
      <w:r>
        <w:rPr/>
        <w:t>authorities have not yet communicated the scale of funding they plan on associating with multi-year</w:t>
      </w:r>
      <w:r>
        <w:rPr>
          <w:spacing w:val="1"/>
        </w:rPr>
        <w:t> </w:t>
      </w:r>
      <w:r>
        <w:rPr/>
        <w:t>institutional contracts they are aiming to create, other than noting that the large infrastructure projects</w:t>
      </w:r>
      <w:r>
        <w:rPr>
          <w:spacing w:val="1"/>
        </w:rPr>
        <w:t> </w:t>
      </w:r>
      <w:r>
        <w:rPr/>
        <w:t>envisioned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Republic’s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RRP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performance contracts. Nevertheless, even if contracts are tied to low funding amounts, they can play an</w:t>
      </w:r>
      <w:r>
        <w:rPr>
          <w:spacing w:val="1"/>
        </w:rPr>
        <w:t> </w:t>
      </w:r>
      <w:r>
        <w:rPr/>
        <w:t>important role from an accountability and transparency perspective, by requiring the reporting of standard</w:t>
      </w:r>
      <w:r>
        <w:rPr>
          <w:spacing w:val="-53"/>
        </w:rPr>
        <w:t> </w:t>
      </w:r>
      <w:r>
        <w:rPr>
          <w:spacing w:val="-1"/>
        </w:rPr>
        <w:t>performance</w:t>
      </w:r>
      <w:r>
        <w:rPr>
          <w:spacing w:val="-13"/>
        </w:rPr>
        <w:t> </w:t>
      </w:r>
      <w:r>
        <w:rPr>
          <w:spacing w:val="-1"/>
        </w:rPr>
        <w:t>indicators.</w:t>
      </w:r>
      <w:r>
        <w:rPr>
          <w:spacing w:val="-13"/>
        </w:rPr>
        <w:t> </w:t>
      </w:r>
      <w:r>
        <w:rPr>
          <w:spacing w:val="-1"/>
        </w:rPr>
        <w:t>They</w:t>
      </w:r>
      <w:r>
        <w:rPr>
          <w:spacing w:val="-16"/>
        </w:rPr>
        <w:t> </w:t>
      </w:r>
      <w:r>
        <w:rPr>
          <w:spacing w:val="-1"/>
        </w:rPr>
        <w:t>can</w:t>
      </w:r>
      <w:r>
        <w:rPr>
          <w:spacing w:val="-11"/>
        </w:rPr>
        <w:t> </w:t>
      </w:r>
      <w:r>
        <w:rPr>
          <w:spacing w:val="-1"/>
        </w:rPr>
        <w:t>also</w:t>
      </w:r>
      <w:r>
        <w:rPr>
          <w:spacing w:val="-10"/>
        </w:rPr>
        <w:t> </w:t>
      </w:r>
      <w:r>
        <w:rPr>
          <w:spacing w:val="-1"/>
        </w:rPr>
        <w:t>play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role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forward</w:t>
      </w:r>
      <w:r>
        <w:rPr>
          <w:spacing w:val="-9"/>
        </w:rPr>
        <w:t> </w:t>
      </w:r>
      <w:r>
        <w:rPr/>
        <w:t>planning,</w:t>
      </w:r>
      <w:r>
        <w:rPr>
          <w:spacing w:val="-11"/>
        </w:rPr>
        <w:t> </w:t>
      </w:r>
      <w:r>
        <w:rPr/>
        <w:t>by</w:t>
      </w:r>
      <w:r>
        <w:rPr>
          <w:spacing w:val="-14"/>
        </w:rPr>
        <w:t> </w:t>
      </w:r>
      <w:r>
        <w:rPr/>
        <w:t>allowing</w:t>
      </w:r>
      <w:r>
        <w:rPr>
          <w:spacing w:val="-9"/>
        </w:rPr>
        <w:t> </w:t>
      </w:r>
      <w:r>
        <w:rPr/>
        <w:t>HEIs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signal</w:t>
      </w:r>
      <w:r>
        <w:rPr>
          <w:spacing w:val="-12"/>
        </w:rPr>
        <w:t> </w:t>
      </w:r>
      <w:r>
        <w:rPr/>
        <w:t>their</w:t>
      </w:r>
      <w:r>
        <w:rPr>
          <w:spacing w:val="-10"/>
        </w:rPr>
        <w:t> </w:t>
      </w:r>
      <w:r>
        <w:rPr/>
        <w:t>plans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facilitating</w:t>
      </w:r>
      <w:r>
        <w:rPr>
          <w:spacing w:val="-9"/>
        </w:rPr>
        <w:t> </w:t>
      </w:r>
      <w:r>
        <w:rPr/>
        <w:t>dialogue</w:t>
      </w:r>
      <w:r>
        <w:rPr>
          <w:spacing w:val="-10"/>
        </w:rPr>
        <w:t> </w:t>
      </w:r>
      <w:r>
        <w:rPr/>
        <w:t>between</w:t>
      </w:r>
      <w:r>
        <w:rPr>
          <w:spacing w:val="-9"/>
        </w:rPr>
        <w:t> </w:t>
      </w:r>
      <w:r>
        <w:rPr/>
        <w:t>HEIs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government,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case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Denmark’s</w:t>
      </w:r>
      <w:r>
        <w:rPr>
          <w:spacing w:val="-9"/>
        </w:rPr>
        <w:t> </w:t>
      </w:r>
      <w:r>
        <w:rPr/>
        <w:t>Strategic</w:t>
      </w:r>
      <w:r>
        <w:rPr>
          <w:spacing w:val="-8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Contracts,</w:t>
      </w:r>
      <w:r>
        <w:rPr>
          <w:spacing w:val="-2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later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 section.</w:t>
      </w:r>
    </w:p>
    <w:p>
      <w:pPr>
        <w:pStyle w:val="BodyText"/>
        <w:spacing w:line="271" w:lineRule="auto" w:before="120"/>
        <w:ind w:left="183" w:right="301"/>
        <w:jc w:val="both"/>
      </w:pPr>
      <w:r>
        <w:rPr>
          <w:spacing w:val="-1"/>
        </w:rPr>
        <w:t>International</w:t>
      </w:r>
      <w:r>
        <w:rPr>
          <w:spacing w:val="-14"/>
        </w:rPr>
        <w:t> </w:t>
      </w:r>
      <w:r>
        <w:rPr>
          <w:spacing w:val="-1"/>
        </w:rPr>
        <w:t>experience</w:t>
      </w:r>
      <w:r>
        <w:rPr>
          <w:spacing w:val="-12"/>
        </w:rPr>
        <w:t> </w:t>
      </w:r>
      <w:r>
        <w:rPr>
          <w:spacing w:val="-1"/>
        </w:rPr>
        <w:t>suggests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development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institutional</w:t>
      </w:r>
      <w:r>
        <w:rPr>
          <w:spacing w:val="-13"/>
        </w:rPr>
        <w:t> </w:t>
      </w:r>
      <w:r>
        <w:rPr/>
        <w:t>contracts</w:t>
      </w:r>
      <w:r>
        <w:rPr>
          <w:spacing w:val="-11"/>
        </w:rPr>
        <w:t> </w:t>
      </w:r>
      <w:r>
        <w:rPr/>
        <w:t>that</w:t>
      </w:r>
      <w:r>
        <w:rPr>
          <w:spacing w:val="-13"/>
        </w:rPr>
        <w:t> </w:t>
      </w:r>
      <w:r>
        <w:rPr/>
        <w:t>focus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-8"/>
        </w:rPr>
        <w:t> </w:t>
      </w:r>
      <w:r>
        <w:rPr/>
        <w:t>requires</w:t>
      </w:r>
      <w:r>
        <w:rPr>
          <w:spacing w:val="-8"/>
        </w:rPr>
        <w:t> </w:t>
      </w:r>
      <w:r>
        <w:rPr/>
        <w:t>care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avoid</w:t>
      </w:r>
      <w:r>
        <w:rPr>
          <w:spacing w:val="-8"/>
        </w:rPr>
        <w:t> </w:t>
      </w:r>
      <w:r>
        <w:rPr/>
        <w:t>unintended</w:t>
      </w:r>
      <w:r>
        <w:rPr>
          <w:spacing w:val="-9"/>
        </w:rPr>
        <w:t> </w:t>
      </w:r>
      <w:r>
        <w:rPr/>
        <w:t>consequences.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risk</w:t>
      </w:r>
      <w:r>
        <w:rPr>
          <w:spacing w:val="-5"/>
        </w:rPr>
        <w:t> </w:t>
      </w:r>
      <w:r>
        <w:rPr/>
        <w:t>that</w:t>
      </w:r>
      <w:r>
        <w:rPr>
          <w:spacing w:val="-8"/>
        </w:rPr>
        <w:t> </w:t>
      </w:r>
      <w:r>
        <w:rPr/>
        <w:t>HEIs</w:t>
      </w:r>
      <w:r>
        <w:rPr>
          <w:spacing w:val="-8"/>
        </w:rPr>
        <w:t> </w:t>
      </w:r>
      <w:r>
        <w:rPr/>
        <w:t>shift</w:t>
      </w:r>
      <w:r>
        <w:rPr>
          <w:spacing w:val="-8"/>
        </w:rPr>
        <w:t> </w:t>
      </w:r>
      <w:r>
        <w:rPr/>
        <w:t>away</w:t>
      </w:r>
      <w:r>
        <w:rPr>
          <w:spacing w:val="-54"/>
        </w:rPr>
        <w:t> </w:t>
      </w:r>
      <w:r>
        <w:rPr>
          <w:position w:val="1"/>
        </w:rPr>
        <w:t>from equity of access in their search to meet demanding performance goals (Dougherty et al., 2014</w:t>
      </w:r>
      <w:r>
        <w:rPr>
          <w:sz w:val="13"/>
        </w:rPr>
        <w:t>[40]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>
          <w:spacing w:val="-1"/>
        </w:rPr>
        <w:t>From</w:t>
      </w:r>
      <w:r>
        <w:rPr>
          <w:spacing w:val="-8"/>
        </w:rPr>
        <w:t> </w:t>
      </w:r>
      <w:r>
        <w:rPr>
          <w:spacing w:val="-1"/>
        </w:rPr>
        <w:t>an</w:t>
      </w:r>
      <w:r>
        <w:rPr>
          <w:spacing w:val="-13"/>
        </w:rPr>
        <w:t> </w:t>
      </w:r>
      <w:r>
        <w:rPr>
          <w:spacing w:val="-1"/>
        </w:rPr>
        <w:t>implementation</w:t>
      </w:r>
      <w:r>
        <w:rPr>
          <w:spacing w:val="-12"/>
        </w:rPr>
        <w:t> </w:t>
      </w:r>
      <w:r>
        <w:rPr>
          <w:spacing w:val="-1"/>
        </w:rPr>
        <w:t>perspective,</w:t>
      </w:r>
      <w:r>
        <w:rPr>
          <w:spacing w:val="-13"/>
        </w:rPr>
        <w:t> </w:t>
      </w:r>
      <w:r>
        <w:rPr>
          <w:spacing w:val="-1"/>
        </w:rPr>
        <w:t>stable</w:t>
      </w:r>
      <w:r>
        <w:rPr>
          <w:spacing w:val="-12"/>
        </w:rPr>
        <w:t> </w:t>
      </w:r>
      <w:r>
        <w:rPr/>
        <w:t>indicators</w:t>
      </w:r>
      <w:r>
        <w:rPr>
          <w:spacing w:val="-6"/>
        </w:rPr>
        <w:t> </w:t>
      </w:r>
      <w:r>
        <w:rPr/>
        <w:t>known</w:t>
      </w:r>
      <w:r>
        <w:rPr>
          <w:spacing w:val="-11"/>
        </w:rPr>
        <w:t> </w:t>
      </w:r>
      <w:r>
        <w:rPr/>
        <w:t>well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advance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important,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sufficient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15"/>
        <w:jc w:val="both"/>
      </w:pPr>
      <w:r>
        <w:rPr/>
        <w:t>human and financial resources in government (or a buffer body) and in HEIs, and a collaborative</w:t>
      </w:r>
      <w:r>
        <w:rPr>
          <w:spacing w:val="1"/>
        </w:rPr>
        <w:t> </w:t>
      </w:r>
      <w:r>
        <w:rPr/>
        <w:t>relationship between government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HEIs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manage contracts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effectively.</w:t>
      </w:r>
    </w:p>
    <w:p>
      <w:pPr>
        <w:pStyle w:val="BodyText"/>
        <w:spacing w:before="1"/>
      </w:pPr>
    </w:p>
    <w:p>
      <w:pPr>
        <w:pStyle w:val="Heading8"/>
      </w:pPr>
      <w:bookmarkStart w:name="Targeted funding" w:id="130"/>
      <w:bookmarkEnd w:id="130"/>
      <w:r>
        <w:rPr>
          <w:b w:val="0"/>
        </w:rPr>
      </w:r>
      <w:r>
        <w:rPr/>
        <w:t>Targeted</w:t>
      </w:r>
      <w:r>
        <w:rPr>
          <w:spacing w:val="-10"/>
        </w:rPr>
        <w:t> </w:t>
      </w:r>
      <w:r>
        <w:rPr/>
        <w:t>funding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Targeted</w:t>
      </w:r>
      <w:r>
        <w:rPr>
          <w:spacing w:val="-11"/>
        </w:rPr>
        <w:t> </w:t>
      </w:r>
      <w:r>
        <w:rPr/>
        <w:t>funding</w:t>
      </w:r>
      <w:r>
        <w:rPr>
          <w:spacing w:val="-10"/>
        </w:rPr>
        <w:t> </w:t>
      </w:r>
      <w:r>
        <w:rPr/>
        <w:t>programmes</w:t>
      </w:r>
      <w:r>
        <w:rPr>
          <w:spacing w:val="-10"/>
        </w:rPr>
        <w:t> </w:t>
      </w:r>
      <w:r>
        <w:rPr/>
        <w:t>constitute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tool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OECD</w:t>
      </w:r>
      <w:r>
        <w:rPr>
          <w:spacing w:val="-11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use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achieve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policy</w:t>
      </w:r>
      <w:r>
        <w:rPr>
          <w:spacing w:val="1"/>
        </w:rPr>
        <w:t> </w:t>
      </w:r>
      <w:r>
        <w:rPr/>
        <w:t>objectives.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flexibility,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incentivise HEIs to focus on certain priorities without creating variations in regular funding allocations.</w:t>
      </w:r>
      <w:r>
        <w:rPr>
          <w:spacing w:val="1"/>
        </w:rPr>
        <w:t> </w:t>
      </w:r>
      <w:r>
        <w:rPr/>
        <w:t>Targeted funding may be allocated based on a competitive basis. In such cases, it works best in contexts</w:t>
      </w:r>
      <w:r>
        <w:rPr>
          <w:spacing w:val="-53"/>
        </w:rPr>
        <w:t> </w:t>
      </w:r>
      <w:r>
        <w:rPr>
          <w:spacing w:val="-1"/>
          <w:position w:val="1"/>
        </w:rPr>
        <w:t>where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there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is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a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high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level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of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integrity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and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transparency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in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the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allocation</w:t>
      </w:r>
      <w:r>
        <w:rPr>
          <w:spacing w:val="-9"/>
          <w:position w:val="1"/>
        </w:rPr>
        <w:t> </w:t>
      </w:r>
      <w:r>
        <w:rPr>
          <w:position w:val="1"/>
        </w:rPr>
        <w:t>of</w:t>
      </w:r>
      <w:r>
        <w:rPr>
          <w:spacing w:val="-9"/>
          <w:position w:val="1"/>
        </w:rPr>
        <w:t> </w:t>
      </w:r>
      <w:r>
        <w:rPr>
          <w:position w:val="1"/>
        </w:rPr>
        <w:t>funding</w:t>
      </w:r>
      <w:r>
        <w:rPr>
          <w:spacing w:val="-1"/>
          <w:position w:val="1"/>
        </w:rPr>
        <w:t> </w:t>
      </w:r>
      <w:r>
        <w:rPr>
          <w:position w:val="1"/>
        </w:rPr>
        <w:t>(OECD,</w:t>
      </w:r>
      <w:r>
        <w:rPr>
          <w:spacing w:val="-8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[32]</w:t>
      </w:r>
      <w:r>
        <w:rPr>
          <w:position w:val="1"/>
        </w:rPr>
        <w:t>),</w:t>
      </w:r>
      <w:r>
        <w:rPr>
          <w:spacing w:val="-5"/>
          <w:position w:val="1"/>
        </w:rPr>
        <w:t> </w:t>
      </w:r>
      <w:r>
        <w:rPr>
          <w:position w:val="1"/>
        </w:rPr>
        <w:t>which</w:t>
      </w:r>
      <w:r>
        <w:rPr>
          <w:spacing w:val="1"/>
          <w:position w:val="1"/>
        </w:rPr>
        <w:t> </w:t>
      </w:r>
      <w:r>
        <w:rPr/>
        <w:t>thus</w:t>
      </w:r>
      <w:r>
        <w:rPr>
          <w:spacing w:val="-2"/>
        </w:rPr>
        <w:t> </w:t>
      </w:r>
      <w:r>
        <w:rPr/>
        <w:t>must</w:t>
      </w:r>
      <w:r>
        <w:rPr>
          <w:spacing w:val="-3"/>
        </w:rPr>
        <w:t> </w:t>
      </w:r>
      <w:r>
        <w:rPr/>
        <w:t>become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priority</w:t>
      </w:r>
      <w:r>
        <w:rPr>
          <w:spacing w:val="-3"/>
        </w:rPr>
        <w:t> </w:t>
      </w:r>
      <w:r>
        <w:rPr/>
        <w:t>when</w:t>
      </w:r>
      <w:r>
        <w:rPr>
          <w:spacing w:val="1"/>
        </w:rPr>
        <w:t> </w:t>
      </w:r>
      <w:r>
        <w:rPr/>
        <w:t>considering</w:t>
      </w:r>
      <w:r>
        <w:rPr>
          <w:spacing w:val="-2"/>
        </w:rPr>
        <w:t> </w:t>
      </w:r>
      <w:r>
        <w:rPr/>
        <w:t>the 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instruments.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Targeted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incentivising</w:t>
      </w:r>
      <w:r>
        <w:rPr>
          <w:spacing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collaborate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internationally competitive research (such as in France, discussed below). It can also be used to address</w:t>
      </w:r>
      <w:r>
        <w:rPr>
          <w:spacing w:val="-53"/>
        </w:rPr>
        <w:t> </w:t>
      </w:r>
      <w:r>
        <w:rPr/>
        <w:t>emerging and possibly transitory needs – for instance, in the US state of Washington, top-up funding was</w:t>
      </w:r>
      <w:r>
        <w:rPr>
          <w:spacing w:val="-53"/>
        </w:rPr>
        <w:t> </w:t>
      </w:r>
      <w:r>
        <w:rPr/>
        <w:t>approved to increase the salaries of academics hired by public HEIs in fields of study such as health or</w:t>
      </w:r>
      <w:r>
        <w:rPr>
          <w:spacing w:val="1"/>
        </w:rPr>
        <w:t> </w:t>
      </w:r>
      <w:r>
        <w:rPr/>
        <w:t>science, technology, engineering and mathematics (STEM), where individuals would obtain significantly</w:t>
      </w:r>
      <w:r>
        <w:rPr>
          <w:spacing w:val="1"/>
        </w:rPr>
        <w:t> </w:t>
      </w:r>
      <w:r>
        <w:rPr>
          <w:position w:val="1"/>
        </w:rPr>
        <w:t>higher earnings outside of academia (OECD, 2020</w:t>
      </w:r>
      <w:r>
        <w:rPr>
          <w:sz w:val="13"/>
        </w:rPr>
        <w:t>[41]</w:t>
      </w:r>
      <w:r>
        <w:rPr>
          <w:position w:val="1"/>
        </w:rPr>
        <w:t>). Targeted funding can also be used to encourage</w:t>
      </w:r>
      <w:r>
        <w:rPr>
          <w:spacing w:val="1"/>
          <w:position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labour-market-relevant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employers. Examples of such programmes exist (see, for instance, </w:t>
      </w:r>
      <w:hyperlink w:history="true" w:anchor="_bookmark47">
        <w:r>
          <w:rPr/>
          <w:t>Box 3.5</w:t>
        </w:r>
      </w:hyperlink>
      <w:r>
        <w:rPr/>
        <w:t>), but they are not common in</w:t>
      </w:r>
      <w:r>
        <w:rPr>
          <w:spacing w:val="1"/>
        </w:rPr>
        <w:t> </w:t>
      </w:r>
      <w:r>
        <w:rPr/>
        <w:t>the Slovak</w:t>
      </w:r>
      <w:r>
        <w:rPr>
          <w:spacing w:val="2"/>
        </w:rPr>
        <w:t> </w:t>
      </w:r>
      <w:r>
        <w:rPr/>
        <w:t>Republic.</w:t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before="100"/>
        <w:ind w:left="262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61.68pt;margin-top:-13.864135pt;width:472.1pt;height:374.95pt;mso-position-horizontal-relative:page;mso-position-vertical-relative:paragraph;z-index:-19702272" coordorigin="1234,-277" coordsize="9442,7499">
            <v:rect style="position:absolute;left:1248;top:-261;width:9413;height:7468" filled="true" fillcolor="#eeece1" stroked="false">
              <v:fill type="solid"/>
            </v:rect>
            <v:shape style="position:absolute;left:1233;top:-278;width:9442;height:7499" coordorigin="1234,-277" coordsize="9442,7499" path="m10660,7207l1248,7207,1234,7207,1234,7221,1248,7221,10660,7221,10660,7207xm10660,-277l1248,-277,1234,-277,1234,-263,1234,7207,1248,7207,1248,-263,10660,-263,10660,-277xm10675,7207l10660,7207,10660,7221,10675,7221,10675,7207xm10675,-277l10660,-277,10660,-263,10660,7207,10675,7207,10675,-263,10675,-277xe" filled="true" fillcolor="#4e81bd" stroked="false">
              <v:path arrowok="t"/>
              <v:fill type="solid"/>
            </v:shape>
            <w10:wrap type="none"/>
          </v:group>
        </w:pict>
      </w:r>
      <w:bookmarkStart w:name="_bookmark47" w:id="131"/>
      <w:bookmarkEnd w:id="131"/>
      <w:r>
        <w:rPr/>
      </w:r>
      <w:r>
        <w:rPr>
          <w:rFonts w:ascii="Arial"/>
          <w:b/>
          <w:color w:val="4E81BD"/>
          <w:w w:val="80"/>
          <w:sz w:val="24"/>
        </w:rPr>
        <w:t>Box</w:t>
      </w:r>
      <w:r>
        <w:rPr>
          <w:rFonts w:ascii="Arial"/>
          <w:b/>
          <w:color w:val="4E81BD"/>
          <w:spacing w:val="2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3.5.</w:t>
      </w:r>
      <w:r>
        <w:rPr>
          <w:rFonts w:ascii="Arial"/>
          <w:b/>
          <w:color w:val="4E81BD"/>
          <w:spacing w:val="2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Practices</w:t>
      </w:r>
      <w:r>
        <w:rPr>
          <w:rFonts w:ascii="Arial"/>
          <w:b/>
          <w:color w:val="4E81BD"/>
          <w:spacing w:val="2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supporting</w:t>
      </w:r>
      <w:r>
        <w:rPr>
          <w:rFonts w:ascii="Arial"/>
          <w:b/>
          <w:color w:val="4E81BD"/>
          <w:spacing w:val="2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labour-market-relevant</w:t>
      </w:r>
      <w:r>
        <w:rPr>
          <w:rFonts w:ascii="Arial"/>
          <w:b/>
          <w:color w:val="4E81BD"/>
          <w:spacing w:val="2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</w:p>
    <w:p>
      <w:pPr>
        <w:pStyle w:val="Heading5"/>
        <w:spacing w:before="179"/>
        <w:ind w:left="262"/>
        <w:jc w:val="left"/>
      </w:pPr>
      <w:r>
        <w:rPr>
          <w:w w:val="80"/>
        </w:rPr>
        <w:t>Professional</w:t>
      </w:r>
      <w:r>
        <w:rPr>
          <w:spacing w:val="15"/>
          <w:w w:val="80"/>
        </w:rPr>
        <w:t> </w:t>
      </w:r>
      <w:r>
        <w:rPr>
          <w:w w:val="80"/>
        </w:rPr>
        <w:t>bachelor’s</w:t>
      </w:r>
      <w:r>
        <w:rPr>
          <w:spacing w:val="15"/>
          <w:w w:val="80"/>
        </w:rPr>
        <w:t> </w:t>
      </w:r>
      <w:r>
        <w:rPr>
          <w:w w:val="80"/>
        </w:rPr>
        <w:t>programme</w:t>
      </w:r>
      <w:r>
        <w:rPr>
          <w:spacing w:val="16"/>
          <w:w w:val="80"/>
        </w:rPr>
        <w:t> </w:t>
      </w:r>
      <w:r>
        <w:rPr>
          <w:w w:val="80"/>
        </w:rPr>
        <w:t>at</w:t>
      </w:r>
      <w:r>
        <w:rPr>
          <w:spacing w:val="15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Slovak</w:t>
      </w:r>
      <w:r>
        <w:rPr>
          <w:spacing w:val="16"/>
          <w:w w:val="80"/>
        </w:rPr>
        <w:t> </w:t>
      </w:r>
      <w:r>
        <w:rPr>
          <w:w w:val="80"/>
        </w:rPr>
        <w:t>Technical</w:t>
      </w:r>
      <w:r>
        <w:rPr>
          <w:spacing w:val="15"/>
          <w:w w:val="80"/>
        </w:rPr>
        <w:t> </w:t>
      </w:r>
      <w:r>
        <w:rPr>
          <w:w w:val="80"/>
        </w:rPr>
        <w:t>University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Volkswagen</w:t>
      </w:r>
    </w:p>
    <w:p>
      <w:pPr>
        <w:pStyle w:val="BodyText"/>
        <w:spacing w:line="271" w:lineRule="auto" w:before="150"/>
        <w:ind w:left="262" w:right="383"/>
        <w:jc w:val="both"/>
      </w:pPr>
      <w:r>
        <w:rPr/>
        <w:t>In the Slovak Republic, the company Volkswagen and seven suppliers have developed an innovative</w:t>
      </w:r>
      <w:r>
        <w:rPr>
          <w:spacing w:val="1"/>
        </w:rPr>
        <w:t> </w:t>
      </w:r>
      <w:r>
        <w:rPr/>
        <w:t>four-year</w:t>
      </w:r>
      <w:r>
        <w:rPr>
          <w:spacing w:val="-9"/>
        </w:rPr>
        <w:t> </w:t>
      </w:r>
      <w:r>
        <w:rPr/>
        <w:t>professional</w:t>
      </w:r>
      <w:r>
        <w:rPr>
          <w:spacing w:val="-10"/>
        </w:rPr>
        <w:t> </w:t>
      </w:r>
      <w:r>
        <w:rPr/>
        <w:t>bachelor’s</w:t>
      </w:r>
      <w:r>
        <w:rPr>
          <w:spacing w:val="-9"/>
        </w:rPr>
        <w:t> </w:t>
      </w:r>
      <w:r>
        <w:rPr/>
        <w:t>programme</w:t>
      </w:r>
      <w:r>
        <w:rPr>
          <w:spacing w:val="-11"/>
        </w:rPr>
        <w:t> </w:t>
      </w:r>
      <w:r>
        <w:rPr/>
        <w:t>combining</w:t>
      </w:r>
      <w:r>
        <w:rPr>
          <w:spacing w:val="-10"/>
        </w:rPr>
        <w:t> </w:t>
      </w:r>
      <w:r>
        <w:rPr/>
        <w:t>practical</w:t>
      </w:r>
      <w:r>
        <w:rPr>
          <w:spacing w:val="-10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university-level</w:t>
      </w:r>
      <w:r>
        <w:rPr>
          <w:spacing w:val="-1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 the Faculty of Mechanical Engineering of the Slovak University of Technology. Students spend three</w:t>
      </w:r>
      <w:r>
        <w:rPr>
          <w:spacing w:val="1"/>
        </w:rPr>
        <w:t> </w:t>
      </w:r>
      <w:r>
        <w:rPr/>
        <w:t>years studying at the university and one year working for Volkswagen or other companies (or one of its</w:t>
      </w:r>
      <w:r>
        <w:rPr>
          <w:spacing w:val="1"/>
        </w:rPr>
        <w:t> </w:t>
      </w:r>
      <w:r>
        <w:rPr/>
        <w:t>suppliers). The programme received formal accreditation from MoE although the process took around a</w:t>
      </w:r>
      <w:r>
        <w:rPr>
          <w:spacing w:val="-53"/>
        </w:rPr>
        <w:t> </w:t>
      </w:r>
      <w:r>
        <w:rPr>
          <w:w w:val="95"/>
        </w:rPr>
        <w:t>year due to its novelty. Volkswagen also reportedly struggled to find a partner</w:t>
      </w:r>
      <w:r>
        <w:rPr>
          <w:spacing w:val="50"/>
        </w:rPr>
        <w:t> </w:t>
      </w:r>
      <w:r>
        <w:rPr>
          <w:w w:val="95"/>
        </w:rPr>
        <w:t>university. The programme</w:t>
      </w:r>
      <w:r>
        <w:rPr>
          <w:spacing w:val="1"/>
          <w:w w:val="95"/>
        </w:rPr>
        <w:t> </w:t>
      </w:r>
      <w:r>
        <w:rPr/>
        <w:t>has piloted since 2018 in a limited scope and has yet to deliver graduates. For more information, see</w:t>
      </w:r>
      <w:r>
        <w:rPr>
          <w:spacing w:val="1"/>
        </w:rPr>
        <w:t> </w:t>
      </w:r>
      <w:hyperlink r:id="rId146">
        <w:r>
          <w:rPr>
            <w:color w:val="0000FF"/>
            <w:u w:val="single" w:color="0000FF"/>
          </w:rPr>
          <w:t>https://profesijnybakalar.sk/</w:t>
        </w:r>
        <w:r>
          <w:rPr/>
          <w:t>.</w:t>
        </w:r>
      </w:hyperlink>
    </w:p>
    <w:p>
      <w:pPr>
        <w:pStyle w:val="Heading5"/>
        <w:spacing w:before="152"/>
        <w:ind w:left="262"/>
        <w:jc w:val="left"/>
      </w:pPr>
      <w:r>
        <w:rPr>
          <w:w w:val="80"/>
        </w:rPr>
        <w:t>Nudging</w:t>
      </w:r>
      <w:r>
        <w:rPr>
          <w:spacing w:val="19"/>
          <w:w w:val="80"/>
        </w:rPr>
        <w:t> </w:t>
      </w:r>
      <w:r>
        <w:rPr>
          <w:w w:val="80"/>
        </w:rPr>
        <w:t>individual</w:t>
      </w:r>
      <w:r>
        <w:rPr>
          <w:spacing w:val="16"/>
          <w:w w:val="80"/>
        </w:rPr>
        <w:t> </w:t>
      </w:r>
      <w:r>
        <w:rPr>
          <w:w w:val="80"/>
        </w:rPr>
        <w:t>educational</w:t>
      </w:r>
      <w:r>
        <w:rPr>
          <w:spacing w:val="19"/>
          <w:w w:val="80"/>
        </w:rPr>
        <w:t> </w:t>
      </w:r>
      <w:r>
        <w:rPr>
          <w:w w:val="80"/>
        </w:rPr>
        <w:t>decisions</w:t>
      </w:r>
      <w:r>
        <w:rPr>
          <w:spacing w:val="20"/>
          <w:w w:val="80"/>
        </w:rPr>
        <w:t> </w:t>
      </w:r>
      <w:r>
        <w:rPr>
          <w:w w:val="80"/>
        </w:rPr>
        <w:t>towards</w:t>
      </w:r>
      <w:r>
        <w:rPr>
          <w:spacing w:val="20"/>
          <w:w w:val="80"/>
        </w:rPr>
        <w:t> </w:t>
      </w:r>
      <w:r>
        <w:rPr>
          <w:w w:val="80"/>
        </w:rPr>
        <w:t>labour-market-relevant</w:t>
      </w:r>
      <w:r>
        <w:rPr>
          <w:spacing w:val="19"/>
          <w:w w:val="80"/>
        </w:rPr>
        <w:t> </w:t>
      </w:r>
      <w:r>
        <w:rPr>
          <w:w w:val="80"/>
        </w:rPr>
        <w:t>HE</w:t>
      </w:r>
      <w:r>
        <w:rPr>
          <w:spacing w:val="19"/>
          <w:w w:val="80"/>
        </w:rPr>
        <w:t> </w:t>
      </w:r>
      <w:r>
        <w:rPr>
          <w:w w:val="80"/>
        </w:rPr>
        <w:t>programmes</w:t>
      </w:r>
    </w:p>
    <w:p>
      <w:pPr>
        <w:pStyle w:val="BodyText"/>
        <w:spacing w:line="271" w:lineRule="auto" w:before="149"/>
        <w:ind w:left="262" w:right="380"/>
        <w:jc w:val="both"/>
      </w:pPr>
      <w:r>
        <w:rPr/>
        <w:t>At the level of secondary school programmes, the self-governing regions with the support of MoE</w:t>
      </w:r>
      <w:r>
        <w:rPr>
          <w:spacing w:val="1"/>
        </w:rPr>
        <w:t> </w:t>
      </w:r>
      <w:r>
        <w:rPr/>
        <w:t>markedly</w:t>
      </w:r>
      <w:r>
        <w:rPr>
          <w:spacing w:val="-10"/>
        </w:rPr>
        <w:t> </w:t>
      </w:r>
      <w:r>
        <w:rPr/>
        <w:t>reduced</w:t>
      </w:r>
      <w:r>
        <w:rPr>
          <w:spacing w:val="-6"/>
        </w:rPr>
        <w:t> </w:t>
      </w:r>
      <w:r>
        <w:rPr/>
        <w:t>financing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classes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study</w:t>
      </w:r>
      <w:r>
        <w:rPr>
          <w:spacing w:val="-9"/>
        </w:rPr>
        <w:t> </w:t>
      </w:r>
      <w:r>
        <w:rPr/>
        <w:t>programmes</w:t>
      </w:r>
      <w:r>
        <w:rPr>
          <w:spacing w:val="-6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unattractive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>
          <w:w w:val="99"/>
          <w:position w:val="1"/>
        </w:rPr>
        <w:t>the</w:t>
      </w:r>
      <w:r>
        <w:rPr>
          <w:spacing w:val="3"/>
          <w:position w:val="1"/>
        </w:rPr>
        <w:t> </w:t>
      </w:r>
      <w:r>
        <w:rPr>
          <w:spacing w:val="1"/>
          <w:w w:val="99"/>
          <w:position w:val="1"/>
        </w:rPr>
        <w:t>l</w:t>
      </w:r>
      <w:r>
        <w:rPr>
          <w:spacing w:val="-1"/>
          <w:w w:val="99"/>
          <w:position w:val="1"/>
        </w:rPr>
        <w:t>ab</w:t>
      </w:r>
      <w:r>
        <w:rPr>
          <w:spacing w:val="1"/>
          <w:w w:val="99"/>
          <w:position w:val="1"/>
        </w:rPr>
        <w:t>o</w:t>
      </w:r>
      <w:r>
        <w:rPr>
          <w:spacing w:val="-1"/>
          <w:w w:val="99"/>
          <w:position w:val="1"/>
        </w:rPr>
        <w:t>u</w:t>
      </w:r>
      <w:r>
        <w:rPr>
          <w:w w:val="99"/>
          <w:position w:val="1"/>
        </w:rPr>
        <w:t>r</w:t>
      </w:r>
      <w:r>
        <w:rPr>
          <w:spacing w:val="4"/>
          <w:position w:val="1"/>
        </w:rPr>
        <w:t> </w:t>
      </w:r>
      <w:r>
        <w:rPr>
          <w:spacing w:val="4"/>
          <w:w w:val="99"/>
          <w:position w:val="1"/>
        </w:rPr>
        <w:t>m</w:t>
      </w:r>
      <w:r>
        <w:rPr>
          <w:spacing w:val="-1"/>
          <w:w w:val="99"/>
          <w:position w:val="1"/>
        </w:rPr>
        <w:t>a</w:t>
      </w:r>
      <w:r>
        <w:rPr>
          <w:spacing w:val="-2"/>
          <w:w w:val="99"/>
          <w:position w:val="1"/>
        </w:rPr>
        <w:t>r</w:t>
      </w:r>
      <w:r>
        <w:rPr>
          <w:spacing w:val="3"/>
          <w:w w:val="99"/>
          <w:position w:val="1"/>
        </w:rPr>
        <w:t>k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t</w:t>
      </w:r>
      <w:r>
        <w:rPr>
          <w:spacing w:val="5"/>
          <w:position w:val="1"/>
        </w:rPr>
        <w:t> </w:t>
      </w:r>
      <w:r>
        <w:rPr>
          <w:w w:val="99"/>
          <w:position w:val="1"/>
        </w:rPr>
        <w:t>(M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rt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n</w:t>
      </w:r>
      <w:r>
        <w:rPr>
          <w:spacing w:val="1"/>
          <w:w w:val="99"/>
          <w:position w:val="1"/>
        </w:rPr>
        <w:t>á</w:t>
      </w:r>
      <w:r>
        <w:rPr>
          <w:w w:val="99"/>
          <w:position w:val="1"/>
        </w:rPr>
        <w:t>k</w:t>
      </w:r>
      <w:r>
        <w:rPr>
          <w:spacing w:val="7"/>
          <w:position w:val="1"/>
        </w:rPr>
        <w:t> </w:t>
      </w:r>
      <w:r>
        <w:rPr>
          <w:spacing w:val="-1"/>
          <w:w w:val="99"/>
          <w:position w:val="1"/>
        </w:rPr>
        <w:t>an</w:t>
      </w:r>
      <w:r>
        <w:rPr>
          <w:w w:val="99"/>
          <w:position w:val="1"/>
        </w:rPr>
        <w:t>d</w:t>
      </w:r>
      <w:r>
        <w:rPr>
          <w:spacing w:val="3"/>
          <w:position w:val="1"/>
        </w:rPr>
        <w:t> </w:t>
      </w:r>
      <w:r>
        <w:rPr>
          <w:w w:val="99"/>
          <w:position w:val="1"/>
        </w:rPr>
        <w:t>Z</w:t>
      </w:r>
      <w:r>
        <w:rPr>
          <w:spacing w:val="-1"/>
          <w:w w:val="99"/>
          <w:position w:val="1"/>
        </w:rPr>
        <w:t>áp</w:t>
      </w:r>
      <w:r>
        <w:rPr>
          <w:w w:val="99"/>
          <w:position w:val="1"/>
        </w:rPr>
        <w:t>r</w:t>
      </w:r>
      <w:r>
        <w:rPr>
          <w:spacing w:val="1"/>
          <w:w w:val="99"/>
          <w:position w:val="1"/>
        </w:rPr>
        <w:t>a</w:t>
      </w:r>
      <w:r>
        <w:rPr>
          <w:spacing w:val="-4"/>
          <w:w w:val="49"/>
          <w:position w:val="1"/>
        </w:rPr>
        <w:t>ž</w:t>
      </w:r>
      <w:r>
        <w:rPr>
          <w:spacing w:val="1"/>
          <w:w w:val="99"/>
          <w:position w:val="1"/>
        </w:rPr>
        <w:t>n</w:t>
      </w:r>
      <w:r>
        <w:rPr>
          <w:spacing w:val="-1"/>
          <w:w w:val="99"/>
          <w:position w:val="1"/>
        </w:rPr>
        <w:t>á</w:t>
      </w:r>
      <w:r>
        <w:rPr>
          <w:w w:val="99"/>
          <w:position w:val="1"/>
        </w:rPr>
        <w:t>,</w:t>
      </w:r>
      <w:r>
        <w:rPr>
          <w:spacing w:val="3"/>
          <w:position w:val="1"/>
        </w:rPr>
        <w:t> </w:t>
      </w:r>
      <w:r>
        <w:rPr>
          <w:spacing w:val="-1"/>
          <w:w w:val="99"/>
          <w:position w:val="1"/>
        </w:rPr>
        <w:t>2</w:t>
      </w:r>
      <w:r>
        <w:rPr>
          <w:spacing w:val="1"/>
          <w:w w:val="99"/>
          <w:position w:val="1"/>
        </w:rPr>
        <w:t>0</w:t>
      </w:r>
      <w:r>
        <w:rPr>
          <w:spacing w:val="-1"/>
          <w:w w:val="99"/>
          <w:position w:val="1"/>
        </w:rPr>
        <w:t>1</w:t>
      </w:r>
      <w:r>
        <w:rPr>
          <w:spacing w:val="3"/>
          <w:w w:val="99"/>
          <w:position w:val="1"/>
        </w:rPr>
        <w:t>7</w:t>
      </w:r>
      <w:r>
        <w:rPr>
          <w:w w:val="99"/>
          <w:sz w:val="13"/>
        </w:rPr>
        <w:t>[42</w:t>
      </w:r>
      <w:r>
        <w:rPr>
          <w:spacing w:val="-1"/>
          <w:w w:val="99"/>
          <w:sz w:val="13"/>
        </w:rPr>
        <w:t>]</w:t>
      </w:r>
      <w:r>
        <w:rPr>
          <w:w w:val="99"/>
          <w:position w:val="1"/>
        </w:rPr>
        <w:t>).</w:t>
      </w:r>
      <w:r>
        <w:rPr>
          <w:spacing w:val="6"/>
          <w:position w:val="1"/>
        </w:rPr>
        <w:t> 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t</w:t>
      </w:r>
      <w:r>
        <w:rPr>
          <w:spacing w:val="4"/>
          <w:position w:val="1"/>
        </w:rPr>
        <w:t> 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3"/>
          <w:position w:val="1"/>
        </w:rPr>
        <w:t> </w:t>
      </w:r>
      <w:r>
        <w:rPr>
          <w:spacing w:val="-2"/>
          <w:w w:val="99"/>
          <w:position w:val="1"/>
        </w:rPr>
        <w:t>l</w:t>
      </w:r>
      <w:r>
        <w:rPr>
          <w:spacing w:val="1"/>
          <w:w w:val="99"/>
          <w:position w:val="1"/>
        </w:rPr>
        <w:t>e</w:t>
      </w:r>
      <w:r>
        <w:rPr>
          <w:spacing w:val="-2"/>
          <w:w w:val="99"/>
          <w:position w:val="1"/>
        </w:rPr>
        <w:t>v</w:t>
      </w:r>
      <w:r>
        <w:rPr>
          <w:spacing w:val="1"/>
          <w:w w:val="99"/>
          <w:position w:val="1"/>
        </w:rPr>
        <w:t>e</w:t>
      </w:r>
      <w:r>
        <w:rPr>
          <w:w w:val="99"/>
          <w:position w:val="1"/>
        </w:rPr>
        <w:t>l</w:t>
      </w:r>
      <w:r>
        <w:rPr>
          <w:spacing w:val="3"/>
          <w:position w:val="1"/>
        </w:rPr>
        <w:t> 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f</w:t>
      </w:r>
      <w:r>
        <w:rPr>
          <w:spacing w:val="5"/>
          <w:position w:val="1"/>
        </w:rPr>
        <w:t> </w:t>
      </w:r>
      <w:r>
        <w:rPr>
          <w:spacing w:val="-1"/>
          <w:w w:val="99"/>
          <w:position w:val="1"/>
        </w:rPr>
        <w:t>HE</w:t>
      </w:r>
      <w:r>
        <w:rPr>
          <w:w w:val="99"/>
          <w:position w:val="1"/>
        </w:rPr>
        <w:t>,</w:t>
      </w:r>
      <w:r>
        <w:rPr>
          <w:spacing w:val="4"/>
          <w:position w:val="1"/>
        </w:rPr>
        <w:t> </w:t>
      </w:r>
      <w:r>
        <w:rPr>
          <w:spacing w:val="1"/>
          <w:w w:val="99"/>
          <w:position w:val="1"/>
        </w:rPr>
        <w:t>M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E</w:t>
      </w:r>
      <w:r>
        <w:rPr>
          <w:spacing w:val="5"/>
          <w:position w:val="1"/>
        </w:rPr>
        <w:t> </w:t>
      </w:r>
      <w:r>
        <w:rPr>
          <w:spacing w:val="-1"/>
          <w:w w:val="99"/>
          <w:position w:val="1"/>
        </w:rPr>
        <w:t>a</w:t>
      </w:r>
      <w:r>
        <w:rPr>
          <w:spacing w:val="1"/>
          <w:w w:val="99"/>
          <w:position w:val="1"/>
        </w:rPr>
        <w:t>d</w:t>
      </w:r>
      <w:r>
        <w:rPr>
          <w:spacing w:val="-1"/>
          <w:w w:val="99"/>
          <w:position w:val="1"/>
        </w:rPr>
        <w:t>op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e</w:t>
      </w:r>
      <w:r>
        <w:rPr>
          <w:w w:val="99"/>
          <w:position w:val="1"/>
        </w:rPr>
        <w:t>d</w:t>
      </w:r>
      <w:r>
        <w:rPr>
          <w:spacing w:val="3"/>
          <w:position w:val="1"/>
        </w:rPr>
        <w:t> </w:t>
      </w:r>
      <w:r>
        <w:rPr>
          <w:spacing w:val="1"/>
          <w:w w:val="99"/>
          <w:position w:val="1"/>
        </w:rPr>
        <w:t>s</w:t>
      </w:r>
      <w:r>
        <w:rPr>
          <w:spacing w:val="-1"/>
          <w:w w:val="99"/>
          <w:position w:val="1"/>
        </w:rPr>
        <w:t>o</w:t>
      </w:r>
      <w:r>
        <w:rPr>
          <w:spacing w:val="1"/>
          <w:w w:val="99"/>
          <w:position w:val="1"/>
        </w:rPr>
        <w:t>f</w:t>
      </w:r>
      <w:r>
        <w:rPr>
          <w:w w:val="99"/>
          <w:position w:val="1"/>
        </w:rPr>
        <w:t>ter</w:t>
      </w:r>
      <w:r>
        <w:rPr>
          <w:spacing w:val="2"/>
          <w:position w:val="1"/>
        </w:rPr>
        <w:t> </w:t>
      </w:r>
      <w:r>
        <w:rPr>
          <w:spacing w:val="4"/>
          <w:w w:val="99"/>
          <w:position w:val="1"/>
        </w:rPr>
        <w:t>m</w:t>
      </w:r>
      <w:r>
        <w:rPr>
          <w:spacing w:val="-1"/>
          <w:w w:val="99"/>
          <w:position w:val="1"/>
        </w:rPr>
        <w:t>ea</w:t>
      </w:r>
      <w:r>
        <w:rPr>
          <w:spacing w:val="1"/>
          <w:w w:val="99"/>
          <w:position w:val="1"/>
        </w:rPr>
        <w:t>s</w:t>
      </w:r>
      <w:r>
        <w:rPr>
          <w:spacing w:val="-1"/>
          <w:w w:val="99"/>
          <w:position w:val="1"/>
        </w:rPr>
        <w:t>ure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, </w:t>
      </w:r>
      <w:r>
        <w:rPr/>
        <w:t>aiming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steer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information.</w:t>
      </w:r>
      <w:r>
        <w:rPr>
          <w:spacing w:val="-12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joint</w:t>
      </w:r>
      <w:r>
        <w:rPr>
          <w:spacing w:val="-8"/>
        </w:rPr>
        <w:t> </w:t>
      </w:r>
      <w:r>
        <w:rPr/>
        <w:t>initiative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Ministry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Labour,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Affairs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Family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partners, created a well-organised web page providing information from a graduate-tracking exercise.</w:t>
      </w:r>
      <w:r>
        <w:rPr>
          <w:spacing w:val="1"/>
        </w:rPr>
        <w:t> </w:t>
      </w:r>
      <w:r>
        <w:rPr/>
        <w:t>Currently, information on secondary and tertiary education graduates from 2018 is available on their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wage,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see</w:t>
      </w:r>
      <w:r>
        <w:rPr>
          <w:spacing w:val="-1"/>
        </w:rPr>
        <w:t> </w:t>
      </w:r>
      <w:hyperlink r:id="rId147">
        <w:r>
          <w:rPr>
            <w:color w:val="0000FF"/>
            <w:u w:val="single" w:color="0000FF"/>
          </w:rPr>
          <w:t>https://uplatnenie.sk/</w:t>
        </w:r>
        <w:r>
          <w:rPr/>
          <w:t>.</w:t>
        </w:r>
      </w:hyperlink>
    </w:p>
    <w:p>
      <w:pPr>
        <w:pStyle w:val="BodyText"/>
        <w:spacing w:line="271" w:lineRule="auto" w:before="122"/>
        <w:ind w:left="262" w:right="385"/>
        <w:jc w:val="both"/>
      </w:pPr>
      <w:r>
        <w:rPr/>
        <w:t>Another example of nudging towards labour-market-relevant programmes is the "Stabilisation loan"</w:t>
      </w:r>
      <w:r>
        <w:rPr>
          <w:spacing w:val="1"/>
        </w:rPr>
        <w:t> </w:t>
      </w:r>
      <w:r>
        <w:rPr>
          <w:spacing w:val="-1"/>
        </w:rPr>
        <w:t>provided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state</w:t>
      </w:r>
      <w:r>
        <w:rPr>
          <w:spacing w:val="-11"/>
        </w:rPr>
        <w:t> </w:t>
      </w:r>
      <w:r>
        <w:rPr>
          <w:spacing w:val="-1"/>
        </w:rPr>
        <w:t>fund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support</w:t>
      </w:r>
      <w:r>
        <w:rPr>
          <w:spacing w:val="-10"/>
        </w:rPr>
        <w:t> </w:t>
      </w:r>
      <w:r>
        <w:rPr/>
        <w:t>education.</w:t>
      </w:r>
      <w:r>
        <w:rPr>
          <w:spacing w:val="-10"/>
        </w:rPr>
        <w:t> </w:t>
      </w:r>
      <w:r>
        <w:rPr/>
        <w:t>Stabilisation</w:t>
      </w:r>
      <w:r>
        <w:rPr>
          <w:spacing w:val="-8"/>
        </w:rPr>
        <w:t> </w:t>
      </w:r>
      <w:r>
        <w:rPr/>
        <w:t>loans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cover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3"/>
        </w:rPr>
        <w:t> </w:t>
      </w:r>
      <w:r>
        <w:rPr/>
        <w:t>and</w:t>
      </w:r>
      <w:r>
        <w:rPr>
          <w:spacing w:val="1"/>
        </w:rPr>
        <w:t> </w:t>
      </w:r>
      <w:r>
        <w:rPr/>
        <w:t>living</w:t>
      </w:r>
      <w:r>
        <w:rPr>
          <w:spacing w:val="-9"/>
        </w:rPr>
        <w:t> </w:t>
      </w:r>
      <w:r>
        <w:rPr/>
        <w:t>costs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deciding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study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fields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MoE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high</w:t>
      </w:r>
      <w:r>
        <w:rPr>
          <w:spacing w:val="-8"/>
        </w:rPr>
        <w:t> </w:t>
      </w:r>
      <w:r>
        <w:rPr/>
        <w:t>demand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</w:t>
      </w:r>
      <w:r>
        <w:rPr>
          <w:spacing w:val="-5"/>
        </w:rPr>
        <w:t> </w:t>
      </w:r>
      <w:r>
        <w:rPr/>
        <w:t>labour</w:t>
      </w:r>
      <w:r>
        <w:rPr>
          <w:spacing w:val="-6"/>
        </w:rPr>
        <w:t> </w:t>
      </w:r>
      <w:r>
        <w:rPr/>
        <w:t>market.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cases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/>
        <w:t>individuals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/>
        <w:t>graduation</w:t>
      </w:r>
      <w:r>
        <w:rPr>
          <w:spacing w:val="-8"/>
        </w:rPr>
        <w:t> </w:t>
      </w:r>
      <w:r>
        <w:rPr/>
        <w:t>find</w:t>
      </w:r>
      <w:r>
        <w:rPr>
          <w:spacing w:val="-6"/>
        </w:rPr>
        <w:t> </w:t>
      </w:r>
      <w:r>
        <w:rPr/>
        <w:t>employment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field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study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112"/>
      </w:pPr>
      <w:r>
        <w:rPr>
          <w:position w:val="0"/>
        </w:rPr>
        <w:pict>
          <v:shape style="width:471.35pt;height:79.95pt;mso-position-horizontal-relative:char;mso-position-vertical-relative:line" type="#_x0000_t202" filled="true" fillcolor="#eeece1" stroked="true" strokeweight=".72003pt" strokecolor="#4e81bd">
            <w10:anchorlock/>
            <v:textbox inset="0,0,0,0">
              <w:txbxContent>
                <w:p>
                  <w:pPr>
                    <w:pStyle w:val="BodyText"/>
                    <w:spacing w:line="271" w:lineRule="auto" w:before="28"/>
                    <w:ind w:left="134" w:right="133"/>
                  </w:pPr>
                  <w:r>
                    <w:rPr/>
                    <w:t>in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Slovak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labour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market,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repay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loan.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information,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see</w:t>
                  </w:r>
                  <w:r>
                    <w:rPr>
                      <w:spacing w:val="1"/>
                    </w:rPr>
                    <w:t> </w:t>
                  </w:r>
                  <w:hyperlink r:id="rId148">
                    <w:r>
                      <w:rPr>
                        <w:color w:val="0000FF"/>
                        <w:u w:val="single" w:color="0000FF"/>
                      </w:rPr>
                      <w:t>https://www.stabilizacnepozicky.sk/</w:t>
                    </w:r>
                    <w:r>
                      <w:rPr/>
                      <w:t>.</w:t>
                    </w:r>
                  </w:hyperlink>
                </w:p>
                <w:p>
                  <w:pPr>
                    <w:spacing w:line="259" w:lineRule="auto" w:before="99"/>
                    <w:ind w:left="134" w:right="133" w:firstLine="0"/>
                    <w:jc w:val="left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Source:</w:t>
                  </w:r>
                  <w:r>
                    <w:rPr>
                      <w:rFonts w:ascii="Microsoft Sans Seri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OECD</w:t>
                  </w:r>
                  <w:r>
                    <w:rPr>
                      <w:rFonts w:ascii="Microsoft Sans Seri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(2020</w:t>
                  </w:r>
                  <w:r>
                    <w:rPr>
                      <w:rFonts w:ascii="Microsoft Sans Serif"/>
                      <w:w w:val="80"/>
                      <w:sz w:val="12"/>
                    </w:rPr>
                    <w:t>[4]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),</w:t>
                  </w:r>
                  <w:r>
                    <w:rPr>
                      <w:rFonts w:ascii="Microsoft Sans Seri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OECD Skills</w:t>
                  </w:r>
                  <w:r>
                    <w:rPr>
                      <w:rFonts w:ascii="Arial"/>
                      <w:i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Strategy</w:t>
                  </w:r>
                  <w:r>
                    <w:rPr>
                      <w:rFonts w:ascii="Arial"/>
                      <w:i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Slovak Republic: Assessment and</w:t>
                  </w:r>
                  <w:r>
                    <w:rPr>
                      <w:rFonts w:ascii="Arial"/>
                      <w:i/>
                      <w:spacing w:val="3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Recommendations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,</w:t>
                  </w:r>
                  <w:r>
                    <w:rPr>
                      <w:rFonts w:ascii="Microsoft Sans Serif"/>
                      <w:spacing w:val="37"/>
                      <w:w w:val="80"/>
                      <w:position w:val="1"/>
                      <w:sz w:val="18"/>
                    </w:rPr>
                    <w:t> </w:t>
                  </w:r>
                  <w:hyperlink r:id="rId149">
                    <w:r>
                      <w:rPr>
                        <w:rFonts w:ascii="Microsoft Sans Serif"/>
                        <w:color w:val="0000FF"/>
                        <w:w w:val="80"/>
                        <w:position w:val="1"/>
                        <w:sz w:val="18"/>
                        <w:u w:val="single" w:color="0000FF"/>
                      </w:rPr>
                      <w:t>https://dx.doi.org/10.1787/bb688e68</w:t>
                    </w:r>
                    <w:r>
                      <w:rPr>
                        <w:rFonts w:ascii="Microsoft Sans Serif"/>
                        <w:color w:val="0000FF"/>
                        <w:w w:val="80"/>
                        <w:position w:val="1"/>
                        <w:sz w:val="18"/>
                      </w:rPr>
                      <w:t>-</w:t>
                    </w:r>
                  </w:hyperlink>
                  <w:r>
                    <w:rPr>
                      <w:rFonts w:ascii="Microsoft Sans Serif"/>
                      <w:color w:val="0000F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hyperlink r:id="rId149">
                    <w:r>
                      <w:rPr>
                        <w:rFonts w:ascii="Microsoft Sans Serif"/>
                        <w:color w:val="0000FF"/>
                        <w:w w:val="90"/>
                        <w:sz w:val="18"/>
                        <w:u w:val="single" w:color="0000FF"/>
                      </w:rPr>
                      <w:t>en</w:t>
                    </w:r>
                    <w:r>
                      <w:rPr>
                        <w:rFonts w:ascii="Microsoft Sans Serif"/>
                        <w:w w:val="90"/>
                        <w:sz w:val="18"/>
                      </w:rPr>
                      <w:t>.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The Slovak Republic appears to be making limited use of targeted funding instruments, resorting instead</w:t>
      </w:r>
      <w:r>
        <w:rPr>
          <w:spacing w:val="1"/>
        </w:rPr>
        <w:t> </w:t>
      </w:r>
      <w:r>
        <w:rPr/>
        <w:t>to the funding formula as the main policy lever to influence institutional behaviour. Part of this approach</w:t>
      </w:r>
      <w:r>
        <w:rPr>
          <w:spacing w:val="1"/>
        </w:rPr>
        <w:t> </w:t>
      </w:r>
      <w:r>
        <w:rPr/>
        <w:t>might be explained by significant capacity issues – highlighted below in the area of allocating research</w:t>
      </w:r>
      <w:r>
        <w:rPr>
          <w:spacing w:val="1"/>
        </w:rPr>
        <w:t> </w:t>
      </w:r>
      <w:r>
        <w:rPr/>
        <w:t>funding. In addition, some stakeholders interviewed by the OECD highlighted that targeted funding could</w:t>
      </w:r>
      <w:r>
        <w:rPr>
          <w:spacing w:val="1"/>
        </w:rPr>
        <w:t> </w:t>
      </w:r>
      <w:r>
        <w:rPr/>
        <w:t>create</w:t>
      </w:r>
      <w:r>
        <w:rPr>
          <w:spacing w:val="-5"/>
        </w:rPr>
        <w:t> </w:t>
      </w:r>
      <w:r>
        <w:rPr/>
        <w:t>concerns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uneven</w:t>
      </w:r>
      <w:r>
        <w:rPr>
          <w:spacing w:val="-3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HEIs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allocation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transparent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funding</w:t>
      </w:r>
      <w:r>
        <w:rPr>
          <w:spacing w:val="-53"/>
        </w:rPr>
        <w:t> </w:t>
      </w:r>
      <w:r>
        <w:rPr/>
        <w:t>formula.</w:t>
      </w:r>
    </w:p>
    <w:p>
      <w:pPr>
        <w:pStyle w:val="BodyText"/>
        <w:spacing w:line="271" w:lineRule="auto" w:before="121"/>
        <w:ind w:left="183" w:right="305"/>
        <w:jc w:val="both"/>
      </w:pPr>
      <w:r>
        <w:rPr/>
        <w:t>Despite these challenges, there might be an opportunity for the Slovak Republic to pay special attention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sound</w:t>
      </w:r>
      <w:r>
        <w:rPr>
          <w:spacing w:val="-7"/>
        </w:rPr>
        <w:t> </w:t>
      </w:r>
      <w:r>
        <w:rPr/>
        <w:t>mechanisms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targeted</w:t>
      </w:r>
      <w:r>
        <w:rPr>
          <w:spacing w:val="-7"/>
        </w:rPr>
        <w:t> </w:t>
      </w:r>
      <w:r>
        <w:rPr/>
        <w:t>funding,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instrument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consider</w:t>
      </w:r>
      <w:r>
        <w:rPr>
          <w:spacing w:val="-6"/>
        </w:rPr>
        <w:t> </w:t>
      </w:r>
      <w:r>
        <w:rPr/>
        <w:t>in</w:t>
      </w:r>
      <w:r>
        <w:rPr>
          <w:spacing w:val="-53"/>
        </w:rPr>
        <w:t> </w:t>
      </w:r>
      <w:r>
        <w:rPr/>
        <w:t>light of the multiplicity of challenges the country faces in higher education. This would require minimising</w:t>
      </w:r>
      <w:r>
        <w:rPr>
          <w:spacing w:val="1"/>
        </w:rPr>
        <w:t> </w:t>
      </w:r>
      <w:r>
        <w:rPr/>
        <w:t>the administrative burden by connecting targeted funding, for instance, to institutional contracts, and by</w:t>
      </w:r>
      <w:r>
        <w:rPr>
          <w:spacing w:val="1"/>
        </w:rPr>
        <w:t> </w:t>
      </w:r>
      <w:r>
        <w:rPr/>
        <w:t>setting a high standard of transparency in the allocation of funds from the government to HEIs, as is</w:t>
      </w:r>
      <w:r>
        <w:rPr>
          <w:spacing w:val="1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done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formula.</w:t>
      </w:r>
    </w:p>
    <w:p>
      <w:pPr>
        <w:pStyle w:val="BodyText"/>
        <w:spacing w:before="4"/>
      </w:pPr>
    </w:p>
    <w:p>
      <w:pPr>
        <w:pStyle w:val="Heading8"/>
      </w:pPr>
      <w:bookmarkStart w:name="Student financial aid" w:id="132"/>
      <w:bookmarkEnd w:id="132"/>
      <w:r>
        <w:rPr>
          <w:b w:val="0"/>
        </w:rPr>
      </w:r>
      <w:r>
        <w:rPr/>
        <w:t>Student</w:t>
      </w:r>
      <w:r>
        <w:rPr>
          <w:spacing w:val="-8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aid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The Slovak Republic has some needs-based student aid programmes that focus on student loans rather</w:t>
      </w:r>
      <w:r>
        <w:rPr>
          <w:spacing w:val="1"/>
        </w:rPr>
        <w:t> </w:t>
      </w:r>
      <w:r>
        <w:rPr/>
        <w:t>than grants. While no comparative data is available on the share of higher education students receiving</w:t>
      </w:r>
      <w:r>
        <w:rPr>
          <w:spacing w:val="1"/>
        </w:rPr>
        <w:t> </w:t>
      </w:r>
      <w:r>
        <w:rPr>
          <w:w w:val="95"/>
        </w:rPr>
        <w:t>financial aid in the Slovak Republic, some stakeholders interviewed by the OECD suggested that a modest</w:t>
      </w:r>
      <w:r>
        <w:rPr>
          <w:spacing w:val="1"/>
          <w:w w:val="95"/>
        </w:rPr>
        <w:t> </w:t>
      </w:r>
      <w:r>
        <w:rPr/>
        <w:t>share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participate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aid</w:t>
      </w:r>
      <w:r>
        <w:rPr>
          <w:spacing w:val="-4"/>
        </w:rPr>
        <w:t> </w:t>
      </w:r>
      <w:r>
        <w:rPr/>
        <w:t>programmes.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concern</w:t>
      </w:r>
      <w:r>
        <w:rPr>
          <w:spacing w:val="-2"/>
        </w:rPr>
        <w:t> </w:t>
      </w:r>
      <w:r>
        <w:rPr/>
        <w:t>even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context</w:t>
      </w:r>
      <w:r>
        <w:rPr>
          <w:spacing w:val="-2"/>
        </w:rPr>
        <w:t> </w:t>
      </w:r>
      <w:r>
        <w:rPr/>
        <w:t>where</w:t>
      </w:r>
      <w:r>
        <w:rPr>
          <w:spacing w:val="-53"/>
        </w:rPr>
        <w:t> </w:t>
      </w:r>
      <w:r>
        <w:rPr/>
        <w:t>there are no tuition fees for students studying in Slovak-language programmes (that is, most domestic</w:t>
      </w:r>
      <w:r>
        <w:rPr>
          <w:spacing w:val="1"/>
        </w:rPr>
        <w:t> </w:t>
      </w:r>
      <w:r>
        <w:rPr/>
        <w:t>students), because the indirect costs of attending higher education can be high. These include, for</w:t>
      </w:r>
      <w:r>
        <w:rPr>
          <w:spacing w:val="1"/>
        </w:rPr>
        <w:t> </w:t>
      </w:r>
      <w:r>
        <w:rPr/>
        <w:t>instance, costs for housing, transportation or learning equipment – for example, digital devices in the</w:t>
      </w:r>
      <w:r>
        <w:rPr>
          <w:spacing w:val="1"/>
        </w:rPr>
        <w:t> </w:t>
      </w:r>
      <w:r>
        <w:rPr/>
        <w:t>context of remote learning. The opportunity cost of higher education can also be significant as Slovak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engage in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programmes.</w:t>
      </w:r>
    </w:p>
    <w:p>
      <w:pPr>
        <w:pStyle w:val="BodyText"/>
        <w:spacing w:line="271" w:lineRule="auto" w:before="122"/>
        <w:ind w:left="183" w:right="299"/>
        <w:jc w:val="both"/>
      </w:pPr>
      <w:r>
        <w:rPr/>
        <w:t>Financial</w:t>
      </w:r>
      <w:r>
        <w:rPr>
          <w:spacing w:val="-10"/>
        </w:rPr>
        <w:t> </w:t>
      </w:r>
      <w:r>
        <w:rPr/>
        <w:t>aid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also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encourage</w:t>
      </w:r>
      <w:r>
        <w:rPr>
          <w:spacing w:val="-9"/>
        </w:rPr>
        <w:t> </w:t>
      </w:r>
      <w:r>
        <w:rPr/>
        <w:t>study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programmes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equip</w:t>
      </w:r>
      <w:r>
        <w:rPr>
          <w:spacing w:val="-12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 in demand in the labour market. Stabilisation loans, described earlier, aim to support access to in-</w:t>
      </w:r>
      <w:r>
        <w:rPr>
          <w:spacing w:val="1"/>
        </w:rPr>
        <w:t> </w:t>
      </w:r>
      <w:r>
        <w:rPr/>
        <w:t>demand study fields, but the extent to which these loans are available and taken up by students is</w:t>
      </w:r>
      <w:r>
        <w:rPr>
          <w:spacing w:val="1"/>
        </w:rPr>
        <w:t> </w:t>
      </w:r>
      <w:r>
        <w:rPr/>
        <w:t>unknown,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which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effective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encouraging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take-up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in-demand</w:t>
      </w:r>
      <w:r>
        <w:rPr>
          <w:spacing w:val="-53"/>
        </w:rPr>
        <w:t> </w:t>
      </w:r>
      <w:r>
        <w:rPr/>
        <w:t>study fields. There is an opportunity for the Slovak government to consider evaluating efforts – both</w:t>
      </w:r>
      <w:r>
        <w:rPr>
          <w:spacing w:val="1"/>
        </w:rPr>
        <w:t> </w:t>
      </w:r>
      <w:r>
        <w:rPr/>
        <w:t>financial and non-financial – to inform students about (current and future) labour market needs and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pursuing</w:t>
      </w:r>
      <w:r>
        <w:rPr>
          <w:spacing w:val="1"/>
        </w:rPr>
        <w:t> </w:t>
      </w:r>
      <w:r>
        <w:rPr/>
        <w:t>in-demand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information-based initiatives have been developed, as illustrated in </w:t>
      </w:r>
      <w:hyperlink w:history="true" w:anchor="_bookmark47">
        <w:r>
          <w:rPr/>
          <w:t>Box 3.5, </w:t>
        </w:r>
      </w:hyperlink>
      <w:r>
        <w:rPr/>
        <w:t>but their reach and impact is</w:t>
      </w:r>
      <w:r>
        <w:rPr>
          <w:spacing w:val="1"/>
        </w:rPr>
        <w:t> </w:t>
      </w:r>
      <w:r>
        <w:rPr/>
        <w:t>unclear.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</w:pPr>
      <w:bookmarkStart w:name="Relevant international experience" w:id="133"/>
      <w:bookmarkEnd w:id="133"/>
      <w:r>
        <w:rPr>
          <w:b w:val="0"/>
          <w:i w:val="0"/>
        </w:rPr>
      </w:r>
      <w:r>
        <w:rPr/>
        <w:t>Relevant</w:t>
      </w:r>
      <w:r>
        <w:rPr>
          <w:spacing w:val="-8"/>
        </w:rPr>
        <w:t> </w:t>
      </w:r>
      <w:r>
        <w:rPr/>
        <w:t>international</w:t>
      </w:r>
      <w:r>
        <w:rPr>
          <w:spacing w:val="-10"/>
        </w:rPr>
        <w:t> </w:t>
      </w:r>
      <w:r>
        <w:rPr/>
        <w:t>experience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71" w:lineRule="auto"/>
        <w:ind w:left="183" w:right="306"/>
        <w:jc w:val="both"/>
      </w:pPr>
      <w:r>
        <w:rPr/>
        <w:t>The rapid expansion of higher education systems in OECD countries over recent decades has led to</w:t>
      </w:r>
      <w:r>
        <w:rPr>
          <w:spacing w:val="1"/>
        </w:rPr>
        <w:t> </w:t>
      </w:r>
      <w:r>
        <w:rPr/>
        <w:t>greater investments from both governments and individuals. Moreover, between 1995 and 2005, the</w:t>
      </w:r>
      <w:r>
        <w:rPr>
          <w:spacing w:val="1"/>
        </w:rPr>
        <w:t> </w:t>
      </w:r>
      <w:r>
        <w:rPr/>
        <w:t>average expenditure per student across 13 OECD countries doubled, after taking inflation into account</w:t>
      </w:r>
      <w:r>
        <w:rPr>
          <w:spacing w:val="1"/>
        </w:rPr>
        <w:t> </w:t>
      </w:r>
      <w:r>
        <w:rPr>
          <w:position w:val="1"/>
        </w:rPr>
        <w:t>(OECD, 2020</w:t>
      </w:r>
      <w:r>
        <w:rPr>
          <w:sz w:val="13"/>
        </w:rPr>
        <w:t>[32]</w:t>
      </w:r>
      <w:r>
        <w:rPr>
          <w:position w:val="1"/>
        </w:rPr>
        <w:t>). While countries have different approaches to who should bear the cost of higher</w:t>
      </w:r>
      <w:r>
        <w:rPr>
          <w:spacing w:val="1"/>
          <w:position w:val="1"/>
        </w:rPr>
        <w:t> </w:t>
      </w:r>
      <w:r>
        <w:rPr/>
        <w:t>education, governments across OECD countries have developed increasingly sophisticated funding</w:t>
      </w:r>
      <w:r>
        <w:rPr>
          <w:spacing w:val="1"/>
        </w:rPr>
        <w:t> </w:t>
      </w:r>
      <w:r>
        <w:rPr/>
        <w:t>instruments to ensure their growing investments deliver results – in particular, increased accessibility,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 equity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2"/>
        </w:rPr>
        <w:t> </w:t>
      </w:r>
      <w:r>
        <w:rPr/>
        <w:t>education.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3"/>
        <w:jc w:val="both"/>
      </w:pPr>
      <w:r>
        <w:rPr/>
        <w:t>Denmark provides an example of a country that has continued to shift the role of performance measures</w:t>
      </w:r>
      <w:r>
        <w:rPr>
          <w:spacing w:val="1"/>
        </w:rPr>
        <w:t> </w:t>
      </w:r>
      <w:r>
        <w:rPr/>
        <w:t>in its funding model while creating a system that is more collaborative and tailored to individual HEIs (de</w:t>
      </w:r>
      <w:r>
        <w:rPr>
          <w:spacing w:val="1"/>
        </w:rPr>
        <w:t> </w:t>
      </w:r>
      <w:r>
        <w:rPr>
          <w:position w:val="1"/>
        </w:rPr>
        <w:t>Boer</w:t>
      </w:r>
      <w:r>
        <w:rPr>
          <w:spacing w:val="-5"/>
          <w:position w:val="1"/>
        </w:rPr>
        <w:t> </w:t>
      </w:r>
      <w:r>
        <w:rPr>
          <w:position w:val="1"/>
        </w:rPr>
        <w:t>et</w:t>
      </w:r>
      <w:r>
        <w:rPr>
          <w:spacing w:val="-3"/>
          <w:position w:val="1"/>
        </w:rPr>
        <w:t> </w:t>
      </w:r>
      <w:r>
        <w:rPr>
          <w:position w:val="1"/>
        </w:rPr>
        <w:t>al.,</w:t>
      </w:r>
      <w:r>
        <w:rPr>
          <w:spacing w:val="-5"/>
          <w:position w:val="1"/>
        </w:rPr>
        <w:t> </w:t>
      </w:r>
      <w:r>
        <w:rPr>
          <w:position w:val="1"/>
        </w:rPr>
        <w:t>2015</w:t>
      </w:r>
      <w:r>
        <w:rPr>
          <w:sz w:val="13"/>
        </w:rPr>
        <w:t>[43]</w:t>
      </w:r>
      <w:r>
        <w:rPr>
          <w:position w:val="1"/>
        </w:rPr>
        <w:t>).</w:t>
      </w:r>
      <w:r>
        <w:rPr>
          <w:spacing w:val="-7"/>
          <w:position w:val="1"/>
        </w:rPr>
        <w:t> </w:t>
      </w:r>
      <w:r>
        <w:rPr>
          <w:position w:val="1"/>
        </w:rPr>
        <w:t>The</w:t>
      </w:r>
      <w:r>
        <w:rPr>
          <w:spacing w:val="-8"/>
          <w:position w:val="1"/>
        </w:rPr>
        <w:t> </w:t>
      </w:r>
      <w:r>
        <w:rPr>
          <w:position w:val="1"/>
        </w:rPr>
        <w:t>Flemish</w:t>
      </w:r>
      <w:r>
        <w:rPr>
          <w:spacing w:val="-8"/>
          <w:position w:val="1"/>
        </w:rPr>
        <w:t> </w:t>
      </w:r>
      <w:r>
        <w:rPr>
          <w:position w:val="1"/>
        </w:rPr>
        <w:t>Community</w:t>
      </w:r>
      <w:r>
        <w:rPr>
          <w:spacing w:val="-8"/>
          <w:position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Belgium</w:t>
      </w:r>
      <w:r>
        <w:rPr>
          <w:spacing w:val="-3"/>
          <w:position w:val="1"/>
        </w:rPr>
        <w:t> </w:t>
      </w:r>
      <w:r>
        <w:rPr>
          <w:position w:val="1"/>
        </w:rPr>
        <w:t>provides</w:t>
      </w:r>
      <w:r>
        <w:rPr>
          <w:spacing w:val="-4"/>
          <w:position w:val="1"/>
        </w:rPr>
        <w:t> </w:t>
      </w:r>
      <w:r>
        <w:rPr>
          <w:position w:val="1"/>
        </w:rPr>
        <w:t>examples</w:t>
      </w:r>
      <w:r>
        <w:rPr>
          <w:spacing w:val="-7"/>
          <w:position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an</w:t>
      </w:r>
      <w:r>
        <w:rPr>
          <w:spacing w:val="-4"/>
          <w:position w:val="1"/>
        </w:rPr>
        <w:t> </w:t>
      </w:r>
      <w:r>
        <w:rPr>
          <w:position w:val="1"/>
        </w:rPr>
        <w:t>innovative</w:t>
      </w:r>
      <w:r>
        <w:rPr>
          <w:spacing w:val="-6"/>
          <w:position w:val="1"/>
        </w:rPr>
        <w:t> </w:t>
      </w:r>
      <w:r>
        <w:rPr>
          <w:position w:val="1"/>
        </w:rPr>
        <w:t>approach</w:t>
      </w:r>
      <w:r>
        <w:rPr>
          <w:spacing w:val="-6"/>
          <w:position w:val="1"/>
        </w:rPr>
        <w:t> </w:t>
      </w:r>
      <w:r>
        <w:rPr>
          <w:position w:val="1"/>
        </w:rPr>
        <w:t>to</w:t>
      </w:r>
      <w:r>
        <w:rPr>
          <w:spacing w:val="1"/>
          <w:position w:val="1"/>
        </w:rPr>
        <w:t> </w:t>
      </w:r>
      <w:r>
        <w:rPr>
          <w:spacing w:val="-1"/>
        </w:rPr>
        <w:t>funding</w:t>
      </w:r>
      <w:r>
        <w:rPr>
          <w:spacing w:val="-9"/>
        </w:rPr>
        <w:t> </w:t>
      </w:r>
      <w:r>
        <w:rPr>
          <w:spacing w:val="-1"/>
        </w:rPr>
        <w:t>research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innovation,</w:t>
      </w:r>
      <w:r>
        <w:rPr>
          <w:spacing w:val="-8"/>
        </w:rPr>
        <w:t> </w:t>
      </w:r>
      <w:r>
        <w:rPr/>
        <w:t>another</w:t>
      </w:r>
      <w:r>
        <w:rPr>
          <w:spacing w:val="-6"/>
        </w:rPr>
        <w:t> </w:t>
      </w:r>
      <w:r>
        <w:rPr/>
        <w:t>key</w:t>
      </w:r>
      <w:r>
        <w:rPr>
          <w:spacing w:val="-14"/>
        </w:rPr>
        <w:t> </w:t>
      </w:r>
      <w:r>
        <w:rPr/>
        <w:t>area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interest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Slovak</w:t>
      </w:r>
      <w:r>
        <w:rPr>
          <w:spacing w:val="7"/>
        </w:rPr>
        <w:t> </w:t>
      </w:r>
      <w:r>
        <w:rPr/>
        <w:t>Republic..</w:t>
      </w:r>
      <w:r>
        <w:rPr>
          <w:spacing w:val="-9"/>
        </w:rPr>
        <w:t> </w:t>
      </w:r>
      <w:r>
        <w:rPr/>
        <w:t>France</w:t>
      </w:r>
      <w:r>
        <w:rPr>
          <w:spacing w:val="-8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 with respect to using a combination of competitive funding and legislative requirements to</w:t>
      </w:r>
      <w:r>
        <w:rPr>
          <w:spacing w:val="1"/>
        </w:rPr>
        <w:t> </w:t>
      </w:r>
      <w:r>
        <w:rPr/>
        <w:t>consolidate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network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HEIs</w:t>
      </w:r>
      <w:r>
        <w:rPr>
          <w:spacing w:val="2"/>
        </w:rPr>
        <w:t> </w:t>
      </w:r>
      <w:r>
        <w:rPr/>
        <w:t>– another</w:t>
      </w:r>
      <w:r>
        <w:rPr>
          <w:spacing w:val="-1"/>
        </w:rPr>
        <w:t> </w:t>
      </w:r>
      <w:r>
        <w:rPr/>
        <w:t>area</w:t>
      </w:r>
      <w:r>
        <w:rPr>
          <w:spacing w:val="-3"/>
        </w:rPr>
        <w:t> </w:t>
      </w:r>
      <w:r>
        <w:rPr/>
        <w:t>of interest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Slovak</w:t>
      </w:r>
      <w:r>
        <w:rPr>
          <w:spacing w:val="5"/>
        </w:rPr>
        <w:t> </w:t>
      </w:r>
      <w:r>
        <w:rPr/>
        <w:t>Republic.</w:t>
      </w:r>
    </w:p>
    <w:p>
      <w:pPr>
        <w:pStyle w:val="BodyText"/>
        <w:spacing w:before="1"/>
      </w:pPr>
    </w:p>
    <w:p>
      <w:pPr>
        <w:pStyle w:val="Heading7"/>
      </w:pPr>
      <w:bookmarkStart w:name="Denmark: Using performance-based funding" w:id="134"/>
      <w:bookmarkEnd w:id="134"/>
      <w:r>
        <w:rPr>
          <w:i w:val="0"/>
        </w:rPr>
      </w:r>
      <w:r>
        <w:rPr>
          <w:color w:val="616161"/>
        </w:rPr>
        <w:t>Denmark:</w:t>
      </w:r>
      <w:r>
        <w:rPr>
          <w:color w:val="616161"/>
          <w:spacing w:val="-3"/>
        </w:rPr>
        <w:t> </w:t>
      </w:r>
      <w:r>
        <w:rPr>
          <w:color w:val="616161"/>
        </w:rPr>
        <w:t>Using</w:t>
      </w:r>
      <w:r>
        <w:rPr>
          <w:color w:val="616161"/>
          <w:spacing w:val="-4"/>
        </w:rPr>
        <w:t> </w:t>
      </w:r>
      <w:r>
        <w:rPr>
          <w:color w:val="616161"/>
        </w:rPr>
        <w:t>performance-based</w:t>
      </w:r>
      <w:r>
        <w:rPr>
          <w:color w:val="616161"/>
          <w:spacing w:val="-6"/>
        </w:rPr>
        <w:t> </w:t>
      </w:r>
      <w:r>
        <w:rPr>
          <w:color w:val="616161"/>
        </w:rPr>
        <w:t>funding</w:t>
      </w:r>
      <w:r>
        <w:rPr>
          <w:color w:val="616161"/>
          <w:spacing w:val="-5"/>
        </w:rPr>
        <w:t> </w:t>
      </w:r>
      <w:r>
        <w:rPr>
          <w:color w:val="616161"/>
        </w:rPr>
        <w:t>and</w:t>
      </w:r>
      <w:r>
        <w:rPr>
          <w:color w:val="616161"/>
          <w:spacing w:val="-8"/>
        </w:rPr>
        <w:t> </w:t>
      </w:r>
      <w:r>
        <w:rPr>
          <w:color w:val="616161"/>
        </w:rPr>
        <w:t>strategic</w:t>
      </w:r>
      <w:r>
        <w:rPr>
          <w:color w:val="616161"/>
          <w:spacing w:val="-6"/>
        </w:rPr>
        <w:t> </w:t>
      </w:r>
      <w:r>
        <w:rPr>
          <w:color w:val="616161"/>
        </w:rPr>
        <w:t>framework</w:t>
      </w:r>
      <w:r>
        <w:rPr>
          <w:color w:val="616161"/>
          <w:spacing w:val="-5"/>
        </w:rPr>
        <w:t> </w:t>
      </w:r>
      <w:r>
        <w:rPr>
          <w:color w:val="616161"/>
        </w:rPr>
        <w:t>contracts</w:t>
      </w:r>
    </w:p>
    <w:p>
      <w:pPr>
        <w:pStyle w:val="BodyText"/>
        <w:spacing w:line="271" w:lineRule="auto" w:before="212"/>
        <w:ind w:left="183" w:right="302"/>
        <w:jc w:val="both"/>
      </w:pPr>
      <w:r>
        <w:rPr>
          <w:rFonts w:ascii="Arial" w:hAnsi="Arial"/>
          <w:b/>
        </w:rPr>
        <w:t>Denmark</w:t>
      </w:r>
      <w:r>
        <w:rPr>
          <w:rFonts w:ascii="Arial" w:hAnsi="Arial"/>
          <w:b/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long</w:t>
      </w:r>
      <w:r>
        <w:rPr>
          <w:spacing w:val="-7"/>
        </w:rPr>
        <w:t> </w:t>
      </w:r>
      <w:r>
        <w:rPr/>
        <w:t>history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performance-based</w:t>
      </w:r>
      <w:r>
        <w:rPr>
          <w:spacing w:val="-7"/>
        </w:rPr>
        <w:t> </w:t>
      </w:r>
      <w:r>
        <w:rPr/>
        <w:t>funding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education,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shifts</w:t>
      </w:r>
      <w:r>
        <w:rPr>
          <w:spacing w:val="-5"/>
        </w:rPr>
        <w:t> </w:t>
      </w:r>
      <w:r>
        <w:rPr/>
        <w:t>over</w:t>
      </w:r>
      <w:r>
        <w:rPr>
          <w:spacing w:val="1"/>
        </w:rPr>
        <w:t> </w:t>
      </w:r>
      <w:r>
        <w:rPr/>
        <w:t>time that present lessons learned. Prior to 2019, </w:t>
      </w:r>
      <w:r>
        <w:rPr>
          <w:rFonts w:ascii="Arial" w:hAnsi="Arial"/>
          <w:b/>
        </w:rPr>
        <w:t>performance-based funding (PBF) for teaching </w:t>
      </w:r>
      <w:r>
        <w:rPr/>
        <w:t>for</w:t>
      </w:r>
      <w:r>
        <w:rPr>
          <w:spacing w:val="1"/>
        </w:rPr>
        <w:t> </w:t>
      </w:r>
      <w:r>
        <w:rPr/>
        <w:t>institutions was comprised of two key components. First, a “taximeter scheme” of funding (now renamed</w:t>
      </w:r>
      <w:r>
        <w:rPr>
          <w:spacing w:val="1"/>
        </w:rPr>
        <w:t> </w:t>
      </w:r>
      <w:r>
        <w:rPr/>
        <w:t>but still operational), and second, a “completion bonus”, which has since been discontinued (the bonus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complete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degree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prescribed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plus</w:t>
      </w:r>
      <w:r>
        <w:rPr>
          <w:spacing w:val="-2"/>
        </w:rPr>
        <w:t> </w:t>
      </w:r>
      <w:r>
        <w:rPr/>
        <w:t>one year).</w:t>
      </w:r>
    </w:p>
    <w:p>
      <w:pPr>
        <w:pStyle w:val="BodyText"/>
        <w:spacing w:line="271" w:lineRule="auto" w:before="125"/>
        <w:ind w:left="183" w:right="303"/>
        <w:jc w:val="both"/>
      </w:pPr>
      <w:r>
        <w:rPr/>
        <w:t>The taximeter scheme is based on HEI performance in terms of student examination completion – each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elicits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“fee”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funds.</w:t>
      </w:r>
      <w:r>
        <w:rPr>
          <w:spacing w:val="1"/>
        </w:rPr>
        <w:t> </w:t>
      </w:r>
      <w:r>
        <w:rPr/>
        <w:t>Typically,</w:t>
      </w:r>
      <w:r>
        <w:rPr>
          <w:spacing w:val="1"/>
        </w:rPr>
        <w:t> </w:t>
      </w:r>
      <w:r>
        <w:rPr/>
        <w:t>universities</w:t>
      </w:r>
      <w:r>
        <w:rPr>
          <w:spacing w:val="-11"/>
        </w:rPr>
        <w:t> </w:t>
      </w:r>
      <w:r>
        <w:rPr/>
        <w:t>can</w:t>
      </w:r>
      <w:r>
        <w:rPr>
          <w:spacing w:val="-12"/>
        </w:rPr>
        <w:t> </w:t>
      </w:r>
      <w:r>
        <w:rPr/>
        <w:t>collect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greater</w:t>
      </w:r>
      <w:r>
        <w:rPr>
          <w:spacing w:val="-11"/>
        </w:rPr>
        <w:t> </w:t>
      </w:r>
      <w:r>
        <w:rPr/>
        <w:t>per-student</w:t>
      </w:r>
      <w:r>
        <w:rPr>
          <w:spacing w:val="-11"/>
        </w:rPr>
        <w:t> </w:t>
      </w:r>
      <w:r>
        <w:rPr/>
        <w:t>fee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STEM</w:t>
      </w:r>
      <w:r>
        <w:rPr>
          <w:spacing w:val="-11"/>
        </w:rPr>
        <w:t> </w:t>
      </w:r>
      <w:r>
        <w:rPr/>
        <w:t>student</w:t>
      </w:r>
      <w:r>
        <w:rPr>
          <w:spacing w:val="-9"/>
        </w:rPr>
        <w:t> </w:t>
      </w:r>
      <w:r>
        <w:rPr/>
        <w:t>exam</w:t>
      </w:r>
      <w:r>
        <w:rPr>
          <w:spacing w:val="-8"/>
        </w:rPr>
        <w:t> </w:t>
      </w:r>
      <w:r>
        <w:rPr/>
        <w:t>completions,</w:t>
      </w:r>
      <w:r>
        <w:rPr>
          <w:spacing w:val="-11"/>
        </w:rPr>
        <w:t> </w:t>
      </w:r>
      <w:r>
        <w:rPr/>
        <w:t>with</w:t>
      </w:r>
      <w:r>
        <w:rPr>
          <w:spacing w:val="-13"/>
        </w:rPr>
        <w:t> </w:t>
      </w:r>
      <w:r>
        <w:rPr/>
        <w:t>social</w:t>
      </w:r>
      <w:r>
        <w:rPr>
          <w:spacing w:val="-12"/>
        </w:rPr>
        <w:t> </w:t>
      </w:r>
      <w:r>
        <w:rPr/>
        <w:t>sciences</w:t>
      </w:r>
      <w:r>
        <w:rPr>
          <w:spacing w:val="1"/>
        </w:rPr>
        <w:t> </w:t>
      </w:r>
      <w:r>
        <w:rPr>
          <w:position w:val="1"/>
        </w:rPr>
        <w:t>and humanities providing a smaller one (Danish Ministry of Higher Education and Science, 2019</w:t>
      </w:r>
      <w:r>
        <w:rPr>
          <w:sz w:val="13"/>
        </w:rPr>
        <w:t>[44]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/>
        <w:t>Through this mechanism, the government is able to ensure that varying programme costs are accounted</w:t>
      </w:r>
      <w:r>
        <w:rPr>
          <w:spacing w:val="1"/>
        </w:rPr>
        <w:t> </w:t>
      </w:r>
      <w:r>
        <w:rPr/>
        <w:t>for in funding provisions, and as a result, incentivises institutions in delivering a mixture of different</w:t>
      </w:r>
      <w:r>
        <w:rPr>
          <w:spacing w:val="1"/>
        </w:rPr>
        <w:t> </w:t>
      </w:r>
      <w:r>
        <w:rPr/>
        <w:t>programme subjects. For courses that are evaluated as having poor labour market performance, a cap is</w:t>
      </w:r>
      <w:r>
        <w:rPr>
          <w:spacing w:val="-53"/>
        </w:rPr>
        <w:t> </w:t>
      </w:r>
      <w:r>
        <w:rPr>
          <w:position w:val="1"/>
        </w:rPr>
        <w:t>placed</w:t>
      </w:r>
      <w:r>
        <w:rPr>
          <w:spacing w:val="-2"/>
          <w:position w:val="1"/>
        </w:rPr>
        <w:t> </w:t>
      </w:r>
      <w:r>
        <w:rPr>
          <w:position w:val="1"/>
        </w:rPr>
        <w:t>on</w:t>
      </w:r>
      <w:r>
        <w:rPr>
          <w:spacing w:val="1"/>
          <w:position w:val="1"/>
        </w:rPr>
        <w:t> </w:t>
      </w:r>
      <w:r>
        <w:rPr>
          <w:position w:val="1"/>
        </w:rPr>
        <w:t>funding (OECD,</w:t>
      </w:r>
      <w:r>
        <w:rPr>
          <w:spacing w:val="1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[41]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As of 2019, the completion bonus has been replaced with three new funding streams: basic funding,</w:t>
      </w:r>
      <w:r>
        <w:rPr>
          <w:spacing w:val="1"/>
        </w:rPr>
        <w:t> </w:t>
      </w:r>
      <w:r>
        <w:rPr/>
        <w:t>results-based grants and quality funds. In the new funding model, taximeter funding (now termed an</w:t>
      </w:r>
      <w:r>
        <w:rPr>
          <w:spacing w:val="1"/>
        </w:rPr>
        <w:t> </w:t>
      </w:r>
      <w:r>
        <w:rPr/>
        <w:t>“activity grant”, post 2019) accounts for 67.5% of all funding, while the remaining 32.5% of funding is</w:t>
      </w:r>
      <w:r>
        <w:rPr>
          <w:spacing w:val="1"/>
        </w:rPr>
        <w:t> </w:t>
      </w:r>
      <w:r>
        <w:rPr/>
        <w:t>allocated as follows: basic funding (25%); results-based grants (7.5%); quality funds (&lt;1%). The Results-</w:t>
      </w:r>
      <w:r>
        <w:rPr>
          <w:spacing w:val="-53"/>
        </w:rPr>
        <w:t> </w:t>
      </w:r>
      <w:r>
        <w:rPr/>
        <w:t>Based Grant is calculated based on how universities have performed on two indicators: duration of study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graduate</w:t>
      </w:r>
      <w:r>
        <w:rPr>
          <w:spacing w:val="-13"/>
        </w:rPr>
        <w:t> </w:t>
      </w:r>
      <w:r>
        <w:rPr>
          <w:spacing w:val="-1"/>
        </w:rPr>
        <w:t>employment.</w:t>
      </w:r>
      <w:r>
        <w:rPr>
          <w:spacing w:val="-13"/>
        </w:rPr>
        <w:t> </w:t>
      </w:r>
      <w:r>
        <w:rPr>
          <w:spacing w:val="-1"/>
        </w:rPr>
        <w:t>Any</w:t>
      </w:r>
      <w:r>
        <w:rPr>
          <w:spacing w:val="-18"/>
        </w:rPr>
        <w:t> </w:t>
      </w:r>
      <w:r>
        <w:rPr>
          <w:spacing w:val="-1"/>
        </w:rPr>
        <w:t>funds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>
          <w:spacing w:val="-1"/>
        </w:rPr>
        <w:t>remain</w:t>
      </w:r>
      <w:r>
        <w:rPr>
          <w:spacing w:val="-12"/>
        </w:rPr>
        <w:t> </w:t>
      </w:r>
      <w:r>
        <w:rPr>
          <w:spacing w:val="-1"/>
        </w:rPr>
        <w:t>after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allocation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results-based</w:t>
      </w:r>
      <w:r>
        <w:rPr>
          <w:spacing w:val="-13"/>
        </w:rPr>
        <w:t> </w:t>
      </w:r>
      <w:r>
        <w:rPr/>
        <w:t>grants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pooled</w:t>
      </w:r>
      <w:r>
        <w:rPr>
          <w:spacing w:val="1"/>
        </w:rPr>
        <w:t> </w:t>
      </w:r>
      <w:r>
        <w:rPr/>
        <w:t>into the quality fund and awarded via quality grants – designed to “support specific quality initiatives”</w:t>
      </w:r>
      <w:r>
        <w:rPr>
          <w:spacing w:val="1"/>
        </w:rPr>
        <w:t> </w:t>
      </w:r>
      <w:r>
        <w:rPr>
          <w:position w:val="1"/>
        </w:rPr>
        <w:t>outlined within strategic framework contracts (Danish Ministry of Higher Education and Science, 2019</w:t>
      </w:r>
      <w:r>
        <w:rPr>
          <w:sz w:val="13"/>
        </w:rPr>
        <w:t>[44]</w:t>
      </w:r>
      <w:r>
        <w:rPr>
          <w:position w:val="1"/>
        </w:rPr>
        <w:t>;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Adam,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2020</w:t>
      </w:r>
      <w:r>
        <w:rPr>
          <w:spacing w:val="-1"/>
          <w:sz w:val="13"/>
        </w:rPr>
        <w:t>[45]</w:t>
      </w:r>
      <w:r>
        <w:rPr>
          <w:spacing w:val="-1"/>
          <w:position w:val="1"/>
        </w:rPr>
        <w:t>).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Denmark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has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also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introduced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some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PBF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elements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within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basic</w:t>
      </w:r>
      <w:r>
        <w:rPr>
          <w:spacing w:val="-9"/>
          <w:position w:val="1"/>
        </w:rPr>
        <w:t> </w:t>
      </w:r>
      <w:r>
        <w:rPr>
          <w:position w:val="1"/>
        </w:rPr>
        <w:t>funding</w:t>
      </w:r>
      <w:r>
        <w:rPr>
          <w:spacing w:val="-11"/>
          <w:position w:val="1"/>
        </w:rPr>
        <w:t> </w:t>
      </w:r>
      <w:r>
        <w:rPr>
          <w:position w:val="1"/>
        </w:rPr>
        <w:t>envelope</w:t>
      </w:r>
      <w:r>
        <w:rPr>
          <w:spacing w:val="-10"/>
          <w:position w:val="1"/>
        </w:rPr>
        <w:t> </w:t>
      </w:r>
      <w:r>
        <w:rPr>
          <w:position w:val="1"/>
        </w:rPr>
        <w:t>itself:</w:t>
      </w:r>
      <w:r>
        <w:rPr>
          <w:spacing w:val="1"/>
          <w:position w:val="1"/>
        </w:rPr>
        <w:t> </w:t>
      </w:r>
      <w:r>
        <w:rPr/>
        <w:t>5% of Basic Funding is dependent on the “quality achieved”, as determined by the outcomes of the</w:t>
      </w:r>
      <w:r>
        <w:rPr>
          <w:spacing w:val="1"/>
        </w:rPr>
        <w:t> </w:t>
      </w:r>
      <w:r>
        <w:rPr/>
        <w:t>“Learning Barometer”. A further 5% of Basic Funding is conditional on the achievement of strategic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included in the</w:t>
      </w:r>
      <w:r>
        <w:rPr>
          <w:spacing w:val="-1"/>
        </w:rPr>
        <w:t> </w:t>
      </w:r>
      <w:r>
        <w:rPr/>
        <w:t>strategic</w:t>
      </w:r>
      <w:r>
        <w:rPr>
          <w:spacing w:val="3"/>
        </w:rPr>
        <w:t> </w:t>
      </w:r>
      <w:r>
        <w:rPr/>
        <w:t>framework</w:t>
      </w:r>
      <w:r>
        <w:rPr>
          <w:spacing w:val="3"/>
        </w:rPr>
        <w:t> </w:t>
      </w:r>
      <w:r>
        <w:rPr/>
        <w:t>contracts.</w:t>
      </w:r>
    </w:p>
    <w:p>
      <w:pPr>
        <w:pStyle w:val="BodyText"/>
        <w:spacing w:line="271" w:lineRule="auto" w:before="119"/>
        <w:ind w:left="183" w:right="300"/>
        <w:jc w:val="both"/>
      </w:pPr>
      <w:r>
        <w:rPr>
          <w:rFonts w:ascii="Arial"/>
          <w:b/>
        </w:rPr>
        <w:t>Strategic Framework Contracts </w:t>
      </w:r>
      <w:r>
        <w:rPr/>
        <w:t>(SFCs) were introduced in 2018, replacing the previous policy of</w:t>
      </w:r>
      <w:r>
        <w:rPr>
          <w:spacing w:val="1"/>
        </w:rPr>
        <w:t> </w:t>
      </w:r>
      <w:r>
        <w:rPr>
          <w:position w:val="1"/>
        </w:rPr>
        <w:t>performance contracts that had been in place since 2000 (Jongbloed and de Boer, 2020</w:t>
      </w:r>
      <w:r>
        <w:rPr>
          <w:sz w:val="13"/>
        </w:rPr>
        <w:t>[46]</w:t>
      </w:r>
      <w:r>
        <w:rPr>
          <w:position w:val="1"/>
        </w:rPr>
        <w:t>). These new</w:t>
      </w:r>
      <w:r>
        <w:rPr>
          <w:spacing w:val="1"/>
          <w:position w:val="1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contracts</w:t>
      </w:r>
      <w:r>
        <w:rPr>
          <w:spacing w:val="-6"/>
        </w:rPr>
        <w:t> </w:t>
      </w:r>
      <w:r>
        <w:rPr/>
        <w:t>focus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building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HEIs.</w:t>
      </w:r>
      <w:r>
        <w:rPr>
          <w:spacing w:val="-4"/>
        </w:rPr>
        <w:t> </w:t>
      </w:r>
      <w:r>
        <w:rPr/>
        <w:t>SFCs</w:t>
      </w:r>
      <w:r>
        <w:rPr>
          <w:spacing w:val="1"/>
        </w:rPr>
        <w:t> </w:t>
      </w:r>
      <w:r>
        <w:rPr/>
        <w:t>have shifted from measuring performance against Ministry-set indicators (used by prior iterations of</w:t>
      </w:r>
      <w:r>
        <w:rPr>
          <w:spacing w:val="1"/>
        </w:rPr>
        <w:t> </w:t>
      </w:r>
      <w:r>
        <w:rPr/>
        <w:t>performance agreements), to illustrating a series of ambitions for the institution, with indicators agreed</w:t>
      </w:r>
      <w:r>
        <w:rPr>
          <w:spacing w:val="1"/>
        </w:rPr>
        <w:t> </w:t>
      </w:r>
      <w:r>
        <w:rPr>
          <w:w w:val="95"/>
        </w:rPr>
        <w:t>between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HEI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Minitry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Education.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includes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specific</w:t>
      </w:r>
      <w:r>
        <w:rPr>
          <w:spacing w:val="7"/>
          <w:w w:val="95"/>
        </w:rPr>
        <w:t> </w:t>
      </w:r>
      <w:r>
        <w:rPr>
          <w:w w:val="95"/>
        </w:rPr>
        <w:t>data</w:t>
      </w:r>
      <w:r>
        <w:rPr>
          <w:spacing w:val="8"/>
          <w:w w:val="95"/>
        </w:rPr>
        <w:t> </w:t>
      </w:r>
      <w:r>
        <w:rPr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will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used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measure</w:t>
      </w:r>
      <w:r>
        <w:rPr>
          <w:spacing w:val="1"/>
          <w:w w:val="95"/>
        </w:rPr>
        <w:t> </w:t>
      </w:r>
      <w:r>
        <w:rPr/>
        <w:t>of improvement.The contracts also have a specific funding link not present in the prior agreements.</w:t>
      </w:r>
      <w:r>
        <w:rPr>
          <w:spacing w:val="1"/>
        </w:rPr>
        <w:t> </w:t>
      </w:r>
      <w:r>
        <w:rPr>
          <w:spacing w:val="-1"/>
        </w:rPr>
        <w:t>Universities</w:t>
      </w:r>
      <w:r>
        <w:rPr>
          <w:spacing w:val="-10"/>
        </w:rPr>
        <w:t> </w:t>
      </w:r>
      <w:r>
        <w:rPr>
          <w:spacing w:val="-1"/>
        </w:rPr>
        <w:t>risk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financial</w:t>
      </w:r>
      <w:r>
        <w:rPr>
          <w:spacing w:val="-9"/>
        </w:rPr>
        <w:t> </w:t>
      </w:r>
      <w:r>
        <w:rPr>
          <w:spacing w:val="-1"/>
        </w:rPr>
        <w:t>penalty</w:t>
      </w:r>
      <w:r>
        <w:rPr>
          <w:spacing w:val="-14"/>
        </w:rPr>
        <w:t> </w:t>
      </w:r>
      <w:r>
        <w:rPr>
          <w:spacing w:val="-1"/>
        </w:rPr>
        <w:t>if</w:t>
      </w:r>
      <w:r>
        <w:rPr>
          <w:spacing w:val="-8"/>
        </w:rPr>
        <w:t> </w:t>
      </w:r>
      <w:r>
        <w:rPr>
          <w:spacing w:val="-1"/>
        </w:rPr>
        <w:t>they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meet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strategic</w:t>
      </w:r>
      <w:r>
        <w:rPr>
          <w:spacing w:val="-9"/>
        </w:rPr>
        <w:t> </w:t>
      </w:r>
      <w:r>
        <w:rPr/>
        <w:t>goals</w:t>
      </w:r>
      <w:r>
        <w:rPr>
          <w:spacing w:val="-9"/>
        </w:rPr>
        <w:t> </w:t>
      </w:r>
      <w:r>
        <w:rPr/>
        <w:t>set</w:t>
      </w:r>
      <w:r>
        <w:rPr>
          <w:spacing w:val="-11"/>
        </w:rPr>
        <w:t> </w:t>
      </w:r>
      <w:r>
        <w:rPr/>
        <w:t>out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contract</w:t>
      </w:r>
      <w:r>
        <w:rPr>
          <w:spacing w:val="-11"/>
        </w:rPr>
        <w:t> </w:t>
      </w:r>
      <w:r>
        <w:rPr/>
        <w:t>(assessed</w:t>
      </w:r>
      <w:r>
        <w:rPr>
          <w:spacing w:val="1"/>
        </w:rPr>
        <w:t> </w:t>
      </w:r>
      <w:r>
        <w:rPr/>
        <w:t>by the Ministry at the end of the contract period). The Ministry of Education may withhold up to 5% of the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Basic Funding</w:t>
      </w:r>
      <w:r>
        <w:rPr>
          <w:spacing w:val="-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/>
        <w:t>decide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HEI</w:t>
      </w:r>
      <w:r>
        <w:rPr>
          <w:spacing w:val="-2"/>
        </w:rPr>
        <w:t> </w:t>
      </w:r>
      <w:r>
        <w:rPr/>
        <w:t>has under-performed.</w:t>
      </w:r>
    </w:p>
    <w:p>
      <w:pPr>
        <w:pStyle w:val="BodyText"/>
        <w:spacing w:line="271" w:lineRule="auto" w:before="124"/>
        <w:ind w:left="183" w:right="301"/>
        <w:jc w:val="both"/>
      </w:pPr>
      <w:r>
        <w:rPr/>
        <w:t>Denmark has reformed its well-established PBF practices, seeking to adapt policies to achieve greater</w:t>
      </w:r>
      <w:r>
        <w:rPr>
          <w:spacing w:val="1"/>
        </w:rPr>
        <w:t> </w:t>
      </w:r>
      <w:r>
        <w:rPr/>
        <w:t>performance and quality from its higher education system. This has been approached from two angles.</w:t>
      </w:r>
      <w:r>
        <w:rPr>
          <w:spacing w:val="1"/>
        </w:rPr>
        <w:t> </w:t>
      </w:r>
      <w:r>
        <w:rPr/>
        <w:t>The first has been to adapt a previously 100% performance-based funding model for teaching (based on</w:t>
      </w:r>
      <w:r>
        <w:rPr>
          <w:spacing w:val="1"/>
        </w:rPr>
        <w:t> </w:t>
      </w:r>
      <w:r>
        <w:rPr>
          <w:spacing w:val="-1"/>
        </w:rPr>
        <w:t>two</w:t>
      </w:r>
      <w:r>
        <w:rPr>
          <w:spacing w:val="-12"/>
        </w:rPr>
        <w:t> </w:t>
      </w:r>
      <w:r>
        <w:rPr>
          <w:spacing w:val="-1"/>
        </w:rPr>
        <w:t>system-wide</w:t>
      </w:r>
      <w:r>
        <w:rPr>
          <w:spacing w:val="-11"/>
        </w:rPr>
        <w:t> </w:t>
      </w:r>
      <w:r>
        <w:rPr>
          <w:spacing w:val="-1"/>
        </w:rPr>
        <w:t>mechanisms,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taximeter</w:t>
      </w:r>
      <w:r>
        <w:rPr>
          <w:spacing w:val="-10"/>
        </w:rPr>
        <w:t> </w:t>
      </w:r>
      <w:r>
        <w:rPr/>
        <w:t>scheme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completion</w:t>
      </w:r>
      <w:r>
        <w:rPr>
          <w:spacing w:val="-9"/>
        </w:rPr>
        <w:t> </w:t>
      </w:r>
      <w:r>
        <w:rPr/>
        <w:t>bonus)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new</w:t>
      </w:r>
      <w:r>
        <w:rPr>
          <w:spacing w:val="-14"/>
        </w:rPr>
        <w:t> </w:t>
      </w:r>
      <w:r>
        <w:rPr/>
        <w:t>policy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37"/>
        </w:rPr>
        <w:t> </w:t>
      </w:r>
      <w:r>
        <w:rPr/>
        <w:t>more</w:t>
      </w:r>
      <w:r>
        <w:rPr>
          <w:spacing w:val="37"/>
        </w:rPr>
        <w:t> </w:t>
      </w:r>
      <w:r>
        <w:rPr/>
        <w:t>directly</w:t>
      </w:r>
      <w:r>
        <w:rPr>
          <w:spacing w:val="34"/>
        </w:rPr>
        <w:t> </w:t>
      </w:r>
      <w:r>
        <w:rPr/>
        <w:t>steer</w:t>
      </w:r>
      <w:r>
        <w:rPr>
          <w:spacing w:val="39"/>
        </w:rPr>
        <w:t> </w:t>
      </w:r>
      <w:r>
        <w:rPr/>
        <w:t>performance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HEI</w:t>
      </w:r>
      <w:r>
        <w:rPr>
          <w:spacing w:val="37"/>
        </w:rPr>
        <w:t> </w:t>
      </w:r>
      <w:r>
        <w:rPr/>
        <w:t>activity</w:t>
      </w:r>
      <w:r>
        <w:rPr>
          <w:spacing w:val="37"/>
        </w:rPr>
        <w:t> </w:t>
      </w:r>
      <w:r>
        <w:rPr/>
        <w:t>through</w:t>
      </w:r>
      <w:r>
        <w:rPr>
          <w:spacing w:val="37"/>
        </w:rPr>
        <w:t> </w:t>
      </w:r>
      <w:r>
        <w:rPr/>
        <w:t>additional</w:t>
      </w:r>
      <w:r>
        <w:rPr>
          <w:spacing w:val="36"/>
        </w:rPr>
        <w:t> </w:t>
      </w:r>
      <w:r>
        <w:rPr/>
        <w:t>system-wide</w:t>
      </w:r>
      <w:r>
        <w:rPr>
          <w:spacing w:val="40"/>
        </w:rPr>
        <w:t> </w:t>
      </w:r>
      <w:r>
        <w:rPr/>
        <w:t>and</w:t>
      </w:r>
      <w:r>
        <w:rPr>
          <w:spacing w:val="37"/>
        </w:rPr>
        <w:t> </w:t>
      </w:r>
      <w:r>
        <w:rPr/>
        <w:t>HEI-specific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5"/>
        <w:jc w:val="both"/>
      </w:pPr>
      <w:r>
        <w:rPr/>
        <w:t>performance indicators. The aim of these changes has been to compensate for emerging challenges that</w:t>
      </w:r>
      <w:r>
        <w:rPr>
          <w:spacing w:val="-53"/>
        </w:rPr>
        <w:t> </w:t>
      </w:r>
      <w:r>
        <w:rPr/>
        <w:t>the funding model was not addressing – concerns about graduate employment outcomes and concerns</w:t>
      </w:r>
      <w:r>
        <w:rPr>
          <w:spacing w:val="1"/>
        </w:rPr>
        <w:t> </w:t>
      </w:r>
      <w:r>
        <w:rPr/>
        <w:t>about the quality of the student learning experience. Denmark has also removed a proportion of funding</w:t>
      </w:r>
      <w:r>
        <w:rPr>
          <w:spacing w:val="1"/>
        </w:rPr>
        <w:t> </w:t>
      </w:r>
      <w:r>
        <w:rPr/>
        <w:t>from the PBF model in the process through Basic Funding, balancing these changes with some increase</w:t>
      </w:r>
      <w:r>
        <w:rPr>
          <w:spacing w:val="1"/>
        </w:rPr>
        <w:t> </w:t>
      </w:r>
      <w:r>
        <w:rPr/>
        <w:t>to funding stability. Second, it has evolved its use of performance contracts to align more specifically with</w:t>
      </w:r>
      <w:r>
        <w:rPr>
          <w:spacing w:val="-53"/>
        </w:rPr>
        <w:t> </w:t>
      </w:r>
      <w:r>
        <w:rPr/>
        <w:t>institutional</w:t>
      </w:r>
      <w:r>
        <w:rPr>
          <w:spacing w:val="-3"/>
        </w:rPr>
        <w:t> </w:t>
      </w:r>
      <w:r>
        <w:rPr/>
        <w:t>goals and</w:t>
      </w:r>
      <w:r>
        <w:rPr>
          <w:spacing w:val="-1"/>
        </w:rPr>
        <w:t> </w:t>
      </w:r>
      <w:r>
        <w:rPr/>
        <w:t>to be</w:t>
      </w:r>
      <w:r>
        <w:rPr>
          <w:spacing w:val="1"/>
        </w:rPr>
        <w:t> </w:t>
      </w:r>
      <w:r>
        <w:rPr/>
        <w:t>tied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funding.</w:t>
      </w:r>
    </w:p>
    <w:p>
      <w:pPr>
        <w:pStyle w:val="BodyText"/>
        <w:spacing w:before="1"/>
      </w:pPr>
    </w:p>
    <w:p>
      <w:pPr>
        <w:pStyle w:val="Heading7"/>
      </w:pPr>
      <w:bookmarkStart w:name="Flemish Community of Belgium: Developing" w:id="135"/>
      <w:bookmarkEnd w:id="135"/>
      <w:r>
        <w:rPr>
          <w:i w:val="0"/>
        </w:rPr>
      </w:r>
      <w:r>
        <w:rPr>
          <w:color w:val="616161"/>
        </w:rPr>
        <w:t>Flemish</w:t>
      </w:r>
      <w:r>
        <w:rPr>
          <w:color w:val="616161"/>
          <w:spacing w:val="-7"/>
        </w:rPr>
        <w:t> </w:t>
      </w:r>
      <w:r>
        <w:rPr>
          <w:color w:val="616161"/>
        </w:rPr>
        <w:t>Community</w:t>
      </w:r>
      <w:r>
        <w:rPr>
          <w:color w:val="616161"/>
          <w:spacing w:val="-8"/>
        </w:rPr>
        <w:t> </w:t>
      </w:r>
      <w:r>
        <w:rPr>
          <w:color w:val="616161"/>
        </w:rPr>
        <w:t>of</w:t>
      </w:r>
      <w:r>
        <w:rPr>
          <w:color w:val="616161"/>
          <w:spacing w:val="-8"/>
        </w:rPr>
        <w:t> </w:t>
      </w:r>
      <w:r>
        <w:rPr>
          <w:color w:val="616161"/>
        </w:rPr>
        <w:t>Belgium:</w:t>
      </w:r>
      <w:r>
        <w:rPr>
          <w:color w:val="616161"/>
          <w:spacing w:val="-4"/>
        </w:rPr>
        <w:t> </w:t>
      </w:r>
      <w:r>
        <w:rPr>
          <w:color w:val="616161"/>
        </w:rPr>
        <w:t>Developing</w:t>
      </w:r>
      <w:r>
        <w:rPr>
          <w:color w:val="616161"/>
          <w:spacing w:val="-7"/>
        </w:rPr>
        <w:t> </w:t>
      </w:r>
      <w:r>
        <w:rPr>
          <w:color w:val="616161"/>
        </w:rPr>
        <w:t>research</w:t>
      </w:r>
      <w:r>
        <w:rPr>
          <w:color w:val="616161"/>
          <w:spacing w:val="-5"/>
        </w:rPr>
        <w:t> </w:t>
      </w:r>
      <w:r>
        <w:rPr>
          <w:color w:val="616161"/>
        </w:rPr>
        <w:t>performance</w:t>
      </w:r>
      <w:r>
        <w:rPr>
          <w:color w:val="616161"/>
          <w:spacing w:val="-9"/>
        </w:rPr>
        <w:t> </w:t>
      </w:r>
      <w:r>
        <w:rPr>
          <w:color w:val="616161"/>
        </w:rPr>
        <w:t>funding</w:t>
      </w:r>
    </w:p>
    <w:p>
      <w:pPr>
        <w:pStyle w:val="BodyText"/>
        <w:spacing w:line="271" w:lineRule="auto" w:before="215"/>
        <w:ind w:left="183" w:right="301"/>
        <w:jc w:val="both"/>
      </w:pPr>
      <w:r>
        <w:rPr/>
        <w:t>The Flemish Community of Belgium</w:t>
      </w:r>
      <w:r>
        <w:rPr>
          <w:spacing w:val="1"/>
        </w:rPr>
        <w:t> </w:t>
      </w:r>
      <w:r>
        <w:rPr/>
        <w:t>has spent the last two decades innovating in the design and</w:t>
      </w:r>
      <w:r>
        <w:rPr>
          <w:spacing w:val="1"/>
        </w:rPr>
        <w:t> </w:t>
      </w:r>
      <w:r>
        <w:rPr/>
        <w:t>implementation of its regional research, development and innovation (RD&amp;I) funding as the region sought</w:t>
      </w:r>
      <w:r>
        <w:rPr>
          <w:spacing w:val="-53"/>
        </w:rPr>
        <w:t> </w:t>
      </w:r>
      <w:r>
        <w:rPr/>
        <w:t>to</w:t>
      </w:r>
      <w:r>
        <w:rPr>
          <w:spacing w:val="-13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innovation</w:t>
      </w:r>
      <w:r>
        <w:rPr>
          <w:spacing w:val="-12"/>
        </w:rPr>
        <w:t> </w:t>
      </w:r>
      <w:r>
        <w:rPr/>
        <w:t>sector,</w:t>
      </w:r>
      <w:r>
        <w:rPr>
          <w:spacing w:val="-11"/>
        </w:rPr>
        <w:t> </w:t>
      </w:r>
      <w:r>
        <w:rPr/>
        <w:t>recognising</w:t>
      </w:r>
      <w:r>
        <w:rPr>
          <w:spacing w:val="-9"/>
        </w:rPr>
        <w:t> </w:t>
      </w:r>
      <w:r>
        <w:rPr/>
        <w:t>its</w:t>
      </w:r>
      <w:r>
        <w:rPr>
          <w:spacing w:val="-11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role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broader</w:t>
      </w:r>
      <w:r>
        <w:rPr>
          <w:spacing w:val="-10"/>
        </w:rPr>
        <w:t> </w:t>
      </w:r>
      <w:r>
        <w:rPr/>
        <w:t>economic</w:t>
      </w:r>
      <w:r>
        <w:rPr>
          <w:spacing w:val="1"/>
        </w:rPr>
        <w:t> </w:t>
      </w:r>
      <w:r>
        <w:rPr>
          <w:position w:val="1"/>
        </w:rPr>
        <w:t>development of the region (Debackere and Glänzel, 2004</w:t>
      </w:r>
      <w:r>
        <w:rPr>
          <w:sz w:val="13"/>
        </w:rPr>
        <w:t>[47]</w:t>
      </w:r>
      <w:r>
        <w:rPr>
          <w:position w:val="1"/>
        </w:rPr>
        <w:t>; OECD, 2019</w:t>
      </w:r>
      <w:r>
        <w:rPr>
          <w:sz w:val="13"/>
        </w:rPr>
        <w:t>[48]</w:t>
      </w:r>
      <w:r>
        <w:rPr>
          <w:position w:val="1"/>
        </w:rPr>
        <w:t>). This example focuses on</w:t>
      </w:r>
      <w:r>
        <w:rPr>
          <w:spacing w:val="1"/>
          <w:position w:val="1"/>
        </w:rPr>
        <w:t> </w:t>
      </w:r>
      <w:r>
        <w:rPr>
          <w:spacing w:val="-1"/>
        </w:rPr>
        <w:t>three</w:t>
      </w:r>
      <w:r>
        <w:rPr>
          <w:spacing w:val="-11"/>
        </w:rPr>
        <w:t> </w:t>
      </w:r>
      <w:r>
        <w:rPr>
          <w:spacing w:val="-1"/>
        </w:rPr>
        <w:t>interrelated</w:t>
      </w:r>
      <w:r>
        <w:rPr>
          <w:spacing w:val="-14"/>
        </w:rPr>
        <w:t> </w:t>
      </w:r>
      <w:r>
        <w:rPr>
          <w:spacing w:val="-1"/>
        </w:rPr>
        <w:t>elements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Flemish</w:t>
      </w:r>
      <w:r>
        <w:rPr>
          <w:spacing w:val="-13"/>
        </w:rPr>
        <w:t> </w:t>
      </w:r>
      <w:r>
        <w:rPr>
          <w:spacing w:val="-1"/>
        </w:rPr>
        <w:t>RD&amp;I</w:t>
      </w:r>
      <w:r>
        <w:rPr>
          <w:spacing w:val="-10"/>
        </w:rPr>
        <w:t> </w:t>
      </w:r>
      <w:r>
        <w:rPr>
          <w:spacing w:val="-1"/>
        </w:rPr>
        <w:t>investment</w:t>
      </w:r>
      <w:r>
        <w:rPr>
          <w:spacing w:val="-13"/>
        </w:rPr>
        <w:t> </w:t>
      </w:r>
      <w:r>
        <w:rPr>
          <w:spacing w:val="-1"/>
        </w:rPr>
        <w:t>system.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 bibliometric performance indicators in the “Extraordinary Research Fund” (Bijzonder Onderzoeksfonds,</w:t>
      </w:r>
      <w:r>
        <w:rPr>
          <w:spacing w:val="-54"/>
        </w:rPr>
        <w:t> </w:t>
      </w:r>
      <w:r>
        <w:rPr/>
        <w:t>or</w:t>
      </w:r>
      <w:r>
        <w:rPr>
          <w:spacing w:val="-7"/>
        </w:rPr>
        <w:t> </w:t>
      </w:r>
      <w:r>
        <w:rPr/>
        <w:t>BOF).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BOF</w:t>
      </w:r>
      <w:r>
        <w:rPr>
          <w:spacing w:val="-6"/>
        </w:rPr>
        <w:t> </w:t>
      </w:r>
      <w:r>
        <w:rPr/>
        <w:t>represents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overall</w:t>
      </w:r>
      <w:r>
        <w:rPr>
          <w:spacing w:val="-7"/>
        </w:rPr>
        <w:t> </w:t>
      </w:r>
      <w:r>
        <w:rPr/>
        <w:t>funding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RD&amp;I</w:t>
      </w:r>
      <w:r>
        <w:rPr>
          <w:spacing w:val="-6"/>
        </w:rPr>
        <w:t> </w:t>
      </w:r>
      <w:r>
        <w:rPr/>
        <w:t>funding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 region, and is 50% performance-based (previously 100%, until changes were made in 2019).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Monitoring”</w:t>
      </w:r>
      <w:r>
        <w:rPr>
          <w:spacing w:val="1"/>
        </w:rPr>
        <w:t> </w:t>
      </w:r>
      <w:r>
        <w:rPr/>
        <w:t>(Expertisecentrum</w:t>
      </w:r>
      <w:r>
        <w:rPr>
          <w:spacing w:val="1"/>
        </w:rPr>
        <w:t> </w:t>
      </w:r>
      <w:r>
        <w:rPr/>
        <w:t>Onderzoek en Ontwikkelingsmonitoring, or ECOOM), an inter-university consortium created to help steer</w:t>
      </w:r>
      <w:r>
        <w:rPr>
          <w:spacing w:val="1"/>
        </w:rPr>
        <w:t> </w:t>
      </w:r>
      <w:r>
        <w:rPr/>
        <w:t>the creation and utilisation of indicators for performance funding in RD&amp;I. Finally, the development of a</w:t>
      </w:r>
      <w:r>
        <w:rPr>
          <w:spacing w:val="1"/>
        </w:rPr>
        <w:t> </w:t>
      </w:r>
      <w:r>
        <w:rPr/>
        <w:t>new custom bibliometric indicator, the Flemish Academic Bibliographic Database for the Social Sciences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Humanities (VABB-SHW)</w:t>
      </w:r>
      <w:r>
        <w:rPr>
          <w:spacing w:val="-2"/>
        </w:rPr>
        <w:t> </w:t>
      </w:r>
      <w:r>
        <w:rPr/>
        <w:t>is discussed.</w:t>
      </w:r>
    </w:p>
    <w:p>
      <w:pPr>
        <w:pStyle w:val="BodyText"/>
        <w:spacing w:line="271" w:lineRule="auto" w:before="124"/>
        <w:ind w:left="183" w:right="301"/>
        <w:jc w:val="both"/>
      </w:pPr>
      <w:r>
        <w:rPr/>
        <w:t>The BOF was initially introduced as a new mechanism for distributing block research funds between</w:t>
      </w:r>
      <w:r>
        <w:rPr>
          <w:spacing w:val="1"/>
        </w:rPr>
        <w:t> </w:t>
      </w:r>
      <w:r>
        <w:rPr/>
        <w:t>Flemish universities in 1994. The allocation of these funds was based on a set of established indicators,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“pre-allocation</w:t>
      </w:r>
      <w:r>
        <w:rPr>
          <w:spacing w:val="1"/>
        </w:rPr>
        <w:t> </w:t>
      </w:r>
      <w:r>
        <w:rPr/>
        <w:t>keys”,</w:t>
      </w:r>
      <w:r>
        <w:rPr>
          <w:spacing w:val="1"/>
        </w:rPr>
        <w:t> </w:t>
      </w:r>
      <w:r>
        <w:rPr/>
        <w:t>recalculated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“key”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“formula”</w:t>
      </w:r>
      <w:r>
        <w:rPr>
          <w:spacing w:val="1"/>
        </w:rPr>
        <w:t> </w:t>
      </w:r>
      <w:r>
        <w:rPr/>
        <w:t>(Jonkers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1"/>
        </w:rPr>
        <w:t>Zacharewicz, 2017</w:t>
      </w:r>
      <w:r>
        <w:rPr>
          <w:sz w:val="13"/>
        </w:rPr>
        <w:t>[49]</w:t>
      </w:r>
      <w:r>
        <w:rPr>
          <w:position w:val="1"/>
        </w:rPr>
        <w:t>). The Flemish government has continually adapted the indicators used in the BOF</w:t>
      </w:r>
      <w:r>
        <w:rPr>
          <w:spacing w:val="1"/>
          <w:position w:val="1"/>
        </w:rPr>
        <w:t> </w:t>
      </w:r>
      <w:r>
        <w:rPr/>
        <w:t>since</w:t>
      </w:r>
      <w:r>
        <w:rPr>
          <w:spacing w:val="-8"/>
        </w:rPr>
        <w:t> </w:t>
      </w:r>
      <w:r>
        <w:rPr/>
        <w:t>its</w:t>
      </w:r>
      <w:r>
        <w:rPr>
          <w:spacing w:val="-9"/>
        </w:rPr>
        <w:t> </w:t>
      </w:r>
      <w:r>
        <w:rPr/>
        <w:t>introduction,</w:t>
      </w:r>
      <w:r>
        <w:rPr>
          <w:spacing w:val="-8"/>
        </w:rPr>
        <w:t> </w:t>
      </w:r>
      <w:r>
        <w:rPr/>
        <w:t>early</w:t>
      </w:r>
      <w:r>
        <w:rPr>
          <w:spacing w:val="-10"/>
        </w:rPr>
        <w:t> </w:t>
      </w:r>
      <w:r>
        <w:rPr/>
        <w:t>indicators</w:t>
      </w:r>
      <w:r>
        <w:rPr>
          <w:spacing w:val="-8"/>
        </w:rPr>
        <w:t> </w:t>
      </w:r>
      <w:r>
        <w:rPr/>
        <w:t>included</w:t>
      </w:r>
      <w:r>
        <w:rPr>
          <w:spacing w:val="-7"/>
        </w:rPr>
        <w:t> </w:t>
      </w:r>
      <w:r>
        <w:rPr/>
        <w:t>degree</w:t>
      </w:r>
      <w:r>
        <w:rPr>
          <w:spacing w:val="-8"/>
        </w:rPr>
        <w:t> </w:t>
      </w:r>
      <w:r>
        <w:rPr/>
        <w:t>completions,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overall</w:t>
      </w:r>
      <w:r>
        <w:rPr>
          <w:spacing w:val="-7"/>
        </w:rPr>
        <w:t> </w:t>
      </w:r>
      <w:r>
        <w:rPr/>
        <w:t>investment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HEI</w:t>
      </w:r>
      <w:r>
        <w:rPr>
          <w:spacing w:val="-10"/>
        </w:rPr>
        <w:t> </w:t>
      </w:r>
      <w:r>
        <w:rPr/>
        <w:t>received</w:t>
      </w:r>
      <w:r>
        <w:rPr>
          <w:spacing w:val="1"/>
        </w:rPr>
        <w:t> </w:t>
      </w:r>
      <w:r>
        <w:rPr>
          <w:position w:val="1"/>
        </w:rPr>
        <w:t>from other sources. Bibliometric indicators were introduced in 2003 (Engels and Guns, 2018</w:t>
      </w:r>
      <w:r>
        <w:rPr>
          <w:sz w:val="13"/>
        </w:rPr>
        <w:t>[50]</w:t>
      </w:r>
      <w:r>
        <w:rPr>
          <w:position w:val="1"/>
        </w:rPr>
        <w:t>). In 2019,</w:t>
      </w:r>
      <w:r>
        <w:rPr>
          <w:spacing w:val="1"/>
          <w:position w:val="1"/>
        </w:rPr>
        <w:t> </w:t>
      </w:r>
      <w:r>
        <w:rPr/>
        <w:t>the BOF key was redesigned, reducing the weighting of degree completions, and introducing a new fixed</w:t>
      </w:r>
      <w:r>
        <w:rPr>
          <w:spacing w:val="1"/>
        </w:rPr>
        <w:t> </w:t>
      </w:r>
      <w:r>
        <w:rPr/>
        <w:t>allocation</w:t>
      </w:r>
      <w:r>
        <w:rPr>
          <w:spacing w:val="-7"/>
        </w:rPr>
        <w:t> </w:t>
      </w:r>
      <w:r>
        <w:rPr/>
        <w:t>representing</w:t>
      </w:r>
      <w:r>
        <w:rPr>
          <w:spacing w:val="-6"/>
        </w:rPr>
        <w:t> </w:t>
      </w:r>
      <w:r>
        <w:rPr/>
        <w:t>50%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total</w:t>
      </w:r>
      <w:r>
        <w:rPr>
          <w:spacing w:val="-7"/>
        </w:rPr>
        <w:t> </w:t>
      </w:r>
      <w:r>
        <w:rPr/>
        <w:t>funding.</w:t>
      </w:r>
      <w:r>
        <w:rPr>
          <w:spacing w:val="-7"/>
        </w:rPr>
        <w:t> </w:t>
      </w:r>
      <w:r>
        <w:rPr/>
        <w:t>Changes</w:t>
      </w:r>
      <w:r>
        <w:rPr>
          <w:spacing w:val="-2"/>
        </w:rPr>
        <w:t> </w:t>
      </w:r>
      <w:r>
        <w:rPr/>
        <w:t>were</w:t>
      </w:r>
      <w:r>
        <w:rPr>
          <w:spacing w:val="-5"/>
        </w:rPr>
        <w:t> </w:t>
      </w:r>
      <w:r>
        <w:rPr/>
        <w:t>implemented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aim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 place greater emphasis on quality over quantity of research outputs. </w:t>
      </w:r>
      <w:hyperlink w:history="true" w:anchor="_bookmark48">
        <w:r>
          <w:rPr/>
          <w:t>Table 3.4.</w:t>
        </w:r>
      </w:hyperlink>
      <w:r>
        <w:rPr>
          <w:spacing w:val="1"/>
        </w:rPr>
        <w:t> </w:t>
      </w:r>
      <w:r>
        <w:rPr/>
        <w:t>sets out the current</w:t>
      </w:r>
      <w:r>
        <w:rPr>
          <w:spacing w:val="1"/>
        </w:rPr>
        <w:t> </w:t>
      </w:r>
      <w:r>
        <w:rPr/>
        <w:t>indicators, and their weighting in funding allocations, alongside planned adaptations to weighting set to</w:t>
      </w:r>
      <w:r>
        <w:rPr>
          <w:spacing w:val="1"/>
        </w:rPr>
        <w:t> </w:t>
      </w:r>
      <w:r>
        <w:rPr/>
        <w:t>come</w:t>
      </w:r>
      <w:r>
        <w:rPr>
          <w:spacing w:val="-2"/>
        </w:rPr>
        <w:t> </w:t>
      </w:r>
      <w:r>
        <w:rPr/>
        <w:t>into effect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2024.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(Expertisecentrum</w:t>
      </w:r>
      <w:r>
        <w:rPr>
          <w:spacing w:val="1"/>
        </w:rPr>
        <w:t> </w:t>
      </w:r>
      <w:r>
        <w:rPr/>
        <w:t>Onderzoek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Ontwikkelingsmonitoring, ECOOM) is a consortium of all five Flemish universities. ECOOM began as 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KU</w:t>
      </w:r>
      <w:r>
        <w:rPr>
          <w:spacing w:val="1"/>
        </w:rPr>
        <w:t> </w:t>
      </w:r>
      <w:r>
        <w:rPr/>
        <w:t>Leuven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Flemish</w:t>
      </w:r>
      <w:r>
        <w:rPr>
          <w:spacing w:val="1"/>
        </w:rPr>
        <w:t> </w:t>
      </w:r>
      <w:r>
        <w:rPr/>
        <w:t>government, to develop and implement a new bibliometric indicator for the BOF key (VABB-SHW) which</w:t>
      </w:r>
      <w:r>
        <w:rPr>
          <w:spacing w:val="1"/>
        </w:rPr>
        <w:t> </w:t>
      </w:r>
      <w:r>
        <w:rPr/>
        <w:t>continues in use. VABB-SHW is a shared database of “bibliographic references of published social</w:t>
      </w:r>
      <w:r>
        <w:rPr>
          <w:spacing w:val="1"/>
        </w:rPr>
        <w:t> </w:t>
      </w:r>
      <w:r>
        <w:rPr/>
        <w:t>sciences and humanities (SSH) research outputs by scholars who are affiliated to Flemish universities”</w:t>
      </w:r>
      <w:r>
        <w:rPr>
          <w:spacing w:val="1"/>
        </w:rPr>
        <w:t> </w:t>
      </w:r>
      <w:r>
        <w:rPr>
          <w:position w:val="1"/>
        </w:rPr>
        <w:t>(Ossenblok,</w:t>
      </w:r>
      <w:r>
        <w:rPr>
          <w:spacing w:val="-5"/>
          <w:position w:val="1"/>
        </w:rPr>
        <w:t> </w:t>
      </w:r>
      <w:r>
        <w:rPr>
          <w:position w:val="1"/>
        </w:rPr>
        <w:t>Engels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Sivertsen,</w:t>
      </w:r>
      <w:r>
        <w:rPr>
          <w:spacing w:val="-4"/>
          <w:position w:val="1"/>
        </w:rPr>
        <w:t> </w:t>
      </w:r>
      <w:r>
        <w:rPr>
          <w:position w:val="1"/>
        </w:rPr>
        <w:t>2012</w:t>
      </w:r>
      <w:r>
        <w:rPr>
          <w:sz w:val="13"/>
        </w:rPr>
        <w:t>[51]</w:t>
      </w:r>
      <w:r>
        <w:rPr>
          <w:position w:val="1"/>
        </w:rPr>
        <w:t>),</w:t>
      </w:r>
      <w:r>
        <w:rPr>
          <w:spacing w:val="-5"/>
          <w:position w:val="1"/>
        </w:rPr>
        <w:t> </w:t>
      </w:r>
      <w:r>
        <w:rPr>
          <w:position w:val="1"/>
        </w:rPr>
        <w:t>designed</w:t>
      </w:r>
      <w:r>
        <w:rPr>
          <w:spacing w:val="-4"/>
          <w:position w:val="1"/>
        </w:rPr>
        <w:t> </w:t>
      </w:r>
      <w:r>
        <w:rPr>
          <w:position w:val="1"/>
        </w:rPr>
        <w:t>to</w:t>
      </w:r>
      <w:r>
        <w:rPr>
          <w:spacing w:val="-4"/>
          <w:position w:val="1"/>
        </w:rPr>
        <w:t> </w:t>
      </w:r>
      <w:r>
        <w:rPr>
          <w:position w:val="1"/>
        </w:rPr>
        <w:t>fill</w:t>
      </w:r>
      <w:r>
        <w:rPr>
          <w:spacing w:val="-5"/>
          <w:position w:val="1"/>
        </w:rPr>
        <w:t> </w:t>
      </w:r>
      <w:r>
        <w:rPr>
          <w:position w:val="1"/>
        </w:rPr>
        <w:t>a</w:t>
      </w:r>
      <w:r>
        <w:rPr>
          <w:spacing w:val="-5"/>
          <w:position w:val="1"/>
        </w:rPr>
        <w:t> </w:t>
      </w:r>
      <w:r>
        <w:rPr>
          <w:position w:val="1"/>
        </w:rPr>
        <w:t>gap</w:t>
      </w:r>
      <w:r>
        <w:rPr>
          <w:spacing w:val="-6"/>
          <w:position w:val="1"/>
        </w:rPr>
        <w:t> </w:t>
      </w:r>
      <w:r>
        <w:rPr>
          <w:position w:val="1"/>
        </w:rPr>
        <w:t>in</w:t>
      </w:r>
      <w:r>
        <w:rPr>
          <w:spacing w:val="-4"/>
          <w:position w:val="1"/>
        </w:rPr>
        <w:t> </w:t>
      </w:r>
      <w:r>
        <w:rPr>
          <w:position w:val="1"/>
        </w:rPr>
        <w:t>existing</w:t>
      </w:r>
      <w:r>
        <w:rPr>
          <w:spacing w:val="-5"/>
          <w:position w:val="1"/>
        </w:rPr>
        <w:t> </w:t>
      </w:r>
      <w:r>
        <w:rPr>
          <w:position w:val="1"/>
        </w:rPr>
        <w:t>bibliometric</w:t>
      </w:r>
      <w:r>
        <w:rPr>
          <w:spacing w:val="-5"/>
          <w:position w:val="1"/>
        </w:rPr>
        <w:t> </w:t>
      </w:r>
      <w:r>
        <w:rPr>
          <w:position w:val="1"/>
        </w:rPr>
        <w:t>sources</w:t>
      </w:r>
      <w:r>
        <w:rPr>
          <w:spacing w:val="-6"/>
          <w:position w:val="1"/>
        </w:rPr>
        <w:t> </w:t>
      </w:r>
      <w:r>
        <w:rPr>
          <w:position w:val="1"/>
        </w:rPr>
        <w:t>for</w:t>
      </w:r>
      <w:r>
        <w:rPr>
          <w:spacing w:val="-4"/>
          <w:position w:val="1"/>
        </w:rPr>
        <w:t> </w:t>
      </w:r>
      <w:r>
        <w:rPr>
          <w:position w:val="1"/>
        </w:rPr>
        <w:t>non-</w:t>
      </w:r>
      <w:r>
        <w:rPr>
          <w:spacing w:val="1"/>
          <w:position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publications.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ECOOM-Antwerp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VABB-SHW,</w:t>
      </w:r>
      <w:r>
        <w:rPr>
          <w:spacing w:val="-9"/>
        </w:rPr>
        <w:t> </w:t>
      </w:r>
      <w:r>
        <w:rPr/>
        <w:t>adding</w:t>
      </w:r>
      <w:r>
        <w:rPr>
          <w:spacing w:val="-7"/>
        </w:rPr>
        <w:t> </w:t>
      </w:r>
      <w:r>
        <w:rPr/>
        <w:t>sources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meet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agreed</w:t>
      </w:r>
      <w:r>
        <w:rPr>
          <w:spacing w:val="-7"/>
        </w:rPr>
        <w:t> </w:t>
      </w:r>
      <w:r>
        <w:rPr/>
        <w:t>set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criteria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delivering</w:t>
      </w:r>
      <w:r>
        <w:rPr>
          <w:spacing w:val="-4"/>
        </w:rPr>
        <w:t> </w:t>
      </w:r>
      <w:r>
        <w:rPr/>
        <w:t>an</w:t>
      </w:r>
      <w:r>
        <w:rPr>
          <w:spacing w:val="-7"/>
        </w:rPr>
        <w:t> </w:t>
      </w:r>
      <w:r>
        <w:rPr/>
        <w:t>updated</w:t>
      </w:r>
      <w:r>
        <w:rPr>
          <w:spacing w:val="-53"/>
        </w:rPr>
        <w:t> </w:t>
      </w:r>
      <w:r>
        <w:rPr>
          <w:position w:val="1"/>
        </w:rPr>
        <w:t>version</w:t>
      </w:r>
      <w:r>
        <w:rPr>
          <w:spacing w:val="-2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the database</w:t>
      </w:r>
      <w:r>
        <w:rPr>
          <w:spacing w:val="1"/>
          <w:position w:val="1"/>
        </w:rPr>
        <w:t> </w:t>
      </w:r>
      <w:r>
        <w:rPr>
          <w:position w:val="1"/>
        </w:rPr>
        <w:t>annually</w:t>
      </w:r>
      <w:r>
        <w:rPr>
          <w:spacing w:val="-2"/>
          <w:position w:val="1"/>
        </w:rPr>
        <w:t> </w:t>
      </w:r>
      <w:r>
        <w:rPr>
          <w:position w:val="1"/>
        </w:rPr>
        <w:t>(Engels and</w:t>
      </w:r>
      <w:r>
        <w:rPr>
          <w:spacing w:val="-1"/>
          <w:position w:val="1"/>
        </w:rPr>
        <w:t> </w:t>
      </w:r>
      <w:r>
        <w:rPr>
          <w:position w:val="1"/>
        </w:rPr>
        <w:t>Guns, 2018</w:t>
      </w:r>
      <w:r>
        <w:rPr>
          <w:sz w:val="13"/>
        </w:rPr>
        <w:t>[50]</w:t>
      </w:r>
      <w:r>
        <w:rPr>
          <w:position w:val="1"/>
        </w:rPr>
        <w:t>).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48" w:id="136"/>
      <w:bookmarkEnd w:id="136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2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3.4.</w:t>
      </w:r>
      <w:r>
        <w:rPr>
          <w:rFonts w:ascii="Arial"/>
          <w:b/>
          <w:color w:val="4E81BD"/>
          <w:spacing w:val="2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Bijzonder</w:t>
      </w:r>
      <w:r>
        <w:rPr>
          <w:rFonts w:ascii="Arial"/>
          <w:b/>
          <w:color w:val="4E81BD"/>
          <w:spacing w:val="2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Onderzoeksfonds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(BOF)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funding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indicators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2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allocation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176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4741"/>
        <w:gridCol w:w="1064"/>
        <w:gridCol w:w="1063"/>
      </w:tblGrid>
      <w:tr>
        <w:trPr>
          <w:trHeight w:val="241" w:hRule="atLeast"/>
        </w:trPr>
        <w:tc>
          <w:tcPr>
            <w:tcW w:w="2347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109" w:right="7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Funding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envelope</w:t>
            </w:r>
          </w:p>
        </w:tc>
        <w:tc>
          <w:tcPr>
            <w:tcW w:w="4741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2049" w:right="20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Indicator</w:t>
            </w:r>
          </w:p>
        </w:tc>
        <w:tc>
          <w:tcPr>
            <w:tcW w:w="1064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right="15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From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2019</w:t>
            </w:r>
          </w:p>
        </w:tc>
        <w:tc>
          <w:tcPr>
            <w:tcW w:w="1063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2"/>
              <w:ind w:left="18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From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2024</w:t>
            </w:r>
          </w:p>
        </w:tc>
      </w:tr>
      <w:tr>
        <w:trPr>
          <w:trHeight w:val="229" w:hRule="atLeast"/>
        </w:trPr>
        <w:tc>
          <w:tcPr>
            <w:tcW w:w="2347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38" w:right="77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Part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(50%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envelope)</w:t>
            </w:r>
          </w:p>
        </w:tc>
        <w:tc>
          <w:tcPr>
            <w:tcW w:w="4741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A1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Fixed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allocation</w:t>
            </w:r>
          </w:p>
        </w:tc>
        <w:tc>
          <w:tcPr>
            <w:tcW w:w="1064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50%</w:t>
            </w:r>
          </w:p>
        </w:tc>
        <w:tc>
          <w:tcPr>
            <w:tcW w:w="1063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50%</w:t>
            </w:r>
          </w:p>
        </w:tc>
      </w:tr>
      <w:tr>
        <w:trPr>
          <w:trHeight w:val="231" w:hRule="atLeast"/>
        </w:trPr>
        <w:tc>
          <w:tcPr>
            <w:tcW w:w="2347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11" w:right="77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Part</w:t>
            </w:r>
            <w:r>
              <w:rPr>
                <w:rFonts w:ascii="Microsoft Sans Serif"/>
                <w:spacing w:val="-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</w:t>
            </w:r>
            <w:r>
              <w:rPr>
                <w:rFonts w:ascii="Microsoft Sans Serif"/>
                <w:spacing w:val="-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(22.5%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-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 envelope)</w:t>
            </w: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B1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Publications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-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Web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10.5%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10.5%</w:t>
            </w:r>
          </w:p>
        </w:tc>
      </w:tr>
    </w:tbl>
    <w:p>
      <w:pPr>
        <w:spacing w:after="0"/>
        <w:jc w:val="right"/>
        <w:rPr>
          <w:rFonts w:ascii="Microsoft Sans Serif"/>
          <w:sz w:val="17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tbl>
      <w:tblPr>
        <w:tblW w:w="0" w:type="auto"/>
        <w:jc w:val="left"/>
        <w:tblInd w:w="176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4741"/>
        <w:gridCol w:w="1064"/>
        <w:gridCol w:w="1063"/>
      </w:tblGrid>
      <w:tr>
        <w:trPr>
          <w:trHeight w:val="428" w:hRule="atLeast"/>
        </w:trPr>
        <w:tc>
          <w:tcPr>
            <w:tcW w:w="2347" w:type="dxa"/>
            <w:vMerge w:val="restart"/>
            <w:tcBorders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741" w:type="dxa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8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B2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Publications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-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Flemish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Bibliographic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Database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Social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Sciences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Humanities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(VABB-SHW)</w:t>
            </w:r>
          </w:p>
        </w:tc>
        <w:tc>
          <w:tcPr>
            <w:tcW w:w="1064" w:type="dxa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16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4.5%</w:t>
            </w:r>
          </w:p>
        </w:tc>
        <w:tc>
          <w:tcPr>
            <w:tcW w:w="1063" w:type="dxa"/>
            <w:tcBorders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16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4.5%</w:t>
            </w:r>
          </w:p>
        </w:tc>
      </w:tr>
      <w:tr>
        <w:trPr>
          <w:trHeight w:val="232" w:hRule="atLeast"/>
        </w:trPr>
        <w:tc>
          <w:tcPr>
            <w:tcW w:w="2347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17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B3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Citations</w:t>
            </w:r>
            <w:r>
              <w:rPr>
                <w:rFonts w:ascii="Microsoft Sans Serif" w:hAns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–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Web</w:t>
            </w:r>
            <w:r>
              <w:rPr>
                <w:rFonts w:ascii="Microsoft Sans Serif" w:hAns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Science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7.5%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7.5%</w:t>
            </w:r>
          </w:p>
        </w:tc>
      </w:tr>
      <w:tr>
        <w:trPr>
          <w:trHeight w:val="222" w:hRule="atLeast"/>
        </w:trPr>
        <w:tc>
          <w:tcPr>
            <w:tcW w:w="2347" w:type="dxa"/>
            <w:vMerge w:val="restart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Part</w:t>
            </w:r>
            <w:r>
              <w:rPr>
                <w:rFonts w:ascii="Microsoft Sans Serif"/>
                <w:spacing w:val="-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</w:t>
            </w:r>
            <w:r>
              <w:rPr>
                <w:rFonts w:ascii="Microsoft Sans Serif"/>
                <w:spacing w:val="-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(27.5%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-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 envelope)</w:t>
            </w: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C1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Number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doctorates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187" w:lineRule="exact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8.25%</w:t>
            </w:r>
          </w:p>
        </w:tc>
      </w:tr>
      <w:tr>
        <w:trPr>
          <w:trHeight w:val="414" w:hRule="atLeast"/>
        </w:trPr>
        <w:tc>
          <w:tcPr>
            <w:tcW w:w="2347" w:type="dxa"/>
            <w:vMerge/>
            <w:tcBorders>
              <w:top w:val="nil"/>
              <w:left w:val="nil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2" w:lineRule="exact" w:before="0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C2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Distribution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citations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Citation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Social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Citation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Indexes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09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10%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09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9.25%</w:t>
            </w:r>
          </w:p>
        </w:tc>
      </w:tr>
      <w:tr>
        <w:trPr>
          <w:trHeight w:val="214" w:hRule="atLeast"/>
        </w:trPr>
        <w:tc>
          <w:tcPr>
            <w:tcW w:w="2347" w:type="dxa"/>
            <w:vMerge/>
            <w:tcBorders>
              <w:top w:val="nil"/>
              <w:left w:val="nil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8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C3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International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co-publications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8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3.75%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187" w:lineRule="exact" w:before="8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3.5%</w:t>
            </w:r>
          </w:p>
        </w:tc>
      </w:tr>
      <w:tr>
        <w:trPr>
          <w:trHeight w:val="214" w:hRule="atLeast"/>
        </w:trPr>
        <w:tc>
          <w:tcPr>
            <w:tcW w:w="2347" w:type="dxa"/>
            <w:vMerge/>
            <w:tcBorders>
              <w:top w:val="nil"/>
              <w:left w:val="nil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8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C4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Share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financial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returns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from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EU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framework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programmes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8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3.75%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187" w:lineRule="exact" w:before="8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3.5%</w:t>
            </w:r>
          </w:p>
        </w:tc>
      </w:tr>
      <w:tr>
        <w:trPr>
          <w:trHeight w:val="214" w:hRule="atLeast"/>
        </w:trPr>
        <w:tc>
          <w:tcPr>
            <w:tcW w:w="2347" w:type="dxa"/>
            <w:vMerge/>
            <w:tcBorders>
              <w:top w:val="nil"/>
              <w:left w:val="nil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8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C5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Inter-disciplinary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publications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(indicator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defined)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8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0%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187" w:lineRule="exact" w:before="8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2%</w:t>
            </w:r>
          </w:p>
        </w:tc>
      </w:tr>
      <w:tr>
        <w:trPr>
          <w:trHeight w:val="224" w:hRule="atLeast"/>
        </w:trPr>
        <w:tc>
          <w:tcPr>
            <w:tcW w:w="2347" w:type="dxa"/>
            <w:vMerge/>
            <w:tcBorders>
              <w:top w:val="nil"/>
              <w:left w:val="nil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0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C6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Diversity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researcher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population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(gender)</w:t>
            </w:r>
          </w:p>
        </w:tc>
        <w:tc>
          <w:tcPr>
            <w:tcW w:w="1064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0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1%</w:t>
            </w:r>
          </w:p>
        </w:tc>
        <w:tc>
          <w:tcPr>
            <w:tcW w:w="1063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before="10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1%</w:t>
            </w:r>
          </w:p>
        </w:tc>
      </w:tr>
    </w:tbl>
    <w:p>
      <w:pPr>
        <w:spacing w:line="256" w:lineRule="auto" w:before="128"/>
        <w:ind w:left="183" w:right="300" w:firstLine="0"/>
        <w:jc w:val="both"/>
        <w:rPr>
          <w:rFonts w:ascii="Microsoft Sans Serif"/>
          <w:sz w:val="18"/>
        </w:rPr>
      </w:pPr>
      <w:r>
        <w:rPr/>
        <w:pict>
          <v:rect style="position:absolute;margin-left:65.183998pt;margin-top:37.781925pt;width:266.570007pt;height:.600010pt;mso-position-horizontal-relative:page;mso-position-vertical-relative:paragraph;z-index:15758336" filled="true" fillcolor="#0000ff" stroked="false">
            <v:fill type="solid"/>
            <w10:wrap type="none"/>
          </v:rect>
        </w:pict>
      </w:r>
      <w:r>
        <w:rPr>
          <w:rFonts w:ascii="Microsoft Sans Serif"/>
          <w:w w:val="80"/>
          <w:position w:val="1"/>
          <w:sz w:val="18"/>
        </w:rPr>
        <w:t>Source: Flemish Government (2019</w:t>
      </w:r>
      <w:r>
        <w:rPr>
          <w:rFonts w:ascii="Microsoft Sans Serif"/>
          <w:w w:val="80"/>
          <w:sz w:val="12"/>
        </w:rPr>
        <w:t>[52]</w:t>
      </w:r>
      <w:r>
        <w:rPr>
          <w:rFonts w:ascii="Microsoft Sans Serif"/>
          <w:w w:val="80"/>
          <w:position w:val="1"/>
          <w:sz w:val="18"/>
        </w:rPr>
        <w:t>), </w:t>
      </w:r>
      <w:r>
        <w:rPr>
          <w:rFonts w:ascii="Arial"/>
          <w:i/>
          <w:w w:val="80"/>
          <w:position w:val="1"/>
          <w:sz w:val="18"/>
        </w:rPr>
        <w:t>Vlaamse Regering keurt BOF-besluit definitief goed: 35 miljoen euro extra voor universiteiten [Flemish</w:t>
      </w:r>
      <w:r>
        <w:rPr>
          <w:rFonts w:ascii="Arial"/>
          <w:i/>
          <w:spacing w:val="1"/>
          <w:w w:val="80"/>
          <w:position w:val="1"/>
          <w:sz w:val="18"/>
        </w:rPr>
        <w:t> </w:t>
      </w:r>
      <w:r>
        <w:rPr>
          <w:rFonts w:ascii="Arial"/>
          <w:i/>
          <w:spacing w:val="-1"/>
          <w:w w:val="85"/>
          <w:sz w:val="18"/>
        </w:rPr>
        <w:t>Government definitively </w:t>
      </w:r>
      <w:r>
        <w:rPr>
          <w:rFonts w:ascii="Arial"/>
          <w:i/>
          <w:w w:val="85"/>
          <w:sz w:val="18"/>
        </w:rPr>
        <w:t>approves BOF decision: 35 million euros extra for universities]</w:t>
      </w:r>
      <w:r>
        <w:rPr>
          <w:rFonts w:ascii="Microsoft Sans Serif"/>
          <w:w w:val="85"/>
          <w:sz w:val="18"/>
        </w:rPr>
        <w:t>, </w:t>
      </w:r>
      <w:hyperlink r:id="rId150">
        <w:r>
          <w:rPr>
            <w:rFonts w:ascii="Microsoft Sans Serif"/>
            <w:color w:val="0000FF"/>
            <w:w w:val="85"/>
            <w:sz w:val="18"/>
            <w:u w:val="single" w:color="0000FF"/>
          </w:rPr>
          <w:t>https://www.ewi-vlaanderen.be/nieuws/vlaamse</w:t>
        </w:r>
        <w:r>
          <w:rPr>
            <w:rFonts w:ascii="Microsoft Sans Serif"/>
            <w:color w:val="0000FF"/>
            <w:w w:val="85"/>
            <w:sz w:val="18"/>
          </w:rPr>
          <w:t>-</w:t>
        </w:r>
      </w:hyperlink>
      <w:r>
        <w:rPr>
          <w:rFonts w:ascii="Microsoft Sans Serif"/>
          <w:color w:val="0000FF"/>
          <w:spacing w:val="1"/>
          <w:w w:val="85"/>
          <w:sz w:val="18"/>
        </w:rPr>
        <w:t> </w:t>
      </w:r>
      <w:hyperlink r:id="rId150">
        <w:r>
          <w:rPr>
            <w:rFonts w:ascii="Microsoft Sans Serif"/>
            <w:color w:val="0000FF"/>
            <w:w w:val="90"/>
            <w:sz w:val="18"/>
          </w:rPr>
          <w:t>regering-keurt-bof-besluit-definitief-goed-35-miljoen-euro-extra-voor-universiteiten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pStyle w:val="BodyText"/>
        <w:spacing w:before="4"/>
        <w:rPr>
          <w:rFonts w:ascii="Microsoft Sans Serif"/>
          <w:sz w:val="25"/>
        </w:rPr>
      </w:pPr>
    </w:p>
    <w:p>
      <w:pPr>
        <w:pStyle w:val="BodyText"/>
        <w:spacing w:line="271" w:lineRule="auto" w:before="93"/>
        <w:ind w:left="183" w:right="301"/>
        <w:jc w:val="both"/>
      </w:pPr>
      <w:r>
        <w:rPr>
          <w:spacing w:val="-1"/>
        </w:rPr>
        <w:t>ECOOM</w:t>
      </w:r>
      <w:r>
        <w:rPr>
          <w:spacing w:val="-11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number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further</w:t>
      </w:r>
      <w:r>
        <w:rPr>
          <w:spacing w:val="-13"/>
        </w:rPr>
        <w:t> </w:t>
      </w:r>
      <w:r>
        <w:rPr/>
        <w:t>roles</w:t>
      </w:r>
      <w:r>
        <w:rPr>
          <w:spacing w:val="-9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research,</w:t>
      </w:r>
      <w:r>
        <w:rPr>
          <w:spacing w:val="-14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innovation</w:t>
      </w:r>
      <w:r>
        <w:rPr>
          <w:spacing w:val="-9"/>
        </w:rPr>
        <w:t> </w:t>
      </w:r>
      <w:r>
        <w:rPr/>
        <w:t>(RD&amp;I)</w:t>
      </w:r>
      <w:r>
        <w:rPr>
          <w:spacing w:val="-9"/>
        </w:rPr>
        <w:t> </w:t>
      </w:r>
      <w:r>
        <w:rPr/>
        <w:t>landscape,</w:t>
      </w:r>
      <w:r>
        <w:rPr>
          <w:spacing w:val="1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maintaining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>
          <w:rFonts w:ascii="Arial" w:hAnsi="Arial"/>
          <w:i/>
        </w:rPr>
        <w:t>Flemish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Indicator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Book</w:t>
      </w:r>
      <w:r>
        <w:rPr/>
        <w:t>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public-facing</w:t>
      </w:r>
      <w:r>
        <w:rPr>
          <w:spacing w:val="-8"/>
        </w:rPr>
        <w:t> </w:t>
      </w:r>
      <w:r>
        <w:rPr/>
        <w:t>publication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“policy</w:t>
      </w:r>
      <w:r>
        <w:rPr>
          <w:spacing w:val="-13"/>
        </w:rPr>
        <w:t> </w:t>
      </w:r>
      <w:r>
        <w:rPr/>
        <w:t>indicators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chart</w:t>
      </w:r>
      <w:r>
        <w:rPr>
          <w:spacing w:val="1"/>
        </w:rPr>
        <w:t> </w:t>
      </w:r>
      <w:r>
        <w:rPr>
          <w:position w:val="1"/>
        </w:rPr>
        <w:t>the development of the Flemish potential in science, technology and innovation” (ECOOM, 2021</w:t>
      </w:r>
      <w:r>
        <w:rPr>
          <w:sz w:val="13"/>
        </w:rPr>
        <w:t>[53]</w:t>
      </w:r>
      <w:r>
        <w:rPr>
          <w:position w:val="1"/>
        </w:rPr>
        <w:t>). The</w:t>
      </w:r>
      <w:r>
        <w:rPr>
          <w:spacing w:val="1"/>
          <w:position w:val="1"/>
        </w:rPr>
        <w:t> </w:t>
      </w:r>
      <w:r>
        <w:rPr/>
        <w:t>government has encouraged ECOOM and other system stakeholders to “come forward with consensus</w:t>
      </w:r>
      <w:r>
        <w:rPr>
          <w:spacing w:val="1"/>
        </w:rPr>
        <w:t> </w:t>
      </w:r>
      <w:r>
        <w:rPr>
          <w:position w:val="1"/>
        </w:rPr>
        <w:t>suggestions</w:t>
      </w:r>
      <w:r>
        <w:rPr>
          <w:spacing w:val="-1"/>
          <w:position w:val="1"/>
        </w:rPr>
        <w:t> </w:t>
      </w:r>
      <w:r>
        <w:rPr>
          <w:position w:val="1"/>
        </w:rPr>
        <w:t>to improve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-1"/>
          <w:position w:val="1"/>
        </w:rPr>
        <w:t> </w:t>
      </w:r>
      <w:r>
        <w:rPr>
          <w:position w:val="1"/>
        </w:rPr>
        <w:t>BOF</w:t>
      </w:r>
      <w:r>
        <w:rPr>
          <w:spacing w:val="-1"/>
          <w:position w:val="1"/>
        </w:rPr>
        <w:t> </w:t>
      </w:r>
      <w:r>
        <w:rPr>
          <w:position w:val="1"/>
        </w:rPr>
        <w:t>key</w:t>
      </w:r>
      <w:r>
        <w:rPr>
          <w:spacing w:val="-6"/>
          <w:position w:val="1"/>
        </w:rPr>
        <w:t> </w:t>
      </w:r>
      <w:r>
        <w:rPr>
          <w:position w:val="1"/>
        </w:rPr>
        <w:t>and BOF</w:t>
      </w:r>
      <w:r>
        <w:rPr>
          <w:spacing w:val="-1"/>
          <w:position w:val="1"/>
        </w:rPr>
        <w:t> </w:t>
      </w:r>
      <w:r>
        <w:rPr>
          <w:position w:val="1"/>
        </w:rPr>
        <w:t>regulation”</w:t>
      </w:r>
      <w:r>
        <w:rPr>
          <w:spacing w:val="5"/>
          <w:position w:val="1"/>
        </w:rPr>
        <w:t> </w:t>
      </w:r>
      <w:r>
        <w:rPr>
          <w:position w:val="1"/>
        </w:rPr>
        <w:t>(Engels</w:t>
      </w:r>
      <w:r>
        <w:rPr>
          <w:spacing w:val="-1"/>
          <w:position w:val="1"/>
        </w:rPr>
        <w:t> </w:t>
      </w:r>
      <w:r>
        <w:rPr>
          <w:position w:val="1"/>
        </w:rPr>
        <w:t>and Guns,</w:t>
      </w:r>
      <w:r>
        <w:rPr>
          <w:spacing w:val="-2"/>
          <w:position w:val="1"/>
        </w:rPr>
        <w:t> </w:t>
      </w:r>
      <w:r>
        <w:rPr>
          <w:position w:val="1"/>
        </w:rPr>
        <w:t>2018</w:t>
      </w:r>
      <w:r>
        <w:rPr>
          <w:sz w:val="13"/>
        </w:rPr>
        <w:t>[50]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0"/>
        <w:jc w:val="both"/>
      </w:pPr>
      <w:r>
        <w:rPr/>
        <w:t>The use of bibliometric indicators in the BOF key has been viewed as a success by the Flemish</w:t>
      </w:r>
      <w:r>
        <w:rPr>
          <w:spacing w:val="1"/>
        </w:rPr>
        <w:t> </w:t>
      </w:r>
      <w:r>
        <w:rPr/>
        <w:t>government. Systems and datasets designed to track and measure performance within BOF have since</w:t>
      </w:r>
      <w:r>
        <w:rPr>
          <w:spacing w:val="1"/>
        </w:rPr>
        <w:t> </w:t>
      </w:r>
      <w:r>
        <w:rPr/>
        <w:t>been</w:t>
      </w:r>
      <w:r>
        <w:rPr>
          <w:spacing w:val="56"/>
        </w:rPr>
        <w:t> </w:t>
      </w:r>
      <w:r>
        <w:rPr/>
        <w:t>replicated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instituted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other</w:t>
      </w:r>
      <w:r>
        <w:rPr>
          <w:spacing w:val="56"/>
        </w:rPr>
        <w:t> </w:t>
      </w:r>
      <w:r>
        <w:rPr/>
        <w:t>areas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Flemish</w:t>
      </w:r>
      <w:r>
        <w:rPr>
          <w:spacing w:val="56"/>
        </w:rPr>
        <w:t> </w:t>
      </w:r>
      <w:r>
        <w:rPr/>
        <w:t>governance.   This   includes   the</w:t>
      </w:r>
      <w:r>
        <w:rPr>
          <w:spacing w:val="1"/>
        </w:rPr>
        <w:t> </w:t>
      </w:r>
      <w:r>
        <w:rPr/>
        <w:t>Industrieel</w:t>
      </w:r>
      <w:r>
        <w:rPr>
          <w:spacing w:val="-6"/>
        </w:rPr>
        <w:t> </w:t>
      </w:r>
      <w:r>
        <w:rPr/>
        <w:t>Onderzoeksfonds</w:t>
      </w:r>
      <w:r>
        <w:rPr>
          <w:spacing w:val="-2"/>
        </w:rPr>
        <w:t> </w:t>
      </w:r>
      <w:r>
        <w:rPr/>
        <w:t>(IOF)</w:t>
      </w:r>
      <w:r>
        <w:rPr>
          <w:spacing w:val="-8"/>
        </w:rPr>
        <w:t> </w:t>
      </w:r>
      <w:r>
        <w:rPr/>
        <w:t>key.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BOF</w:t>
      </w:r>
      <w:r>
        <w:rPr>
          <w:spacing w:val="-7"/>
        </w:rPr>
        <w:t> </w:t>
      </w:r>
      <w:r>
        <w:rPr/>
        <w:t>key</w:t>
      </w:r>
      <w:r>
        <w:rPr>
          <w:spacing w:val="-8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valuable</w:t>
      </w:r>
      <w:r>
        <w:rPr>
          <w:spacing w:val="-5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smaller</w:t>
      </w:r>
      <w:r>
        <w:rPr>
          <w:spacing w:val="-6"/>
        </w:rPr>
        <w:t> </w:t>
      </w:r>
      <w:r>
        <w:rPr/>
        <w:t>non-English</w:t>
      </w:r>
      <w:r>
        <w:rPr>
          <w:spacing w:val="-8"/>
        </w:rPr>
        <w:t> </w:t>
      </w:r>
      <w:r>
        <w:rPr/>
        <w:t>speaking</w:t>
      </w:r>
      <w:r>
        <w:rPr>
          <w:spacing w:val="-7"/>
        </w:rPr>
        <w:t> </w:t>
      </w:r>
      <w:r>
        <w:rPr/>
        <w:t>jurisdictions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adapt</w:t>
      </w:r>
      <w:r>
        <w:rPr>
          <w:spacing w:val="-8"/>
        </w:rPr>
        <w:t> </w:t>
      </w:r>
      <w:r>
        <w:rPr/>
        <w:t>commonly</w:t>
      </w:r>
      <w:r>
        <w:rPr>
          <w:spacing w:val="-10"/>
        </w:rPr>
        <w:t> </w:t>
      </w:r>
      <w:r>
        <w:rPr/>
        <w:t>utilised</w:t>
      </w:r>
      <w:r>
        <w:rPr>
          <w:spacing w:val="-6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metrics</w:t>
      </w:r>
      <w:r>
        <w:rPr>
          <w:spacing w:val="-6"/>
        </w:rPr>
        <w:t> </w:t>
      </w:r>
      <w:r>
        <w:rPr/>
        <w:t>like</w:t>
      </w:r>
      <w:r>
        <w:rPr>
          <w:spacing w:val="1"/>
        </w:rPr>
        <w:t> </w:t>
      </w:r>
      <w:r>
        <w:rPr/>
        <w:t>bibliometrics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better</w:t>
      </w:r>
      <w:r>
        <w:rPr>
          <w:spacing w:val="-2"/>
        </w:rPr>
        <w:t> </w:t>
      </w:r>
      <w:r>
        <w:rPr/>
        <w:t>align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needs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own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system.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recent</w:t>
      </w:r>
      <w:r>
        <w:rPr>
          <w:spacing w:val="-4"/>
        </w:rPr>
        <w:t> </w:t>
      </w:r>
      <w:r>
        <w:rPr/>
        <w:t>edits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BOF</w:t>
      </w:r>
      <w:r>
        <w:rPr>
          <w:spacing w:val="-3"/>
        </w:rPr>
        <w:t> </w:t>
      </w:r>
      <w:r>
        <w:rPr/>
        <w:t>key,</w:t>
      </w:r>
      <w:r>
        <w:rPr>
          <w:spacing w:val="1"/>
        </w:rPr>
        <w:t> </w:t>
      </w:r>
      <w:r>
        <w:rPr/>
        <w:t>decreasing PBF, can be seen as a response to concern raised with previous versions, including that the</w:t>
      </w:r>
      <w:r>
        <w:rPr>
          <w:spacing w:val="1"/>
        </w:rPr>
        <w:t> </w:t>
      </w:r>
      <w:r>
        <w:rPr/>
        <w:t>use of bibliometric indicators created pressure for researchers in certain fields to publish at a higher rate</w:t>
      </w:r>
      <w:r>
        <w:rPr>
          <w:spacing w:val="1"/>
        </w:rPr>
        <w:t> </w:t>
      </w:r>
      <w:r>
        <w:rPr/>
        <w:t>to increase their bibliometrics presence, which in turn could lead to a more short-term approach to</w:t>
      </w:r>
      <w:r>
        <w:rPr>
          <w:spacing w:val="1"/>
        </w:rPr>
        <w:t> </w:t>
      </w:r>
      <w:r>
        <w:rPr>
          <w:position w:val="1"/>
        </w:rPr>
        <w:t>research,</w:t>
      </w:r>
      <w:r>
        <w:rPr>
          <w:spacing w:val="-6"/>
          <w:position w:val="1"/>
        </w:rPr>
        <w:t> </w:t>
      </w:r>
      <w:r>
        <w:rPr>
          <w:position w:val="1"/>
        </w:rPr>
        <w:t>where</w:t>
      </w:r>
      <w:r>
        <w:rPr>
          <w:spacing w:val="-4"/>
          <w:position w:val="1"/>
        </w:rPr>
        <w:t> </w:t>
      </w:r>
      <w:r>
        <w:rPr>
          <w:position w:val="1"/>
        </w:rPr>
        <w:t>quality</w:t>
      </w:r>
      <w:r>
        <w:rPr>
          <w:spacing w:val="-10"/>
          <w:position w:val="1"/>
        </w:rPr>
        <w:t> </w:t>
      </w:r>
      <w:r>
        <w:rPr>
          <w:position w:val="1"/>
        </w:rPr>
        <w:t>could</w:t>
      </w:r>
      <w:r>
        <w:rPr>
          <w:spacing w:val="-4"/>
          <w:position w:val="1"/>
        </w:rPr>
        <w:t> </w:t>
      </w:r>
      <w:r>
        <w:rPr>
          <w:position w:val="1"/>
        </w:rPr>
        <w:t>be</w:t>
      </w:r>
      <w:r>
        <w:rPr>
          <w:spacing w:val="-5"/>
          <w:position w:val="1"/>
        </w:rPr>
        <w:t> </w:t>
      </w:r>
      <w:r>
        <w:rPr>
          <w:position w:val="1"/>
        </w:rPr>
        <w:t>impacted</w:t>
      </w:r>
      <w:r>
        <w:rPr>
          <w:spacing w:val="-3"/>
          <w:position w:val="1"/>
        </w:rPr>
        <w:t> </w:t>
      </w:r>
      <w:r>
        <w:rPr>
          <w:position w:val="1"/>
        </w:rPr>
        <w:t>(Engels</w:t>
      </w:r>
      <w:r>
        <w:rPr>
          <w:spacing w:val="-6"/>
          <w:position w:val="1"/>
        </w:rPr>
        <w:t> </w:t>
      </w:r>
      <w:r>
        <w:rPr>
          <w:position w:val="1"/>
        </w:rPr>
        <w:t>and</w:t>
      </w:r>
      <w:r>
        <w:rPr>
          <w:spacing w:val="-5"/>
          <w:position w:val="1"/>
        </w:rPr>
        <w:t> </w:t>
      </w:r>
      <w:r>
        <w:rPr>
          <w:position w:val="1"/>
        </w:rPr>
        <w:t>Guns,</w:t>
      </w:r>
      <w:r>
        <w:rPr>
          <w:spacing w:val="-4"/>
          <w:position w:val="1"/>
        </w:rPr>
        <w:t> </w:t>
      </w:r>
      <w:r>
        <w:rPr>
          <w:position w:val="1"/>
        </w:rPr>
        <w:t>2018</w:t>
      </w:r>
      <w:r>
        <w:rPr>
          <w:sz w:val="13"/>
        </w:rPr>
        <w:t>[50]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The</w:t>
      </w:r>
      <w:r>
        <w:rPr>
          <w:spacing w:val="-8"/>
          <w:position w:val="1"/>
        </w:rPr>
        <w:t> </w:t>
      </w:r>
      <w:r>
        <w:rPr>
          <w:position w:val="1"/>
        </w:rPr>
        <w:t>collaborative</w:t>
      </w:r>
      <w:r>
        <w:rPr>
          <w:spacing w:val="-5"/>
          <w:position w:val="1"/>
        </w:rPr>
        <w:t> </w:t>
      </w:r>
      <w:r>
        <w:rPr>
          <w:position w:val="1"/>
        </w:rPr>
        <w:t>approach</w:t>
      </w:r>
      <w:r>
        <w:rPr>
          <w:spacing w:val="-5"/>
          <w:position w:val="1"/>
        </w:rPr>
        <w:t> </w:t>
      </w:r>
      <w:r>
        <w:rPr>
          <w:position w:val="1"/>
        </w:rPr>
        <w:t>to</w:t>
      </w:r>
      <w:r>
        <w:rPr>
          <w:spacing w:val="-5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/>
        <w:t>BOF key’s development has also shown evidence of success in both the creation of a system that has</w:t>
      </w:r>
      <w:r>
        <w:rPr>
          <w:spacing w:val="1"/>
        </w:rPr>
        <w:t> </w:t>
      </w:r>
      <w:r>
        <w:rPr/>
        <w:t>considerable buy-in from institutions and also one where all universities have been able to develop</w:t>
      </w:r>
      <w:r>
        <w:rPr>
          <w:spacing w:val="1"/>
        </w:rPr>
        <w:t> </w:t>
      </w:r>
      <w:r>
        <w:rPr/>
        <w:t>expertise</w:t>
      </w:r>
      <w:r>
        <w:rPr>
          <w:spacing w:val="-1"/>
        </w:rPr>
        <w:t> </w:t>
      </w:r>
      <w:r>
        <w:rPr/>
        <w:t>in how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3"/>
        </w:rPr>
        <w:t> </w:t>
      </w:r>
      <w:r>
        <w:rPr/>
        <w:t>works,</w:t>
      </w:r>
      <w:r>
        <w:rPr>
          <w:spacing w:val="-3"/>
        </w:rPr>
        <w:t> </w:t>
      </w:r>
      <w:r>
        <w:rPr/>
        <w:t>indeed</w:t>
      </w:r>
      <w:r>
        <w:rPr>
          <w:spacing w:val="-2"/>
        </w:rPr>
        <w:t> </w:t>
      </w:r>
      <w:r>
        <w:rPr/>
        <w:t>helping</w:t>
      </w:r>
      <w:r>
        <w:rPr>
          <w:spacing w:val="-2"/>
        </w:rPr>
        <w:t> </w:t>
      </w:r>
      <w:r>
        <w:rPr/>
        <w:t>steer</w:t>
      </w:r>
      <w:r>
        <w:rPr>
          <w:spacing w:val="-1"/>
        </w:rPr>
        <w:t> </w:t>
      </w:r>
      <w:r>
        <w:rPr/>
        <w:t>it through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consortium.</w:t>
      </w:r>
    </w:p>
    <w:p>
      <w:pPr>
        <w:pStyle w:val="BodyText"/>
        <w:spacing w:before="2"/>
      </w:pPr>
    </w:p>
    <w:p>
      <w:pPr>
        <w:pStyle w:val="Heading7"/>
      </w:pPr>
      <w:bookmarkStart w:name="France: Using funding and regulation to " w:id="137"/>
      <w:bookmarkEnd w:id="137"/>
      <w:r>
        <w:rPr>
          <w:i w:val="0"/>
        </w:rPr>
      </w:r>
      <w:r>
        <w:rPr>
          <w:color w:val="616161"/>
        </w:rPr>
        <w:t>France:</w:t>
      </w:r>
      <w:r>
        <w:rPr>
          <w:color w:val="616161"/>
          <w:spacing w:val="-5"/>
        </w:rPr>
        <w:t> </w:t>
      </w:r>
      <w:r>
        <w:rPr>
          <w:color w:val="616161"/>
        </w:rPr>
        <w:t>Using</w:t>
      </w:r>
      <w:r>
        <w:rPr>
          <w:color w:val="616161"/>
          <w:spacing w:val="-4"/>
        </w:rPr>
        <w:t> </w:t>
      </w:r>
      <w:r>
        <w:rPr>
          <w:color w:val="616161"/>
        </w:rPr>
        <w:t>funding</w:t>
      </w:r>
      <w:r>
        <w:rPr>
          <w:color w:val="616161"/>
          <w:spacing w:val="-6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regulation</w:t>
      </w:r>
      <w:r>
        <w:rPr>
          <w:color w:val="616161"/>
          <w:spacing w:val="-6"/>
        </w:rPr>
        <w:t> </w:t>
      </w:r>
      <w:r>
        <w:rPr>
          <w:color w:val="616161"/>
        </w:rPr>
        <w:t>to</w:t>
      </w:r>
      <w:r>
        <w:rPr>
          <w:color w:val="616161"/>
          <w:spacing w:val="-5"/>
        </w:rPr>
        <w:t> </w:t>
      </w:r>
      <w:r>
        <w:rPr>
          <w:color w:val="616161"/>
        </w:rPr>
        <w:t>support</w:t>
      </w:r>
      <w:r>
        <w:rPr>
          <w:color w:val="616161"/>
          <w:spacing w:val="-3"/>
        </w:rPr>
        <w:t> </w:t>
      </w:r>
      <w:r>
        <w:rPr>
          <w:color w:val="616161"/>
        </w:rPr>
        <w:t>institutional</w:t>
      </w:r>
      <w:r>
        <w:rPr>
          <w:color w:val="616161"/>
          <w:spacing w:val="-4"/>
        </w:rPr>
        <w:t> </w:t>
      </w:r>
      <w:r>
        <w:rPr>
          <w:color w:val="616161"/>
        </w:rPr>
        <w:t>groupings</w:t>
      </w:r>
    </w:p>
    <w:p>
      <w:pPr>
        <w:pStyle w:val="BodyText"/>
        <w:spacing w:line="271" w:lineRule="auto" w:before="215"/>
        <w:ind w:left="183" w:right="303"/>
        <w:jc w:val="both"/>
      </w:pPr>
      <w:r>
        <w:rPr/>
        <w:t>In</w:t>
      </w:r>
      <w:r>
        <w:rPr>
          <w:spacing w:val="-12"/>
        </w:rPr>
        <w:t> </w:t>
      </w:r>
      <w:r>
        <w:rPr>
          <w:rFonts w:ascii="Arial" w:hAnsi="Arial"/>
          <w:b/>
        </w:rPr>
        <w:t>France</w:t>
      </w:r>
      <w:r>
        <w:rPr/>
        <w:t>,</w:t>
      </w:r>
      <w:r>
        <w:rPr>
          <w:spacing w:val="-9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initiatives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been</w:t>
      </w:r>
      <w:r>
        <w:rPr>
          <w:spacing w:val="-9"/>
        </w:rPr>
        <w:t> </w:t>
      </w:r>
      <w:r>
        <w:rPr/>
        <w:t>conducted</w:t>
      </w:r>
      <w:r>
        <w:rPr>
          <w:spacing w:val="-10"/>
        </w:rPr>
        <w:t> </w:t>
      </w:r>
      <w:r>
        <w:rPr/>
        <w:t>since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1990s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>
          <w:rFonts w:ascii="Arial" w:hAnsi="Arial"/>
          <w:b/>
        </w:rPr>
        <w:t>foster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co-operation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between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HEIs</w:t>
      </w:r>
      <w:r>
        <w:rPr>
          <w:rFonts w:ascii="Arial" w:hAnsi="Arial"/>
          <w:b/>
          <w:spacing w:val="1"/>
        </w:rPr>
        <w:t> </w:t>
      </w:r>
      <w:r>
        <w:rPr/>
        <w:t>in a higher education landscape characterised by a high number of small institutions. The government</w:t>
      </w:r>
      <w:r>
        <w:rPr>
          <w:spacing w:val="1"/>
        </w:rPr>
        <w:t> </w:t>
      </w:r>
      <w:r>
        <w:rPr/>
        <w:t>primarily used funding contracts as the mechanism through which it incentivised collaboration, providing</w:t>
      </w:r>
      <w:r>
        <w:rPr>
          <w:spacing w:val="1"/>
        </w:rPr>
        <w:t> </w:t>
      </w:r>
      <w:r>
        <w:rPr/>
        <w:t>funding to collaborating institutions on top of their regular allocation or allowing them to hire additional</w:t>
      </w:r>
      <w:r>
        <w:rPr>
          <w:spacing w:val="1"/>
        </w:rPr>
        <w:t> </w:t>
      </w:r>
      <w:r>
        <w:rPr>
          <w:position w:val="1"/>
        </w:rPr>
        <w:t>personnel (directly funded by government)</w:t>
      </w:r>
      <w:r>
        <w:rPr>
          <w:spacing w:val="1"/>
          <w:position w:val="1"/>
        </w:rPr>
        <w:t> </w:t>
      </w:r>
      <w:r>
        <w:rPr>
          <w:position w:val="1"/>
        </w:rPr>
        <w:t>(Williams, 2017</w:t>
      </w:r>
      <w:r>
        <w:rPr>
          <w:sz w:val="13"/>
        </w:rPr>
        <w:t>[54]</w:t>
      </w:r>
      <w:r>
        <w:rPr>
          <w:position w:val="1"/>
        </w:rPr>
        <w:t>). Consolidation efforts resulted in the</w:t>
      </w:r>
      <w:r>
        <w:rPr>
          <w:spacing w:val="1"/>
          <w:position w:val="1"/>
        </w:rPr>
        <w:t> </w:t>
      </w:r>
      <w:r>
        <w:rPr/>
        <w:t>creation in 2006 of Centres for Research and Higher Education (Pôles de recherche et d’enseignement</w:t>
      </w:r>
      <w:r>
        <w:rPr>
          <w:spacing w:val="1"/>
        </w:rPr>
        <w:t> </w:t>
      </w:r>
      <w:r>
        <w:rPr/>
        <w:t>supérieur, PRES), bringing together a small number of HEIs and providing them with flexible options to</w:t>
      </w:r>
      <w:r>
        <w:rPr>
          <w:spacing w:val="1"/>
        </w:rPr>
        <w:t> </w:t>
      </w:r>
      <w:r>
        <w:rPr>
          <w:spacing w:val="-1"/>
        </w:rPr>
        <w:t>pool</w:t>
      </w:r>
      <w:r>
        <w:rPr>
          <w:spacing w:val="-14"/>
        </w:rPr>
        <w:t> </w:t>
      </w:r>
      <w:r>
        <w:rPr>
          <w:spacing w:val="-1"/>
        </w:rPr>
        <w:t>resources</w:t>
      </w:r>
      <w:r>
        <w:rPr>
          <w:spacing w:val="-12"/>
        </w:rPr>
        <w:t> </w:t>
      </w:r>
      <w:r>
        <w:rPr>
          <w:spacing w:val="-1"/>
        </w:rPr>
        <w:t>(e.g.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shared</w:t>
      </w:r>
      <w:r>
        <w:rPr>
          <w:spacing w:val="-12"/>
        </w:rPr>
        <w:t> </w:t>
      </w:r>
      <w:r>
        <w:rPr>
          <w:spacing w:val="-1"/>
        </w:rPr>
        <w:t>doctoral</w:t>
      </w:r>
      <w:r>
        <w:rPr>
          <w:spacing w:val="-14"/>
        </w:rPr>
        <w:t> </w:t>
      </w:r>
      <w:r>
        <w:rPr>
          <w:spacing w:val="-1"/>
        </w:rPr>
        <w:t>school,</w:t>
      </w:r>
      <w:r>
        <w:rPr>
          <w:spacing w:val="-12"/>
        </w:rPr>
        <w:t> </w:t>
      </w:r>
      <w:r>
        <w:rPr>
          <w:spacing w:val="-1"/>
        </w:rPr>
        <w:t>management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scientific</w:t>
      </w:r>
      <w:r>
        <w:rPr>
          <w:spacing w:val="-11"/>
        </w:rPr>
        <w:t> </w:t>
      </w:r>
      <w:r>
        <w:rPr/>
        <w:t>equipment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facilities,</w:t>
      </w:r>
      <w:r>
        <w:rPr>
          <w:spacing w:val="-13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 internationalisation and the joint attribution of scientific publications). Although participation in PRES</w:t>
      </w:r>
      <w:r>
        <w:rPr>
          <w:spacing w:val="1"/>
        </w:rPr>
        <w:t> </w:t>
      </w:r>
      <w:r>
        <w:rPr/>
        <w:t>was optional, the initiative received a positive response from HEIs: 26 PRES were constituted in 2012,</w:t>
      </w:r>
      <w:r>
        <w:rPr>
          <w:spacing w:val="1"/>
        </w:rPr>
        <w:t> </w:t>
      </w:r>
      <w:r>
        <w:rPr/>
        <w:t>whereas</w:t>
      </w:r>
      <w:r>
        <w:rPr>
          <w:spacing w:val="-1"/>
        </w:rPr>
        <w:t> </w:t>
      </w:r>
      <w:r>
        <w:rPr/>
        <w:t>the government was expecting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date.</w:t>
      </w:r>
    </w:p>
    <w:p>
      <w:pPr>
        <w:pStyle w:val="BodyText"/>
        <w:spacing w:line="271" w:lineRule="auto" w:before="123"/>
        <w:ind w:left="183" w:right="302"/>
        <w:jc w:val="both"/>
      </w:pPr>
      <w:r>
        <w:rPr/>
        <w:t>To create additional opportunities for HEIs to collaborate, France introduced excellence initiatives, with a</w:t>
      </w:r>
      <w:r>
        <w:rPr>
          <w:spacing w:val="1"/>
        </w:rPr>
        <w:t> </w:t>
      </w:r>
      <w:r>
        <w:rPr/>
        <w:t>focus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capital</w:t>
      </w:r>
      <w:r>
        <w:rPr>
          <w:spacing w:val="-6"/>
        </w:rPr>
        <w:t> </w:t>
      </w:r>
      <w:r>
        <w:rPr/>
        <w:t>investments,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encourage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concentration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public</w:t>
      </w:r>
      <w:r>
        <w:rPr>
          <w:spacing w:val="-5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enhance</w:t>
      </w:r>
      <w:r>
        <w:rPr>
          <w:spacing w:val="-7"/>
        </w:rPr>
        <w:t> </w:t>
      </w:r>
      <w:r>
        <w:rPr/>
        <w:t>funding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>
          <w:position w:val="1"/>
        </w:rPr>
        <w:t>a select number of internationally competitive clusters (Guiselin, 2019</w:t>
      </w:r>
      <w:r>
        <w:rPr>
          <w:sz w:val="13"/>
        </w:rPr>
        <w:t>[55]</w:t>
      </w:r>
      <w:r>
        <w:rPr>
          <w:position w:val="1"/>
        </w:rPr>
        <w:t>). The first “excellence initiative”</w:t>
      </w:r>
      <w:r>
        <w:rPr>
          <w:spacing w:val="1"/>
          <w:position w:val="1"/>
        </w:rPr>
        <w:t> </w:t>
      </w:r>
      <w:r>
        <w:rPr/>
        <w:t>call</w:t>
      </w:r>
      <w:r>
        <w:rPr>
          <w:spacing w:val="37"/>
        </w:rPr>
        <w:t> </w:t>
      </w:r>
      <w:r>
        <w:rPr/>
        <w:t>for</w:t>
      </w:r>
      <w:r>
        <w:rPr>
          <w:spacing w:val="39"/>
        </w:rPr>
        <w:t> </w:t>
      </w:r>
      <w:r>
        <w:rPr/>
        <w:t>applications</w:t>
      </w:r>
      <w:r>
        <w:rPr>
          <w:spacing w:val="39"/>
        </w:rPr>
        <w:t> </w:t>
      </w:r>
      <w:r>
        <w:rPr/>
        <w:t>(IdEX),</w:t>
      </w:r>
      <w:r>
        <w:rPr>
          <w:spacing w:val="41"/>
        </w:rPr>
        <w:t> </w:t>
      </w:r>
      <w:r>
        <w:rPr/>
        <w:t>which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part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5"/>
        </w:rPr>
        <w:t> </w:t>
      </w:r>
      <w:r>
        <w:rPr/>
        <w:t>Plan</w:t>
      </w:r>
      <w:r>
        <w:rPr>
          <w:spacing w:val="38"/>
        </w:rPr>
        <w:t> </w:t>
      </w:r>
      <w:r>
        <w:rPr/>
        <w:t>d’investissement</w:t>
      </w:r>
      <w:r>
        <w:rPr>
          <w:spacing w:val="37"/>
        </w:rPr>
        <w:t> </w:t>
      </w:r>
      <w:r>
        <w:rPr/>
        <w:t>pour</w:t>
      </w:r>
      <w:r>
        <w:rPr>
          <w:spacing w:val="39"/>
        </w:rPr>
        <w:t> </w:t>
      </w:r>
      <w:r>
        <w:rPr/>
        <w:t>l’avenir</w:t>
      </w:r>
      <w:r>
        <w:rPr>
          <w:spacing w:val="43"/>
        </w:rPr>
        <w:t> </w:t>
      </w:r>
      <w:r>
        <w:rPr/>
        <w:t>(PIA),</w:t>
      </w:r>
      <w:r>
        <w:rPr>
          <w:spacing w:val="41"/>
        </w:rPr>
        <w:t> </w:t>
      </w:r>
      <w:r>
        <w:rPr/>
        <w:t>attributed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3"/>
        <w:jc w:val="both"/>
      </w:pPr>
      <w:r>
        <w:rPr/>
        <w:t>EUR</w:t>
      </w:r>
      <w:r>
        <w:rPr>
          <w:spacing w:val="-5"/>
        </w:rPr>
        <w:t> </w:t>
      </w:r>
      <w:r>
        <w:rPr/>
        <w:t>6.35</w:t>
      </w:r>
      <w:r>
        <w:rPr>
          <w:spacing w:val="-3"/>
        </w:rPr>
        <w:t> </w:t>
      </w:r>
      <w:r>
        <w:rPr/>
        <w:t>billion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2010</w:t>
      </w:r>
      <w:r>
        <w:rPr>
          <w:spacing w:val="-8"/>
        </w:rPr>
        <w:t> </w:t>
      </w:r>
      <w:r>
        <w:rPr/>
        <w:t>over</w:t>
      </w:r>
      <w:r>
        <w:rPr>
          <w:spacing w:val="-6"/>
        </w:rPr>
        <w:t> </w:t>
      </w:r>
      <w:r>
        <w:rPr/>
        <w:t>ten</w:t>
      </w:r>
      <w:r>
        <w:rPr>
          <w:spacing w:val="-4"/>
        </w:rPr>
        <w:t> </w:t>
      </w:r>
      <w:r>
        <w:rPr/>
        <w:t>years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eight</w:t>
      </w:r>
      <w:r>
        <w:rPr>
          <w:spacing w:val="-7"/>
        </w:rPr>
        <w:t> </w:t>
      </w:r>
      <w:r>
        <w:rPr/>
        <w:t>initiatives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institutions</w:t>
      </w:r>
      <w:r>
        <w:rPr>
          <w:spacing w:val="-6"/>
        </w:rPr>
        <w:t> </w:t>
      </w:r>
      <w:r>
        <w:rPr/>
        <w:t>pursuing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grouping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merging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271" w:lineRule="auto" w:before="118"/>
        <w:ind w:left="183" w:right="301"/>
        <w:jc w:val="both"/>
      </w:pPr>
      <w:r>
        <w:rPr/>
        <w:t>The 2013 legislation on higher education and research goes one step further in developing institutional</w:t>
      </w:r>
      <w:r>
        <w:rPr>
          <w:spacing w:val="1"/>
        </w:rPr>
        <w:t> </w:t>
      </w:r>
      <w:r>
        <w:rPr>
          <w:spacing w:val="-1"/>
        </w:rPr>
        <w:t>groupings,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requiring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8"/>
        </w:rPr>
        <w:t> </w:t>
      </w:r>
      <w:r>
        <w:rPr>
          <w:spacing w:val="-1"/>
        </w:rPr>
        <w:t>HEIs</w:t>
      </w:r>
      <w:r>
        <w:rPr>
          <w:spacing w:val="-8"/>
        </w:rPr>
        <w:t> </w:t>
      </w:r>
      <w:r>
        <w:rPr>
          <w:spacing w:val="-1"/>
        </w:rPr>
        <w:t>under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supervision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Ministry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part</w:t>
      </w:r>
      <w:r>
        <w:rPr>
          <w:spacing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an</w:t>
      </w:r>
      <w:r>
        <w:rPr>
          <w:spacing w:val="-8"/>
          <w:position w:val="1"/>
        </w:rPr>
        <w:t> </w:t>
      </w:r>
      <w:r>
        <w:rPr>
          <w:position w:val="1"/>
        </w:rPr>
        <w:t>institutional</w:t>
      </w:r>
      <w:r>
        <w:rPr>
          <w:spacing w:val="-6"/>
          <w:position w:val="1"/>
        </w:rPr>
        <w:t> </w:t>
      </w:r>
      <w:r>
        <w:rPr>
          <w:position w:val="1"/>
        </w:rPr>
        <w:t>grouping</w:t>
      </w:r>
      <w:r>
        <w:rPr>
          <w:spacing w:val="-8"/>
          <w:position w:val="1"/>
        </w:rPr>
        <w:t> </w:t>
      </w:r>
      <w:r>
        <w:rPr>
          <w:position w:val="1"/>
        </w:rPr>
        <w:t>from</w:t>
      </w:r>
      <w:r>
        <w:rPr>
          <w:spacing w:val="-6"/>
          <w:position w:val="1"/>
        </w:rPr>
        <w:t> </w:t>
      </w:r>
      <w:r>
        <w:rPr>
          <w:position w:val="1"/>
        </w:rPr>
        <w:t>2014</w:t>
      </w:r>
      <w:r>
        <w:rPr>
          <w:spacing w:val="-7"/>
          <w:position w:val="1"/>
        </w:rPr>
        <w:t> </w:t>
      </w:r>
      <w:r>
        <w:rPr>
          <w:position w:val="1"/>
        </w:rPr>
        <w:t>onwards</w:t>
      </w:r>
      <w:r>
        <w:rPr>
          <w:spacing w:val="-4"/>
          <w:position w:val="1"/>
        </w:rPr>
        <w:t> </w:t>
      </w:r>
      <w:r>
        <w:rPr>
          <w:position w:val="1"/>
        </w:rPr>
        <w:t>(Légifrance,</w:t>
      </w:r>
      <w:r>
        <w:rPr>
          <w:spacing w:val="-8"/>
          <w:position w:val="1"/>
        </w:rPr>
        <w:t> </w:t>
      </w:r>
      <w:r>
        <w:rPr>
          <w:position w:val="1"/>
        </w:rPr>
        <w:t>2013</w:t>
      </w:r>
      <w:r>
        <w:rPr>
          <w:sz w:val="13"/>
        </w:rPr>
        <w:t>[56]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HEIs</w:t>
      </w:r>
      <w:r>
        <w:rPr>
          <w:spacing w:val="-6"/>
          <w:position w:val="1"/>
        </w:rPr>
        <w:t> </w:t>
      </w:r>
      <w:r>
        <w:rPr>
          <w:position w:val="1"/>
        </w:rPr>
        <w:t>can</w:t>
      </w:r>
      <w:r>
        <w:rPr>
          <w:spacing w:val="-7"/>
          <w:position w:val="1"/>
        </w:rPr>
        <w:t> </w:t>
      </w:r>
      <w:r>
        <w:rPr>
          <w:position w:val="1"/>
        </w:rPr>
        <w:t>choose</w:t>
      </w:r>
      <w:r>
        <w:rPr>
          <w:spacing w:val="-8"/>
          <w:position w:val="1"/>
        </w:rPr>
        <w:t> </w:t>
      </w:r>
      <w:r>
        <w:rPr>
          <w:position w:val="1"/>
        </w:rPr>
        <w:t>from</w:t>
      </w:r>
      <w:r>
        <w:rPr>
          <w:spacing w:val="-3"/>
          <w:position w:val="1"/>
        </w:rPr>
        <w:t> </w:t>
      </w:r>
      <w:r>
        <w:rPr>
          <w:position w:val="1"/>
        </w:rPr>
        <w:t>three</w:t>
      </w:r>
      <w:r>
        <w:rPr>
          <w:spacing w:val="-7"/>
          <w:position w:val="1"/>
        </w:rPr>
        <w:t> </w:t>
      </w:r>
      <w:r>
        <w:rPr>
          <w:position w:val="1"/>
        </w:rPr>
        <w:t>types</w:t>
      </w:r>
      <w:r>
        <w:rPr>
          <w:spacing w:val="-6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/>
        <w:t>clusters, providing different degrees and types of integration: mergers; Communities of Universities and</w:t>
      </w:r>
      <w:r>
        <w:rPr>
          <w:spacing w:val="1"/>
        </w:rPr>
        <w:t> </w:t>
      </w:r>
      <w:r>
        <w:rPr/>
        <w:t>Institutions (Communautés d’Universités et d’Etablissements, COMUE) (all participating institutions reach</w:t>
      </w:r>
      <w:r>
        <w:rPr>
          <w:spacing w:val="-54"/>
        </w:rPr>
        <w:t> </w:t>
      </w:r>
      <w:r>
        <w:rPr/>
        <w:t>an</w:t>
      </w:r>
      <w:r>
        <w:rPr>
          <w:spacing w:val="-7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COMUE</w:t>
      </w:r>
      <w:r>
        <w:rPr>
          <w:spacing w:val="-6"/>
        </w:rPr>
        <w:t> </w:t>
      </w:r>
      <w:r>
        <w:rPr/>
        <w:t>statutes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competences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transfers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COMUE</w:t>
      </w:r>
      <w:r>
        <w:rPr>
          <w:spacing w:val="-53"/>
        </w:rPr>
        <w:t> </w:t>
      </w:r>
      <w:r>
        <w:rPr/>
        <w:t>level); or Association of HEIs and research institutions with one institution in charge of the co-ordination</w:t>
      </w:r>
      <w:r>
        <w:rPr>
          <w:spacing w:val="1"/>
        </w:rPr>
        <w:t> </w:t>
      </w:r>
      <w:r>
        <w:rPr>
          <w:position w:val="1"/>
        </w:rPr>
        <w:t>(Légifrance, 2013</w:t>
      </w:r>
      <w:r>
        <w:rPr>
          <w:sz w:val="13"/>
        </w:rPr>
        <w:t>[57]</w:t>
      </w:r>
      <w:r>
        <w:rPr>
          <w:position w:val="1"/>
        </w:rPr>
        <w:t>). The 2013 law stipulates that only one grouping – whether a merged institution, a</w:t>
      </w:r>
      <w:r>
        <w:rPr>
          <w:spacing w:val="1"/>
          <w:position w:val="1"/>
        </w:rPr>
        <w:t> </w:t>
      </w:r>
      <w:r>
        <w:rPr/>
        <w:t>COMUE or an Association – is responsible for co-ordination of higher education per academic region</w:t>
      </w:r>
      <w:r>
        <w:rPr>
          <w:spacing w:val="1"/>
        </w:rPr>
        <w:t> </w:t>
      </w:r>
      <w:r>
        <w:rPr>
          <w:position w:val="1"/>
        </w:rPr>
        <w:t>(called</w:t>
      </w:r>
      <w:r>
        <w:rPr>
          <w:spacing w:val="-4"/>
          <w:position w:val="1"/>
        </w:rPr>
        <w:t> </w:t>
      </w:r>
      <w:r>
        <w:rPr>
          <w:position w:val="1"/>
        </w:rPr>
        <w:t>“Academies”),</w:t>
      </w:r>
      <w:r>
        <w:rPr>
          <w:spacing w:val="-4"/>
          <w:position w:val="1"/>
        </w:rPr>
        <w:t> </w:t>
      </w:r>
      <w:r>
        <w:rPr>
          <w:position w:val="1"/>
        </w:rPr>
        <w:t>except</w:t>
      </w:r>
      <w:r>
        <w:rPr>
          <w:spacing w:val="-4"/>
          <w:position w:val="1"/>
        </w:rPr>
        <w:t> </w:t>
      </w:r>
      <w:r>
        <w:rPr>
          <w:position w:val="1"/>
        </w:rPr>
        <w:t>in</w:t>
      </w:r>
      <w:r>
        <w:rPr>
          <w:spacing w:val="-4"/>
          <w:position w:val="1"/>
        </w:rPr>
        <w:t> </w:t>
      </w:r>
      <w:r>
        <w:rPr>
          <w:position w:val="1"/>
        </w:rPr>
        <w:t>the</w:t>
      </w:r>
      <w:r>
        <w:rPr>
          <w:spacing w:val="-4"/>
          <w:position w:val="1"/>
        </w:rPr>
        <w:t> </w:t>
      </w:r>
      <w:r>
        <w:rPr>
          <w:position w:val="1"/>
        </w:rPr>
        <w:t>Paris</w:t>
      </w:r>
      <w:r>
        <w:rPr>
          <w:spacing w:val="-3"/>
          <w:position w:val="1"/>
        </w:rPr>
        <w:t> </w:t>
      </w:r>
      <w:r>
        <w:rPr>
          <w:position w:val="1"/>
        </w:rPr>
        <w:t>area</w:t>
      </w:r>
      <w:r>
        <w:rPr>
          <w:spacing w:val="-3"/>
          <w:position w:val="1"/>
        </w:rPr>
        <w:t> </w:t>
      </w:r>
      <w:r>
        <w:rPr>
          <w:position w:val="1"/>
        </w:rPr>
        <w:t>where</w:t>
      </w:r>
      <w:r>
        <w:rPr>
          <w:spacing w:val="-4"/>
          <w:position w:val="1"/>
        </w:rPr>
        <w:t> </w:t>
      </w:r>
      <w:r>
        <w:rPr>
          <w:position w:val="1"/>
        </w:rPr>
        <w:t>different</w:t>
      </w:r>
      <w:r>
        <w:rPr>
          <w:spacing w:val="-4"/>
          <w:position w:val="1"/>
        </w:rPr>
        <w:t> </w:t>
      </w:r>
      <w:r>
        <w:rPr>
          <w:position w:val="1"/>
        </w:rPr>
        <w:t>groupings</w:t>
      </w:r>
      <w:r>
        <w:rPr>
          <w:spacing w:val="-3"/>
          <w:position w:val="1"/>
        </w:rPr>
        <w:t> </w:t>
      </w:r>
      <w:r>
        <w:rPr>
          <w:position w:val="1"/>
        </w:rPr>
        <w:t>coexist</w:t>
      </w:r>
      <w:r>
        <w:rPr>
          <w:spacing w:val="4"/>
          <w:position w:val="1"/>
        </w:rPr>
        <w:t> </w:t>
      </w:r>
      <w:r>
        <w:rPr>
          <w:position w:val="1"/>
        </w:rPr>
        <w:t>(Légifrance,</w:t>
      </w:r>
      <w:r>
        <w:rPr>
          <w:spacing w:val="-5"/>
          <w:position w:val="1"/>
        </w:rPr>
        <w:t> </w:t>
      </w:r>
      <w:r>
        <w:rPr>
          <w:position w:val="1"/>
        </w:rPr>
        <w:t>2013</w:t>
      </w:r>
      <w:r>
        <w:rPr>
          <w:sz w:val="13"/>
        </w:rPr>
        <w:t>[56]</w:t>
      </w:r>
      <w:r>
        <w:rPr>
          <w:position w:val="1"/>
        </w:rPr>
        <w:t>).</w:t>
      </w:r>
    </w:p>
    <w:p>
      <w:pPr>
        <w:pStyle w:val="BodyText"/>
        <w:spacing w:line="271" w:lineRule="auto" w:before="124"/>
        <w:ind w:left="183" w:right="302"/>
        <w:jc w:val="both"/>
      </w:pPr>
      <w:r>
        <w:rPr>
          <w:spacing w:val="-1"/>
        </w:rPr>
        <w:t>Following</w:t>
      </w:r>
      <w:r>
        <w:rPr>
          <w:spacing w:val="-14"/>
        </w:rPr>
        <w:t> </w:t>
      </w:r>
      <w:r>
        <w:rPr>
          <w:spacing w:val="-1"/>
        </w:rPr>
        <w:t>requests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9"/>
        </w:rPr>
        <w:t> </w:t>
      </w:r>
      <w:r>
        <w:rPr>
          <w:spacing w:val="-1"/>
        </w:rPr>
        <w:t>established</w:t>
      </w:r>
      <w:r>
        <w:rPr>
          <w:spacing w:val="-11"/>
        </w:rPr>
        <w:t> </w:t>
      </w:r>
      <w:r>
        <w:rPr>
          <w:spacing w:val="-1"/>
        </w:rPr>
        <w:t>COMUEs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experiment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additional</w:t>
      </w:r>
      <w:r>
        <w:rPr>
          <w:spacing w:val="-14"/>
        </w:rPr>
        <w:t> </w:t>
      </w:r>
      <w:r>
        <w:rPr/>
        <w:t>forms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institutional</w:t>
      </w:r>
      <w:r>
        <w:rPr>
          <w:spacing w:val="-14"/>
        </w:rPr>
        <w:t> </w:t>
      </w:r>
      <w:r>
        <w:rPr/>
        <w:t>groupings</w:t>
      </w:r>
      <w:r>
        <w:rPr>
          <w:spacing w:val="1"/>
        </w:rPr>
        <w:t> </w:t>
      </w:r>
      <w:r>
        <w:rPr/>
        <w:t>or mergers, a 2018 government regulation (</w:t>
      </w:r>
      <w:r>
        <w:rPr>
          <w:rFonts w:ascii="Arial" w:hAnsi="Arial"/>
          <w:i/>
        </w:rPr>
        <w:t>ordonnance</w:t>
      </w:r>
      <w:r>
        <w:rPr/>
        <w:t>) permitted the creation of a new form of grouping</w:t>
      </w:r>
      <w:r>
        <w:rPr>
          <w:spacing w:val="-53"/>
        </w:rPr>
        <w:t> </w:t>
      </w:r>
      <w:r>
        <w:rPr/>
        <w:t>called “experimental public institution” </w:t>
      </w:r>
      <w:r>
        <w:rPr>
          <w:rFonts w:ascii="Arial" w:hAnsi="Arial"/>
          <w:i/>
        </w:rPr>
        <w:t>(établissement public experimental) </w:t>
      </w:r>
      <w:r>
        <w:rPr/>
        <w:t>for a ten-year trial period</w:t>
      </w:r>
      <w:r>
        <w:rPr>
          <w:spacing w:val="1"/>
        </w:rPr>
        <w:t> </w:t>
      </w:r>
      <w:r>
        <w:rPr>
          <w:position w:val="1"/>
        </w:rPr>
        <w:t>(Légifrance, 2018</w:t>
      </w:r>
      <w:r>
        <w:rPr>
          <w:sz w:val="13"/>
        </w:rPr>
        <w:t>[58]</w:t>
      </w:r>
      <w:r>
        <w:rPr>
          <w:position w:val="1"/>
        </w:rPr>
        <w:t>). Experimental public institutions, whose creation and continuation are subject to</w:t>
      </w:r>
      <w:r>
        <w:rPr>
          <w:spacing w:val="1"/>
          <w:position w:val="1"/>
        </w:rPr>
        <w:t> </w:t>
      </w:r>
      <w:r>
        <w:rPr/>
        <w:t>evaluation and approval conducted by national councils in charge of the co-ordination and evaluation of</w:t>
      </w:r>
      <w:r>
        <w:rPr>
          <w:spacing w:val="1"/>
        </w:rPr>
        <w:t> </w:t>
      </w:r>
      <w:r>
        <w:rPr/>
        <w:t>higher education and research aim to provide increased flexibility to participating HEIs, for instance,</w:t>
      </w:r>
      <w:r>
        <w:rPr>
          <w:spacing w:val="1"/>
        </w:rPr>
        <w:t> </w:t>
      </w:r>
      <w:r>
        <w:rPr/>
        <w:t>allowing</w:t>
      </w:r>
      <w:r>
        <w:rPr>
          <w:spacing w:val="-6"/>
        </w:rPr>
        <w:t> </w:t>
      </w:r>
      <w:r>
        <w:rPr/>
        <w:t>participating</w:t>
      </w:r>
      <w:r>
        <w:rPr>
          <w:spacing w:val="-7"/>
        </w:rPr>
        <w:t> </w:t>
      </w:r>
      <w:r>
        <w:rPr/>
        <w:t>institutions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choose</w:t>
      </w:r>
      <w:r>
        <w:rPr>
          <w:spacing w:val="-3"/>
        </w:rPr>
        <w:t> </w:t>
      </w:r>
      <w:r>
        <w:rPr/>
        <w:t>whether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remain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distinct</w:t>
      </w:r>
      <w:r>
        <w:rPr>
          <w:spacing w:val="-5"/>
        </w:rPr>
        <w:t> </w:t>
      </w:r>
      <w:r>
        <w:rPr/>
        <w:t>legal</w:t>
      </w:r>
      <w:r>
        <w:rPr>
          <w:spacing w:val="-7"/>
        </w:rPr>
        <w:t> </w:t>
      </w:r>
      <w:r>
        <w:rPr/>
        <w:t>entity</w:t>
      </w:r>
      <w:r>
        <w:rPr>
          <w:spacing w:val="-8"/>
        </w:rPr>
        <w:t> </w:t>
      </w:r>
      <w:r>
        <w:rPr/>
        <w:t>while</w:t>
      </w:r>
      <w:r>
        <w:rPr>
          <w:spacing w:val="-7"/>
        </w:rPr>
        <w:t> </w:t>
      </w:r>
      <w:r>
        <w:rPr/>
        <w:t>joining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1"/>
        </w:rPr>
        <w:t>grouping (French</w:t>
      </w:r>
      <w:r>
        <w:rPr>
          <w:spacing w:val="-2"/>
          <w:position w:val="1"/>
        </w:rPr>
        <w:t> </w:t>
      </w:r>
      <w:r>
        <w:rPr>
          <w:position w:val="1"/>
        </w:rPr>
        <w:t>Ministry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National</w:t>
      </w:r>
      <w:r>
        <w:rPr>
          <w:spacing w:val="-1"/>
          <w:position w:val="1"/>
        </w:rPr>
        <w:t> </w:t>
      </w:r>
      <w:r>
        <w:rPr>
          <w:position w:val="1"/>
        </w:rPr>
        <w:t>Education, Youth and</w:t>
      </w:r>
      <w:r>
        <w:rPr>
          <w:spacing w:val="1"/>
          <w:position w:val="1"/>
        </w:rPr>
        <w:t> </w:t>
      </w:r>
      <w:r>
        <w:rPr>
          <w:position w:val="1"/>
        </w:rPr>
        <w:t>Sport,</w:t>
      </w:r>
      <w:r>
        <w:rPr>
          <w:spacing w:val="-2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[59]</w:t>
      </w:r>
      <w:r>
        <w:rPr>
          <w:position w:val="1"/>
        </w:rPr>
        <w:t>).</w:t>
      </w:r>
    </w:p>
    <w:p>
      <w:pPr>
        <w:pStyle w:val="BodyText"/>
        <w:spacing w:line="271" w:lineRule="auto" w:before="119"/>
        <w:ind w:left="183" w:right="301"/>
        <w:jc w:val="both"/>
      </w:pPr>
      <w:r>
        <w:rPr/>
        <w:t>In 2020, 168 HEIs were part of 27 institutional groupings (7 Associations, 9 COMUEs, 2 Coordinations</w:t>
      </w:r>
      <w:r>
        <w:rPr>
          <w:spacing w:val="1"/>
        </w:rPr>
        <w:t> </w:t>
      </w:r>
      <w:r>
        <w:rPr/>
        <w:t>territoriales, and 9 experimental public institutions), representing approximately half of the total student</w:t>
      </w:r>
      <w:r>
        <w:rPr>
          <w:spacing w:val="1"/>
        </w:rPr>
        <w:t> </w:t>
      </w:r>
      <w:r>
        <w:rPr>
          <w:position w:val="1"/>
        </w:rPr>
        <w:t>enrolment in higher education (French Ministry of National Education, Youth and Sport, 2020</w:t>
      </w:r>
      <w:r>
        <w:rPr>
          <w:sz w:val="13"/>
        </w:rPr>
        <w:t>[59]</w:t>
      </w:r>
      <w:r>
        <w:rPr>
          <w:position w:val="1"/>
        </w:rPr>
        <w:t>). These</w:t>
      </w:r>
      <w:r>
        <w:rPr>
          <w:spacing w:val="1"/>
          <w:position w:val="1"/>
        </w:rPr>
        <w:t> </w:t>
      </w:r>
      <w:r>
        <w:rPr/>
        <w:t>groupings, in addition to several full institutional mergers, have transformed the French institutional</w:t>
      </w:r>
      <w:r>
        <w:rPr>
          <w:spacing w:val="1"/>
        </w:rPr>
        <w:t> </w:t>
      </w:r>
      <w:r>
        <w:rPr/>
        <w:t>landscape.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groupings</w:t>
      </w:r>
      <w:r>
        <w:rPr>
          <w:spacing w:val="-5"/>
        </w:rPr>
        <w:t> </w:t>
      </w:r>
      <w:r>
        <w:rPr/>
        <w:t>have</w:t>
      </w:r>
      <w:r>
        <w:rPr>
          <w:spacing w:val="-8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levels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integration,</w:t>
      </w:r>
      <w:r>
        <w:rPr>
          <w:spacing w:val="-8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them</w:t>
      </w:r>
      <w:r>
        <w:rPr>
          <w:spacing w:val="-4"/>
        </w:rPr>
        <w:t> </w:t>
      </w:r>
      <w:r>
        <w:rPr/>
        <w:t>having,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instance,</w:t>
      </w:r>
      <w:r>
        <w:rPr>
          <w:spacing w:val="-7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the ability to deliver degrees as a single entity. The process of institutional grouping was not always well</w:t>
      </w:r>
      <w:r>
        <w:rPr>
          <w:spacing w:val="1"/>
        </w:rPr>
        <w:t> </w:t>
      </w:r>
      <w:r>
        <w:rPr/>
        <w:t>understood by the public, and has encountered resistance from stakeholders, including staff and student</w:t>
      </w:r>
      <w:r>
        <w:rPr>
          <w:spacing w:val="1"/>
        </w:rPr>
        <w:t> </w:t>
      </w:r>
      <w:r>
        <w:rPr/>
        <w:t>unions, which some analysts have attributed to limited consultation and entrenched political positions</w:t>
      </w:r>
      <w:r>
        <w:rPr>
          <w:spacing w:val="1"/>
        </w:rPr>
        <w:t> </w:t>
      </w:r>
      <w:r>
        <w:rPr>
          <w:position w:val="1"/>
        </w:rPr>
        <w:t>(Williams,</w:t>
      </w:r>
      <w:r>
        <w:rPr>
          <w:spacing w:val="-2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[54]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The</w:t>
      </w:r>
      <w:r>
        <w:rPr>
          <w:spacing w:val="-8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institutional</w:t>
      </w:r>
      <w:r>
        <w:rPr>
          <w:spacing w:val="-7"/>
        </w:rPr>
        <w:t> </w:t>
      </w:r>
      <w:r>
        <w:rPr/>
        <w:t>groupings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international</w:t>
      </w:r>
      <w:r>
        <w:rPr>
          <w:spacing w:val="-8"/>
        </w:rPr>
        <w:t> </w:t>
      </w:r>
      <w:r>
        <w:rPr/>
        <w:t>competitiveness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immediate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government,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stagnation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position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France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indicators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excellence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international</w:t>
      </w:r>
      <w:r>
        <w:rPr>
          <w:spacing w:val="1"/>
        </w:rPr>
        <w:t> </w:t>
      </w:r>
      <w:r>
        <w:rPr>
          <w:position w:val="1"/>
        </w:rPr>
        <w:t>competitiveness (Guiselin, 2019</w:t>
      </w:r>
      <w:r>
        <w:rPr>
          <w:sz w:val="13"/>
        </w:rPr>
        <w:t>[55]</w:t>
      </w:r>
      <w:r>
        <w:rPr>
          <w:position w:val="1"/>
        </w:rPr>
        <w:t>). However, the French National Committee of Scientific Research</w:t>
      </w:r>
      <w:r>
        <w:rPr>
          <w:spacing w:val="1"/>
          <w:position w:val="1"/>
        </w:rPr>
        <w:t> </w:t>
      </w:r>
      <w:r>
        <w:rPr/>
        <w:t>(Centre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Recherche</w:t>
      </w:r>
      <w:r>
        <w:rPr>
          <w:spacing w:val="1"/>
        </w:rPr>
        <w:t> </w:t>
      </w:r>
      <w:r>
        <w:rPr/>
        <w:t>Scientifique,</w:t>
      </w:r>
      <w:r>
        <w:rPr>
          <w:spacing w:val="1"/>
        </w:rPr>
        <w:t> </w:t>
      </w:r>
      <w:r>
        <w:rPr/>
        <w:t>CNRS)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groupings</w:t>
      </w:r>
      <w:r>
        <w:rPr>
          <w:spacing w:val="1"/>
        </w:rPr>
        <w:t> </w:t>
      </w:r>
      <w:r>
        <w:rPr/>
        <w:t>developed between 2015 and 2020 resulted in improved international recognition of French HEIs in the</w:t>
      </w:r>
      <w:r>
        <w:rPr>
          <w:spacing w:val="1"/>
        </w:rPr>
        <w:t> </w:t>
      </w:r>
      <w:r>
        <w:rPr/>
        <w:t>2020 Shanghai ranking, were COMUEs and experimental public institutions figured as single HEIs in the</w:t>
      </w:r>
      <w:r>
        <w:rPr>
          <w:spacing w:val="1"/>
        </w:rPr>
        <w:t> </w:t>
      </w:r>
      <w:r>
        <w:rPr/>
        <w:t>ranking. The 2020 ranking places France in third place worldwide (compared to sixth in 2019 and fifth in</w:t>
      </w:r>
      <w:r>
        <w:rPr>
          <w:spacing w:val="1"/>
        </w:rPr>
        <w:t> </w:t>
      </w:r>
      <w:r>
        <w:rPr/>
        <w:t>2015), with 30 HEIs placed in the ranking, and with the highest ranked being the COMUE Paris-Saclay,</w:t>
      </w:r>
      <w:r>
        <w:rPr>
          <w:spacing w:val="1"/>
        </w:rPr>
        <w:t> </w:t>
      </w:r>
      <w:r>
        <w:rPr>
          <w:position w:val="1"/>
        </w:rPr>
        <w:t>which</w:t>
      </w:r>
      <w:r>
        <w:rPr>
          <w:spacing w:val="-1"/>
          <w:position w:val="1"/>
        </w:rPr>
        <w:t> </w:t>
      </w:r>
      <w:r>
        <w:rPr>
          <w:position w:val="1"/>
        </w:rPr>
        <w:t>gained 23</w:t>
      </w:r>
      <w:r>
        <w:rPr>
          <w:spacing w:val="-2"/>
          <w:position w:val="1"/>
        </w:rPr>
        <w:t> </w:t>
      </w:r>
      <w:r>
        <w:rPr>
          <w:position w:val="1"/>
        </w:rPr>
        <w:t>seats</w:t>
      </w:r>
      <w:r>
        <w:rPr>
          <w:spacing w:val="-1"/>
          <w:position w:val="1"/>
        </w:rPr>
        <w:t> </w:t>
      </w:r>
      <w:r>
        <w:rPr>
          <w:position w:val="1"/>
        </w:rPr>
        <w:t>from 2019</w:t>
      </w:r>
      <w:r>
        <w:rPr>
          <w:spacing w:val="-2"/>
          <w:position w:val="1"/>
        </w:rPr>
        <w:t> </w:t>
      </w:r>
      <w:r>
        <w:rPr>
          <w:position w:val="1"/>
        </w:rPr>
        <w:t>and</w:t>
      </w:r>
      <w:r>
        <w:rPr>
          <w:spacing w:val="-1"/>
          <w:position w:val="1"/>
        </w:rPr>
        <w:t> </w:t>
      </w:r>
      <w:r>
        <w:rPr>
          <w:position w:val="1"/>
        </w:rPr>
        <w:t>was</w:t>
      </w:r>
      <w:r>
        <w:rPr>
          <w:spacing w:val="-1"/>
          <w:position w:val="1"/>
        </w:rPr>
        <w:t> </w:t>
      </w:r>
      <w:r>
        <w:rPr>
          <w:position w:val="1"/>
        </w:rPr>
        <w:t>ranked</w:t>
      </w:r>
      <w:r>
        <w:rPr>
          <w:spacing w:val="-3"/>
          <w:position w:val="1"/>
        </w:rPr>
        <w:t> </w:t>
      </w:r>
      <w:r>
        <w:rPr>
          <w:position w:val="1"/>
        </w:rPr>
        <w:t>14</w:t>
      </w:r>
      <w:r>
        <w:rPr>
          <w:position w:val="1"/>
          <w:vertAlign w:val="superscript"/>
        </w:rPr>
        <w:t>th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in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world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in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2020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(CNRS, 2020</w:t>
      </w:r>
      <w:r>
        <w:rPr>
          <w:sz w:val="13"/>
          <w:vertAlign w:val="baseline"/>
        </w:rPr>
        <w:t>[60]</w:t>
      </w:r>
      <w:r>
        <w:rPr>
          <w:position w:val="1"/>
          <w:vertAlign w:val="baseline"/>
        </w:rPr>
        <w:t>).</w:t>
      </w:r>
    </w:p>
    <w:p>
      <w:pPr>
        <w:pStyle w:val="BodyText"/>
        <w:spacing w:before="7"/>
        <w:rPr>
          <w:sz w:val="22"/>
        </w:rPr>
      </w:pPr>
    </w:p>
    <w:p>
      <w:pPr>
        <w:pStyle w:val="Heading5"/>
        <w:spacing w:before="1"/>
      </w:pPr>
      <w:bookmarkStart w:name="Proposed actions for the Slovak Republic" w:id="138"/>
      <w:bookmarkEnd w:id="138"/>
      <w:r>
        <w:rPr>
          <w:b w:val="0"/>
          <w:i w:val="0"/>
        </w:rPr>
      </w:r>
      <w:r>
        <w:rPr/>
        <w:t>Proposed</w:t>
      </w:r>
      <w:r>
        <w:rPr>
          <w:spacing w:val="-3"/>
        </w:rPr>
        <w:t> </w:t>
      </w:r>
      <w:r>
        <w:rPr/>
        <w:t>actions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Slovak</w:t>
      </w:r>
      <w:r>
        <w:rPr>
          <w:spacing w:val="-3"/>
        </w:rPr>
        <w:t> </w:t>
      </w:r>
      <w:r>
        <w:rPr/>
        <w:t>Republic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5"/>
        <w:jc w:val="both"/>
      </w:pPr>
      <w:r>
        <w:rPr/>
        <w:t>The Slovak</w:t>
      </w:r>
      <w:r>
        <w:rPr>
          <w:spacing w:val="1"/>
        </w:rPr>
        <w:t> </w:t>
      </w:r>
      <w:r>
        <w:rPr/>
        <w:t>government announced</w:t>
      </w:r>
      <w:r>
        <w:rPr>
          <w:spacing w:val="1"/>
        </w:rPr>
        <w:t> </w:t>
      </w:r>
      <w:r>
        <w:rPr/>
        <w:t>cuts to</w:t>
      </w:r>
      <w:r>
        <w:rPr>
          <w:spacing w:val="55"/>
        </w:rPr>
        <w:t> </w:t>
      </w:r>
      <w:r>
        <w:rPr/>
        <w:t>the higher education</w:t>
      </w:r>
      <w:r>
        <w:rPr>
          <w:spacing w:val="56"/>
        </w:rPr>
        <w:t> </w:t>
      </w:r>
      <w:r>
        <w:rPr/>
        <w:t>budget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2021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EUR 21 million, according to the Ministry of Education. This decline appears related in part to budgetary</w:t>
      </w:r>
      <w:r>
        <w:rPr>
          <w:spacing w:val="1"/>
        </w:rPr>
        <w:t> </w:t>
      </w:r>
      <w:r>
        <w:rPr/>
        <w:t>pressures associated with the COVID-19 pandemic. According to some stakeholders interviewed by the</w:t>
      </w:r>
      <w:r>
        <w:rPr>
          <w:spacing w:val="1"/>
        </w:rPr>
        <w:t> </w:t>
      </w:r>
      <w:r>
        <w:rPr/>
        <w:t>OECD, it may also reflect the view that declining student numbers justify budget reductions, and that</w:t>
      </w:r>
      <w:r>
        <w:rPr>
          <w:spacing w:val="1"/>
        </w:rPr>
        <w:t> </w:t>
      </w:r>
      <w:r>
        <w:rPr/>
        <w:t>reforms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sector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take</w:t>
      </w:r>
      <w:r>
        <w:rPr>
          <w:spacing w:val="-2"/>
        </w:rPr>
        <w:t> </w:t>
      </w:r>
      <w:r>
        <w:rPr/>
        <w:t>place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funding</w:t>
      </w:r>
      <w:r>
        <w:rPr>
          <w:spacing w:val="-1"/>
        </w:rPr>
        <w:t> </w:t>
      </w:r>
      <w:r>
        <w:rPr/>
        <w:t>levels.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3"/>
        <w:jc w:val="both"/>
      </w:pPr>
      <w:r>
        <w:rPr/>
        <w:t>On the other hand, new EU funds through the Recovery and Resilience Facility (RRF) provide an</w:t>
      </w:r>
      <w:r>
        <w:rPr>
          <w:spacing w:val="1"/>
        </w:rPr>
        <w:t> </w:t>
      </w:r>
      <w:r>
        <w:rPr/>
        <w:t>opportunity for an increase in higher education funding. The Slovak Republic thus needs to consider how</w:t>
      </w:r>
      <w:r>
        <w:rPr>
          <w:spacing w:val="-53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1"/>
        </w:rPr>
        <w:t> </w:t>
      </w:r>
      <w:r>
        <w:rPr/>
        <w:t>new</w:t>
      </w:r>
      <w:r>
        <w:rPr>
          <w:spacing w:val="-5"/>
        </w:rPr>
        <w:t> </w:t>
      </w:r>
      <w:r>
        <w:rPr/>
        <w:t>funding</w:t>
      </w:r>
      <w:r>
        <w:rPr>
          <w:spacing w:val="-3"/>
        </w:rPr>
        <w:t> </w:t>
      </w:r>
      <w:r>
        <w:rPr/>
        <w:t>strategically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goals</w:t>
      </w:r>
      <w:r>
        <w:rPr>
          <w:spacing w:val="-2"/>
        </w:rPr>
        <w:t> </w:t>
      </w:r>
      <w:r>
        <w:rPr/>
        <w:t>stated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higher education</w:t>
      </w:r>
      <w:r>
        <w:rPr>
          <w:spacing w:val="-3"/>
        </w:rPr>
        <w:t> </w:t>
      </w:r>
      <w:r>
        <w:rPr/>
        <w:t>reform</w:t>
      </w:r>
      <w:r>
        <w:rPr>
          <w:spacing w:val="2"/>
        </w:rPr>
        <w:t> </w:t>
      </w:r>
      <w:r>
        <w:rPr/>
        <w:t>plans.</w:t>
      </w:r>
    </w:p>
    <w:p>
      <w:pPr>
        <w:pStyle w:val="BodyText"/>
        <w:spacing w:line="271" w:lineRule="auto" w:before="120"/>
        <w:ind w:left="183" w:right="303"/>
        <w:jc w:val="both"/>
      </w:pPr>
      <w:r>
        <w:rPr/>
        <w:t>To do so involves a consideration of the total amount of funding available in coming years for higher</w:t>
      </w:r>
      <w:r>
        <w:rPr>
          <w:spacing w:val="1"/>
        </w:rPr>
        <w:t> </w:t>
      </w:r>
      <w:r>
        <w:rPr/>
        <w:t>education, as well as the extent to which this funding can be used on the human resources required in</w:t>
      </w:r>
      <w:r>
        <w:rPr>
          <w:spacing w:val="1"/>
        </w:rPr>
        <w:t> </w:t>
      </w:r>
      <w:r>
        <w:rPr/>
        <w:t>HEIs and government to undertake comprehensive changes in higher education. It also involves taking</w:t>
      </w:r>
      <w:r>
        <w:rPr>
          <w:spacing w:val="1"/>
        </w:rPr>
        <w:t> </w:t>
      </w:r>
      <w:r>
        <w:rPr/>
        <w:t>stock of the funding instruments used by the government to allocate funding to HEIs, and how these may</w:t>
      </w:r>
      <w:r>
        <w:rPr>
          <w:spacing w:val="-53"/>
        </w:rPr>
        <w:t> </w:t>
      </w:r>
      <w:r>
        <w:rPr/>
        <w:t>be improved or supplemented to more effectively incentivise a focus on quality teaching and research in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Examples from Denmark, the Flemish Community of Belgium and France offer insights into the design of</w:t>
      </w:r>
      <w:r>
        <w:rPr>
          <w:spacing w:val="1"/>
        </w:rPr>
        <w:t> </w:t>
      </w:r>
      <w:r>
        <w:rPr/>
        <w:t>performance-linked funding mechanisms in the area of both teaching and research. The policy changes</w:t>
      </w:r>
      <w:r>
        <w:rPr>
          <w:spacing w:val="1"/>
        </w:rPr>
        <w:t> </w:t>
      </w:r>
      <w:r>
        <w:rPr/>
        <w:t>that these countries have undergone over recent decades highlight the importance of calibrating funding</w:t>
      </w:r>
      <w:r>
        <w:rPr>
          <w:spacing w:val="1"/>
        </w:rPr>
        <w:t> </w:t>
      </w:r>
      <w:r>
        <w:rPr>
          <w:spacing w:val="-1"/>
        </w:rPr>
        <w:t>instruments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meet</w:t>
      </w:r>
      <w:r>
        <w:rPr>
          <w:spacing w:val="-11"/>
        </w:rPr>
        <w:t> </w:t>
      </w:r>
      <w:r>
        <w:rPr>
          <w:spacing w:val="-1"/>
        </w:rPr>
        <w:t>policy</w:t>
      </w:r>
      <w:r>
        <w:rPr>
          <w:spacing w:val="-14"/>
        </w:rPr>
        <w:t> </w:t>
      </w:r>
      <w:r>
        <w:rPr>
          <w:spacing w:val="-1"/>
        </w:rPr>
        <w:t>objectives</w:t>
      </w:r>
      <w:r>
        <w:rPr>
          <w:spacing w:val="-9"/>
        </w:rPr>
        <w:t> </w:t>
      </w:r>
      <w:r>
        <w:rPr>
          <w:spacing w:val="-1"/>
        </w:rPr>
        <w:t>without</w:t>
      </w:r>
      <w:r>
        <w:rPr>
          <w:spacing w:val="-11"/>
        </w:rPr>
        <w:t> </w:t>
      </w:r>
      <w:r>
        <w:rPr>
          <w:spacing w:val="-1"/>
        </w:rPr>
        <w:t>creating</w:t>
      </w:r>
      <w:r>
        <w:rPr>
          <w:spacing w:val="-11"/>
        </w:rPr>
        <w:t> </w:t>
      </w:r>
      <w:r>
        <w:rPr/>
        <w:t>unintended</w:t>
      </w:r>
      <w:r>
        <w:rPr>
          <w:spacing w:val="-11"/>
        </w:rPr>
        <w:t> </w:t>
      </w:r>
      <w:r>
        <w:rPr/>
        <w:t>effects.</w:t>
      </w:r>
      <w:r>
        <w:rPr>
          <w:spacing w:val="-13"/>
        </w:rPr>
        <w:t> </w:t>
      </w:r>
      <w:r>
        <w:rPr/>
        <w:t>They</w:t>
      </w:r>
      <w:r>
        <w:rPr>
          <w:spacing w:val="-15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concrete</w:t>
      </w:r>
      <w:r>
        <w:rPr>
          <w:spacing w:val="-11"/>
        </w:rPr>
        <w:t> </w:t>
      </w:r>
      <w:r>
        <w:rPr/>
        <w:t>examples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Slovak</w:t>
      </w:r>
      <w:r>
        <w:rPr>
          <w:spacing w:val="3"/>
        </w:rPr>
        <w:t> </w:t>
      </w:r>
      <w:r>
        <w:rPr>
          <w:spacing w:val="-1"/>
        </w:rPr>
        <w:t>Republic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terms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metrics</w:t>
      </w:r>
      <w:r>
        <w:rPr>
          <w:spacing w:val="-12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may</w:t>
      </w:r>
      <w:r>
        <w:rPr>
          <w:spacing w:val="-19"/>
        </w:rPr>
        <w:t> </w:t>
      </w:r>
      <w:r>
        <w:rPr/>
        <w:t>consider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measuring</w:t>
      </w:r>
      <w:r>
        <w:rPr>
          <w:spacing w:val="-11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teaching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 funding amounts tied to different metrics, and more broadly highlight the value of using several policy</w:t>
      </w:r>
      <w:r>
        <w:rPr>
          <w:spacing w:val="-53"/>
        </w:rPr>
        <w:t> </w:t>
      </w:r>
      <w:r>
        <w:rPr/>
        <w:t>tools to achieve multiple objectives. It is crucial as well to take account of the overall policy design 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countries:</w:t>
      </w:r>
      <w:r>
        <w:rPr>
          <w:spacing w:val="55"/>
        </w:rPr>
        <w:t> </w:t>
      </w:r>
      <w:r>
        <w:rPr/>
        <w:t>as</w:t>
      </w:r>
      <w:r>
        <w:rPr>
          <w:spacing w:val="56"/>
        </w:rPr>
        <w:t> </w:t>
      </w:r>
      <w:r>
        <w:rPr/>
        <w:t>it</w:t>
      </w:r>
      <w:r>
        <w:rPr>
          <w:spacing w:val="55"/>
        </w:rPr>
        <w:t> </w:t>
      </w:r>
      <w:r>
        <w:rPr/>
        <w:t>considers</w:t>
      </w:r>
      <w:r>
        <w:rPr>
          <w:spacing w:val="56"/>
        </w:rPr>
        <w:t> </w:t>
      </w:r>
      <w:r>
        <w:rPr/>
        <w:t>improving</w:t>
      </w:r>
      <w:r>
        <w:rPr>
          <w:spacing w:val="55"/>
        </w:rPr>
        <w:t> </w:t>
      </w:r>
      <w:r>
        <w:rPr/>
        <w:t>its</w:t>
      </w:r>
      <w:r>
        <w:rPr>
          <w:spacing w:val="56"/>
        </w:rPr>
        <w:t> </w:t>
      </w:r>
      <w:r>
        <w:rPr/>
        <w:t>funding</w:t>
      </w:r>
      <w:r>
        <w:rPr>
          <w:spacing w:val="55"/>
        </w:rPr>
        <w:t> </w:t>
      </w:r>
      <w:r>
        <w:rPr/>
        <w:t>policy</w:t>
      </w:r>
      <w:r>
        <w:rPr>
          <w:spacing w:val="56"/>
        </w:rPr>
        <w:t> </w:t>
      </w:r>
      <w:r>
        <w:rPr/>
        <w:t>levers,</w:t>
      </w:r>
      <w:r>
        <w:rPr>
          <w:spacing w:val="1"/>
        </w:rPr>
        <w:t> </w:t>
      </w:r>
      <w:r>
        <w:rPr/>
        <w:t>Slovak Republic will need to ensure it factors in sufficient resources and time for their efficient and</w:t>
      </w:r>
      <w:r>
        <w:rPr>
          <w:spacing w:val="1"/>
        </w:rPr>
        <w:t> </w:t>
      </w:r>
      <w:r>
        <w:rPr/>
        <w:t>transparent</w:t>
      </w:r>
      <w:r>
        <w:rPr>
          <w:spacing w:val="-2"/>
        </w:rPr>
        <w:t> </w:t>
      </w:r>
      <w:r>
        <w:rPr/>
        <w:t>design and</w:t>
      </w:r>
      <w:r>
        <w:rPr>
          <w:spacing w:val="-1"/>
        </w:rPr>
        <w:t> </w:t>
      </w:r>
      <w:r>
        <w:rPr/>
        <w:t>implementation.</w:t>
      </w:r>
    </w:p>
    <w:p>
      <w:pPr>
        <w:pStyle w:val="BodyText"/>
        <w:spacing w:line="271" w:lineRule="auto" w:before="121"/>
        <w:ind w:left="183" w:right="312"/>
        <w:jc w:val="both"/>
      </w:pPr>
      <w:r>
        <w:rPr/>
        <w:t>Four policy actions are recommended to Slovak authorities, which should be implemented in close</w:t>
      </w:r>
      <w:r>
        <w:rPr>
          <w:spacing w:val="1"/>
        </w:rPr>
        <w:t> </w:t>
      </w:r>
      <w:r>
        <w:rPr/>
        <w:t>collaboration with</w:t>
      </w:r>
      <w:r>
        <w:rPr>
          <w:spacing w:val="-1"/>
        </w:rPr>
        <w:t> </w:t>
      </w:r>
      <w:r>
        <w:rPr/>
        <w:t>HEIs.</w:t>
      </w:r>
    </w:p>
    <w:p>
      <w:pPr>
        <w:pStyle w:val="BodyText"/>
        <w:spacing w:before="11"/>
        <w:rPr>
          <w:sz w:val="19"/>
        </w:rPr>
      </w:pPr>
    </w:p>
    <w:p>
      <w:pPr>
        <w:pStyle w:val="Heading7"/>
        <w:spacing w:line="266" w:lineRule="auto"/>
        <w:ind w:right="319"/>
      </w:pPr>
      <w:bookmarkStart w:name="Policy action 4. Map out investments req" w:id="139"/>
      <w:bookmarkEnd w:id="139"/>
      <w:r>
        <w:rPr>
          <w:i w:val="0"/>
        </w:rPr>
      </w:r>
      <w:r>
        <w:rPr>
          <w:color w:val="616161"/>
        </w:rPr>
        <w:t>Policy action 4. Map out investments required for implementing a mid-term higher education</w:t>
      </w:r>
      <w:r>
        <w:rPr>
          <w:color w:val="616161"/>
          <w:spacing w:val="-59"/>
        </w:rPr>
        <w:t> </w:t>
      </w:r>
      <w:r>
        <w:rPr>
          <w:color w:val="616161"/>
        </w:rPr>
        <w:t>strategy, new funding sources and options for enhancing higher education funding levels</w:t>
      </w:r>
      <w:r>
        <w:rPr>
          <w:color w:val="616161"/>
          <w:spacing w:val="1"/>
        </w:rPr>
        <w:t> </w:t>
      </w:r>
      <w:r>
        <w:rPr>
          <w:color w:val="616161"/>
        </w:rPr>
        <w:t>(the</w:t>
      </w:r>
      <w:r>
        <w:rPr>
          <w:color w:val="616161"/>
          <w:spacing w:val="-3"/>
        </w:rPr>
        <w:t> </w:t>
      </w:r>
      <w:r>
        <w:rPr>
          <w:color w:val="616161"/>
        </w:rPr>
        <w:t>funding envelope)</w:t>
      </w:r>
    </w:p>
    <w:p>
      <w:pPr>
        <w:pStyle w:val="BodyText"/>
        <w:spacing w:line="271" w:lineRule="auto" w:before="189"/>
        <w:ind w:left="183" w:right="305"/>
        <w:jc w:val="both"/>
      </w:pPr>
      <w:r>
        <w:rPr/>
        <w:t>The</w:t>
      </w:r>
      <w:r>
        <w:rPr>
          <w:spacing w:val="-8"/>
        </w:rPr>
        <w:t> </w:t>
      </w:r>
      <w:r>
        <w:rPr/>
        <w:t>Slovak</w:t>
      </w:r>
      <w:r>
        <w:rPr>
          <w:spacing w:val="-1"/>
        </w:rPr>
        <w:t> </w:t>
      </w:r>
      <w:r>
        <w:rPr/>
        <w:t>Republic’s</w:t>
      </w:r>
      <w:r>
        <w:rPr>
          <w:spacing w:val="-6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funding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per-student</w:t>
      </w:r>
      <w:r>
        <w:rPr>
          <w:spacing w:val="-5"/>
        </w:rPr>
        <w:t> </w:t>
      </w:r>
      <w:r>
        <w:rPr/>
        <w:t>basis</w:t>
      </w:r>
      <w:r>
        <w:rPr>
          <w:spacing w:val="-6"/>
        </w:rPr>
        <w:t> </w:t>
      </w:r>
      <w:r>
        <w:rPr/>
        <w:t>remains</w:t>
      </w:r>
      <w:r>
        <w:rPr>
          <w:spacing w:val="-7"/>
        </w:rPr>
        <w:t> </w:t>
      </w:r>
      <w:r>
        <w:rPr/>
        <w:t>below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EU28</w:t>
      </w:r>
      <w:r>
        <w:rPr>
          <w:spacing w:val="-6"/>
        </w:rPr>
        <w:t> </w:t>
      </w:r>
      <w:r>
        <w:rPr/>
        <w:t>average,</w:t>
      </w:r>
      <w:r>
        <w:rPr>
          <w:spacing w:val="1"/>
        </w:rPr>
        <w:t> </w:t>
      </w:r>
      <w:r>
        <w:rPr/>
        <w:t>despite the increase resulting from declining student numbers, and funding cuts have been introduced for</w:t>
      </w:r>
      <w:r>
        <w:rPr>
          <w:spacing w:val="-53"/>
        </w:rPr>
        <w:t> </w:t>
      </w:r>
      <w:r>
        <w:rPr/>
        <w:t>2021. This suggests that HEIs have limited room to make the investments required to implement reforms</w:t>
      </w:r>
      <w:r>
        <w:rPr>
          <w:spacing w:val="-53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their current</w:t>
      </w:r>
      <w:r>
        <w:rPr>
          <w:spacing w:val="-1"/>
        </w:rPr>
        <w:t> </w:t>
      </w:r>
      <w:r>
        <w:rPr/>
        <w:t>budgets.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We therefore recommend that the Slovak Republic take stock of the costs involved by higher education</w:t>
      </w:r>
      <w:r>
        <w:rPr>
          <w:spacing w:val="1"/>
        </w:rPr>
        <w:t> </w:t>
      </w:r>
      <w:r>
        <w:rPr/>
        <w:t>reforms (those envisioned and those recommended in this action plan), of new or potential sources of</w:t>
      </w:r>
      <w:r>
        <w:rPr>
          <w:spacing w:val="1"/>
        </w:rPr>
        <w:t> </w:t>
      </w:r>
      <w:r>
        <w:rPr/>
        <w:t>funding for HEIs, and map out the potential for the country to enhance higher education funding levels to</w:t>
      </w:r>
      <w:r>
        <w:rPr>
          <w:spacing w:val="1"/>
        </w:rPr>
        <w:t> </w:t>
      </w:r>
      <w:r>
        <w:rPr/>
        <w:t>support the large-scale reform efforts underway. This understanding of the funding landscape for higher</w:t>
      </w:r>
      <w:r>
        <w:rPr>
          <w:spacing w:val="1"/>
        </w:rPr>
        <w:t> </w:t>
      </w:r>
      <w:r>
        <w:rPr/>
        <w:t>education is an important complement of reforms currently envisioned to the structure and functioning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271" w:lineRule="auto" w:before="121"/>
        <w:ind w:left="183" w:right="306"/>
        <w:jc w:val="both"/>
      </w:pPr>
      <w:r>
        <w:rPr/>
        <w:t>International experience presented in this report shows that a clear commitment to reform on the part of</w:t>
      </w:r>
      <w:r>
        <w:rPr>
          <w:spacing w:val="1"/>
        </w:rPr>
        <w:t> </w:t>
      </w:r>
      <w:r>
        <w:rPr/>
        <w:t>the higher education sector and a sufficient funding envelope to support reform must go hand in hand for</w:t>
      </w:r>
      <w:r>
        <w:rPr>
          <w:spacing w:val="1"/>
        </w:rPr>
        <w:t> </w:t>
      </w:r>
      <w:r>
        <w:rPr/>
        <w:t>reforms to be successful. Without a commitment to reform, it is difficult from finance ministries facing</w:t>
      </w:r>
      <w:r>
        <w:rPr>
          <w:spacing w:val="1"/>
        </w:rPr>
        <w:t> </w:t>
      </w:r>
      <w:r>
        <w:rPr/>
        <w:t>competing priorities to invest in a system they believe is not making effective use of funds. Without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incentives,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garner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stakeholders given the costs of reform implementation and potential redistribution of funding and/or</w:t>
      </w:r>
      <w:r>
        <w:rPr>
          <w:spacing w:val="1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may</w:t>
      </w:r>
      <w:r>
        <w:rPr>
          <w:spacing w:val="-8"/>
        </w:rPr>
        <w:t> </w:t>
      </w:r>
      <w:r>
        <w:rPr/>
        <w:t>result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reform.</w:t>
      </w:r>
    </w:p>
    <w:p>
      <w:pPr>
        <w:pStyle w:val="BodyText"/>
        <w:spacing w:line="273" w:lineRule="auto" w:before="120"/>
        <w:ind w:left="183" w:right="307"/>
        <w:jc w:val="both"/>
      </w:pPr>
      <w:r>
        <w:rPr/>
        <w:t>We recommend that MoE develop, in collaboration with the Ministry of Finance and using insights</w:t>
      </w:r>
      <w:r>
        <w:rPr>
          <w:spacing w:val="1"/>
        </w:rPr>
        <w:t> </w:t>
      </w:r>
      <w:r>
        <w:rPr/>
        <w:t>generated 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Higher</w:t>
      </w:r>
      <w:r>
        <w:rPr>
          <w:spacing w:val="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Task</w:t>
      </w:r>
      <w:r>
        <w:rPr>
          <w:spacing w:val="2"/>
        </w:rPr>
        <w:t> </w:t>
      </w:r>
      <w:r>
        <w:rPr/>
        <w:t>Force</w:t>
      </w:r>
      <w:r>
        <w:rPr>
          <w:spacing w:val="-1"/>
        </w:rPr>
        <w:t> </w:t>
      </w:r>
      <w:r>
        <w:rPr/>
        <w:t>(Policy</w:t>
      </w:r>
      <w:r>
        <w:rPr>
          <w:spacing w:val="-3"/>
        </w:rPr>
        <w:t> </w:t>
      </w:r>
      <w:r>
        <w:rPr/>
        <w:t>action</w:t>
      </w:r>
      <w:r>
        <w:rPr>
          <w:spacing w:val="2"/>
        </w:rPr>
        <w:t> </w:t>
      </w:r>
      <w:r>
        <w:rPr/>
        <w:t>1):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96" w:after="0"/>
        <w:ind w:left="862" w:right="0" w:hanging="339"/>
        <w:jc w:val="both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mapping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expected</w:t>
      </w:r>
      <w:r>
        <w:rPr>
          <w:spacing w:val="-3"/>
          <w:sz w:val="20"/>
        </w:rPr>
        <w:t> </w:t>
      </w:r>
      <w:r>
        <w:rPr>
          <w:sz w:val="20"/>
        </w:rPr>
        <w:t>spending</w:t>
      </w:r>
      <w:r>
        <w:rPr>
          <w:spacing w:val="-5"/>
          <w:sz w:val="20"/>
        </w:rPr>
        <w:t> </w:t>
      </w:r>
      <w:r>
        <w:rPr>
          <w:sz w:val="20"/>
        </w:rPr>
        <w:t>required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support</w:t>
      </w:r>
      <w:r>
        <w:rPr>
          <w:spacing w:val="-4"/>
          <w:sz w:val="20"/>
        </w:rPr>
        <w:t> </w:t>
      </w:r>
      <w:r>
        <w:rPr>
          <w:sz w:val="20"/>
        </w:rPr>
        <w:t>higher</w:t>
      </w:r>
      <w:r>
        <w:rPr>
          <w:spacing w:val="-5"/>
          <w:sz w:val="20"/>
        </w:rPr>
        <w:t> </w:t>
      </w:r>
      <w:r>
        <w:rPr>
          <w:sz w:val="20"/>
        </w:rPr>
        <w:t>education</w:t>
      </w:r>
      <w:r>
        <w:rPr>
          <w:spacing w:val="-3"/>
          <w:sz w:val="20"/>
        </w:rPr>
        <w:t> </w:t>
      </w:r>
      <w:r>
        <w:rPr>
          <w:sz w:val="20"/>
        </w:rPr>
        <w:t>reforms.</w:t>
      </w:r>
      <w:r>
        <w:rPr>
          <w:spacing w:val="-7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includes: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88" w:after="0"/>
        <w:ind w:left="1203" w:right="0" w:hanging="342"/>
        <w:jc w:val="both"/>
        <w:rPr>
          <w:sz w:val="20"/>
        </w:rPr>
      </w:pPr>
      <w:r>
        <w:rPr>
          <w:sz w:val="20"/>
        </w:rPr>
        <w:t>Funding</w:t>
      </w:r>
      <w:r>
        <w:rPr>
          <w:spacing w:val="-4"/>
          <w:sz w:val="20"/>
        </w:rPr>
        <w:t> </w:t>
      </w:r>
      <w:r>
        <w:rPr>
          <w:sz w:val="20"/>
        </w:rPr>
        <w:t>attached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institutional</w:t>
      </w:r>
      <w:r>
        <w:rPr>
          <w:spacing w:val="-6"/>
          <w:sz w:val="20"/>
        </w:rPr>
        <w:t> </w:t>
      </w:r>
      <w:r>
        <w:rPr>
          <w:sz w:val="20"/>
        </w:rPr>
        <w:t>contracts</w:t>
      </w:r>
      <w:r>
        <w:rPr>
          <w:spacing w:val="-4"/>
          <w:sz w:val="20"/>
        </w:rPr>
        <w:t> </w:t>
      </w:r>
      <w:r>
        <w:rPr>
          <w:sz w:val="20"/>
        </w:rPr>
        <w:t>(Policy</w:t>
      </w:r>
      <w:r>
        <w:rPr>
          <w:spacing w:val="-5"/>
          <w:sz w:val="20"/>
        </w:rPr>
        <w:t> </w:t>
      </w:r>
      <w:r>
        <w:rPr>
          <w:sz w:val="20"/>
        </w:rPr>
        <w:t>actions</w:t>
      </w:r>
      <w:r>
        <w:rPr>
          <w:spacing w:val="3"/>
          <w:sz w:val="20"/>
        </w:rPr>
        <w:t> </w:t>
      </w:r>
      <w:r>
        <w:rPr>
          <w:sz w:val="20"/>
        </w:rPr>
        <w:t>5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6)</w:t>
      </w:r>
    </w:p>
    <w:p>
      <w:pPr>
        <w:spacing w:after="0" w:line="240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185" w:after="0"/>
        <w:ind w:left="1203" w:right="0" w:hanging="342"/>
        <w:jc w:val="both"/>
        <w:rPr>
          <w:sz w:val="20"/>
        </w:rPr>
      </w:pPr>
      <w:r>
        <w:rPr>
          <w:sz w:val="20"/>
        </w:rPr>
        <w:t>Funding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encourage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take-up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optional</w:t>
      </w:r>
      <w:r>
        <w:rPr>
          <w:spacing w:val="-5"/>
          <w:sz w:val="20"/>
        </w:rPr>
        <w:t> </w:t>
      </w:r>
      <w:r>
        <w:rPr>
          <w:sz w:val="20"/>
        </w:rPr>
        <w:t>governance</w:t>
      </w:r>
      <w:r>
        <w:rPr>
          <w:spacing w:val="-5"/>
          <w:sz w:val="20"/>
        </w:rPr>
        <w:t> </w:t>
      </w:r>
      <w:r>
        <w:rPr>
          <w:sz w:val="20"/>
        </w:rPr>
        <w:t>status</w:t>
      </w:r>
      <w:r>
        <w:rPr>
          <w:spacing w:val="-3"/>
          <w:sz w:val="20"/>
        </w:rPr>
        <w:t> </w:t>
      </w:r>
      <w:r>
        <w:rPr>
          <w:sz w:val="20"/>
        </w:rPr>
        <w:t>(Policy</w:t>
      </w:r>
      <w:r>
        <w:rPr>
          <w:spacing w:val="-5"/>
          <w:sz w:val="20"/>
        </w:rPr>
        <w:t> </w:t>
      </w:r>
      <w:r>
        <w:rPr>
          <w:sz w:val="20"/>
        </w:rPr>
        <w:t>action 9).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71" w:lineRule="auto" w:before="59" w:after="0"/>
        <w:ind w:left="862" w:right="306" w:hanging="339"/>
        <w:jc w:val="both"/>
        <w:rPr>
          <w:sz w:val="20"/>
        </w:rPr>
      </w:pPr>
      <w:r>
        <w:rPr>
          <w:sz w:val="20"/>
        </w:rPr>
        <w:t>An analysis of expected revenues for HEIs (public, private and state institutions) from public and</w:t>
      </w:r>
      <w:r>
        <w:rPr>
          <w:spacing w:val="1"/>
          <w:sz w:val="20"/>
        </w:rPr>
        <w:t> </w:t>
      </w:r>
      <w:r>
        <w:rPr>
          <w:sz w:val="20"/>
        </w:rPr>
        <w:t>private sources and how these sources may be used to support the investments incurred by the</w:t>
      </w:r>
      <w:r>
        <w:rPr>
          <w:spacing w:val="1"/>
          <w:sz w:val="20"/>
        </w:rPr>
        <w:t> </w:t>
      </w:r>
      <w:r>
        <w:rPr>
          <w:sz w:val="20"/>
        </w:rPr>
        <w:t>reform</w:t>
      </w:r>
      <w:r>
        <w:rPr>
          <w:spacing w:val="3"/>
          <w:sz w:val="20"/>
        </w:rPr>
        <w:t> </w:t>
      </w:r>
      <w:r>
        <w:rPr>
          <w:sz w:val="20"/>
        </w:rPr>
        <w:t>process: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56" w:after="0"/>
        <w:ind w:left="1203" w:right="0" w:hanging="342"/>
        <w:jc w:val="both"/>
        <w:rPr>
          <w:sz w:val="20"/>
        </w:rPr>
      </w:pPr>
      <w:r>
        <w:rPr>
          <w:sz w:val="20"/>
        </w:rPr>
        <w:t>National</w:t>
      </w:r>
      <w:r>
        <w:rPr>
          <w:spacing w:val="-9"/>
          <w:sz w:val="20"/>
        </w:rPr>
        <w:t> </w:t>
      </w:r>
      <w:r>
        <w:rPr>
          <w:sz w:val="20"/>
        </w:rPr>
        <w:t>funding.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4" w:lineRule="auto" w:before="72" w:after="0"/>
        <w:ind w:left="1203" w:right="307" w:hanging="341"/>
        <w:jc w:val="both"/>
        <w:rPr>
          <w:sz w:val="20"/>
        </w:rPr>
      </w:pPr>
      <w:r>
        <w:rPr>
          <w:sz w:val="20"/>
        </w:rPr>
        <w:t>European funding – RRF and structural funds. Focus should be placed on how European</w:t>
      </w:r>
      <w:r>
        <w:rPr>
          <w:spacing w:val="1"/>
          <w:sz w:val="20"/>
        </w:rPr>
        <w:t> </w:t>
      </w:r>
      <w:r>
        <w:rPr>
          <w:sz w:val="20"/>
        </w:rPr>
        <w:t>funding could address the human resource needs associated with higher education reform.</w:t>
      </w:r>
      <w:r>
        <w:rPr>
          <w:spacing w:val="1"/>
          <w:sz w:val="20"/>
        </w:rPr>
        <w:t> </w:t>
      </w:r>
      <w:r>
        <w:rPr>
          <w:sz w:val="20"/>
        </w:rPr>
        <w:t>Assessing the use of these funds to support capacity-building initiatives (see, for instance,</w:t>
      </w:r>
      <w:r>
        <w:rPr>
          <w:spacing w:val="1"/>
          <w:sz w:val="20"/>
        </w:rPr>
        <w:t> </w:t>
      </w:r>
      <w:r>
        <w:rPr>
          <w:sz w:val="20"/>
        </w:rPr>
        <w:t>Policy</w:t>
      </w:r>
      <w:r>
        <w:rPr>
          <w:spacing w:val="-3"/>
          <w:sz w:val="20"/>
        </w:rPr>
        <w:t> </w:t>
      </w:r>
      <w:r>
        <w:rPr>
          <w:sz w:val="20"/>
        </w:rPr>
        <w:t>action</w:t>
      </w:r>
      <w:r>
        <w:rPr>
          <w:spacing w:val="-1"/>
          <w:sz w:val="20"/>
        </w:rPr>
        <w:t> </w:t>
      </w:r>
      <w:r>
        <w:rPr>
          <w:sz w:val="20"/>
        </w:rPr>
        <w:t>10)</w:t>
      </w:r>
      <w:r>
        <w:rPr>
          <w:spacing w:val="-1"/>
          <w:sz w:val="20"/>
        </w:rPr>
        <w:t> </w:t>
      </w:r>
      <w:r>
        <w:rPr>
          <w:sz w:val="20"/>
        </w:rPr>
        <w:t>could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particular</w:t>
      </w:r>
      <w:r>
        <w:rPr>
          <w:spacing w:val="1"/>
          <w:sz w:val="20"/>
        </w:rPr>
        <w:t> </w:t>
      </w:r>
      <w:r>
        <w:rPr>
          <w:sz w:val="20"/>
        </w:rPr>
        <w:t>interest.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72" w:after="0"/>
        <w:ind w:left="1203" w:right="0" w:hanging="342"/>
        <w:jc w:val="both"/>
        <w:rPr>
          <w:sz w:val="20"/>
        </w:rPr>
      </w:pPr>
      <w:r>
        <w:rPr>
          <w:sz w:val="20"/>
        </w:rPr>
        <w:t>Expected</w:t>
      </w:r>
      <w:r>
        <w:rPr>
          <w:spacing w:val="-4"/>
          <w:sz w:val="20"/>
        </w:rPr>
        <w:t> </w:t>
      </w:r>
      <w:r>
        <w:rPr>
          <w:sz w:val="20"/>
        </w:rPr>
        <w:t>contribution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tuition</w:t>
      </w:r>
      <w:r>
        <w:rPr>
          <w:spacing w:val="-3"/>
          <w:sz w:val="20"/>
        </w:rPr>
        <w:t> </w:t>
      </w:r>
      <w:r>
        <w:rPr>
          <w:sz w:val="20"/>
        </w:rPr>
        <w:t>fees.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71" w:after="0"/>
        <w:ind w:left="1203" w:right="0" w:hanging="342"/>
        <w:jc w:val="both"/>
        <w:rPr>
          <w:sz w:val="20"/>
        </w:rPr>
      </w:pPr>
      <w:r>
        <w:rPr>
          <w:sz w:val="20"/>
        </w:rPr>
        <w:t>Expected</w:t>
      </w:r>
      <w:r>
        <w:rPr>
          <w:spacing w:val="-4"/>
          <w:sz w:val="20"/>
        </w:rPr>
        <w:t> </w:t>
      </w:r>
      <w:r>
        <w:rPr>
          <w:sz w:val="20"/>
        </w:rPr>
        <w:t>contribution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private</w:t>
      </w:r>
      <w:r>
        <w:rPr>
          <w:spacing w:val="-5"/>
          <w:sz w:val="20"/>
        </w:rPr>
        <w:t> </w:t>
      </w:r>
      <w:r>
        <w:rPr>
          <w:sz w:val="20"/>
        </w:rPr>
        <w:t>funding</w:t>
      </w:r>
      <w:r>
        <w:rPr>
          <w:spacing w:val="-6"/>
          <w:sz w:val="20"/>
        </w:rPr>
        <w:t> </w:t>
      </w:r>
      <w:r>
        <w:rPr>
          <w:sz w:val="20"/>
        </w:rPr>
        <w:t>(e.g.</w:t>
      </w:r>
      <w:r>
        <w:rPr>
          <w:spacing w:val="-1"/>
          <w:sz w:val="20"/>
        </w:rPr>
        <w:t> </w:t>
      </w:r>
      <w:r>
        <w:rPr>
          <w:sz w:val="20"/>
        </w:rPr>
        <w:t>collaboration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private</w:t>
      </w:r>
      <w:r>
        <w:rPr>
          <w:spacing w:val="-5"/>
          <w:sz w:val="20"/>
        </w:rPr>
        <w:t> </w:t>
      </w:r>
      <w:r>
        <w:rPr>
          <w:sz w:val="20"/>
        </w:rPr>
        <w:t>sector).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59" w:after="0"/>
        <w:ind w:left="862" w:right="0" w:hanging="339"/>
        <w:jc w:val="both"/>
        <w:rPr>
          <w:sz w:val="20"/>
        </w:rPr>
      </w:pPr>
      <w:r>
        <w:rPr>
          <w:sz w:val="20"/>
        </w:rPr>
        <w:t>Potential</w:t>
      </w:r>
      <w:r>
        <w:rPr>
          <w:spacing w:val="-3"/>
          <w:sz w:val="20"/>
        </w:rPr>
        <w:t> </w:t>
      </w:r>
      <w:r>
        <w:rPr>
          <w:sz w:val="20"/>
        </w:rPr>
        <w:t>options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country</w:t>
      </w:r>
      <w:r>
        <w:rPr>
          <w:spacing w:val="-5"/>
          <w:sz w:val="20"/>
        </w:rPr>
        <w:t> </w:t>
      </w:r>
      <w:r>
        <w:rPr>
          <w:sz w:val="20"/>
        </w:rPr>
        <w:t>to: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1" w:lineRule="auto" w:before="90" w:after="0"/>
        <w:ind w:left="1203" w:right="311" w:hanging="341"/>
        <w:jc w:val="both"/>
        <w:rPr>
          <w:sz w:val="20"/>
        </w:rPr>
      </w:pPr>
      <w:r>
        <w:rPr>
          <w:sz w:val="20"/>
        </w:rPr>
        <w:t>Reduce</w:t>
      </w:r>
      <w:r>
        <w:rPr>
          <w:spacing w:val="-4"/>
          <w:sz w:val="20"/>
        </w:rPr>
        <w:t> </w:t>
      </w:r>
      <w:r>
        <w:rPr>
          <w:sz w:val="20"/>
        </w:rPr>
        <w:t>higher</w:t>
      </w:r>
      <w:r>
        <w:rPr>
          <w:spacing w:val="-5"/>
          <w:sz w:val="20"/>
        </w:rPr>
        <w:t> </w:t>
      </w:r>
      <w:r>
        <w:rPr>
          <w:sz w:val="20"/>
        </w:rPr>
        <w:t>education</w:t>
      </w:r>
      <w:r>
        <w:rPr>
          <w:spacing w:val="-6"/>
          <w:sz w:val="20"/>
        </w:rPr>
        <w:t> </w:t>
      </w:r>
      <w:r>
        <w:rPr>
          <w:sz w:val="20"/>
        </w:rPr>
        <w:t>costs</w:t>
      </w:r>
      <w:r>
        <w:rPr>
          <w:spacing w:val="-5"/>
          <w:sz w:val="20"/>
        </w:rPr>
        <w:t> </w:t>
      </w:r>
      <w:r>
        <w:rPr>
          <w:sz w:val="20"/>
        </w:rPr>
        <w:t>without</w:t>
      </w:r>
      <w:r>
        <w:rPr>
          <w:spacing w:val="-6"/>
          <w:sz w:val="20"/>
        </w:rPr>
        <w:t> </w:t>
      </w:r>
      <w:r>
        <w:rPr>
          <w:sz w:val="20"/>
        </w:rPr>
        <w:t>compromising</w:t>
      </w:r>
      <w:r>
        <w:rPr>
          <w:spacing w:val="-7"/>
          <w:sz w:val="20"/>
        </w:rPr>
        <w:t> </w:t>
      </w:r>
      <w:r>
        <w:rPr>
          <w:sz w:val="20"/>
        </w:rPr>
        <w:t>quality.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could</w:t>
      </w:r>
      <w:r>
        <w:rPr>
          <w:spacing w:val="-5"/>
          <w:sz w:val="20"/>
        </w:rPr>
        <w:t> </w:t>
      </w:r>
      <w:r>
        <w:rPr>
          <w:sz w:val="20"/>
        </w:rPr>
        <w:t>include,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instance,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taking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into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account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smaller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student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cohorts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pursuing</w:t>
      </w:r>
      <w:r>
        <w:rPr>
          <w:spacing w:val="-16"/>
          <w:sz w:val="20"/>
        </w:rPr>
        <w:t> </w:t>
      </w:r>
      <w:r>
        <w:rPr>
          <w:sz w:val="20"/>
        </w:rPr>
        <w:t>economies</w:t>
      </w:r>
      <w:r>
        <w:rPr>
          <w:spacing w:val="-14"/>
          <w:sz w:val="20"/>
        </w:rPr>
        <w:t> </w:t>
      </w:r>
      <w:r>
        <w:rPr>
          <w:sz w:val="20"/>
        </w:rPr>
        <w:t>of</w:t>
      </w:r>
      <w:r>
        <w:rPr>
          <w:spacing w:val="-14"/>
          <w:sz w:val="20"/>
        </w:rPr>
        <w:t> </w:t>
      </w:r>
      <w:r>
        <w:rPr>
          <w:sz w:val="20"/>
        </w:rPr>
        <w:t>scale</w:t>
      </w:r>
      <w:r>
        <w:rPr>
          <w:spacing w:val="-12"/>
          <w:sz w:val="20"/>
        </w:rPr>
        <w:t> </w:t>
      </w:r>
      <w:r>
        <w:rPr>
          <w:sz w:val="20"/>
        </w:rPr>
        <w:t>through</w:t>
      </w:r>
      <w:r>
        <w:rPr>
          <w:spacing w:val="-16"/>
          <w:sz w:val="20"/>
        </w:rPr>
        <w:t> </w:t>
      </w:r>
      <w:r>
        <w:rPr>
          <w:sz w:val="20"/>
        </w:rPr>
        <w:t>enhanced</w:t>
      </w:r>
      <w:r>
        <w:rPr>
          <w:spacing w:val="-53"/>
          <w:sz w:val="20"/>
        </w:rPr>
        <w:t> </w:t>
      </w:r>
      <w:r>
        <w:rPr>
          <w:sz w:val="20"/>
        </w:rPr>
        <w:t>HEI</w:t>
      </w:r>
      <w:r>
        <w:rPr>
          <w:spacing w:val="-2"/>
          <w:sz w:val="20"/>
        </w:rPr>
        <w:t> </w:t>
      </w:r>
      <w:r>
        <w:rPr>
          <w:sz w:val="20"/>
        </w:rPr>
        <w:t>collaboration.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4" w:lineRule="auto" w:before="70" w:after="0"/>
        <w:ind w:left="1203" w:right="301" w:hanging="341"/>
        <w:jc w:val="both"/>
        <w:rPr>
          <w:sz w:val="20"/>
        </w:rPr>
      </w:pPr>
      <w:r>
        <w:rPr>
          <w:sz w:val="20"/>
        </w:rPr>
        <w:t>Increase revenues for higher education without compromising affordability for students. This</w:t>
      </w:r>
      <w:r>
        <w:rPr>
          <w:spacing w:val="1"/>
          <w:sz w:val="20"/>
        </w:rPr>
        <w:t> </w:t>
      </w:r>
      <w:r>
        <w:rPr>
          <w:sz w:val="20"/>
        </w:rPr>
        <w:t>could include, for instance, making greater use of European funding and enhancing all HEIs’</w:t>
      </w:r>
      <w:r>
        <w:rPr>
          <w:spacing w:val="1"/>
          <w:sz w:val="20"/>
        </w:rPr>
        <w:t> </w:t>
      </w:r>
      <w:r>
        <w:rPr>
          <w:sz w:val="20"/>
        </w:rPr>
        <w:t>capacity to partner with, beyond HEIs that have a vocational orientation and established links</w:t>
      </w:r>
      <w:r>
        <w:rPr>
          <w:spacing w:val="1"/>
          <w:sz w:val="20"/>
        </w:rPr>
        <w:t> </w:t>
      </w:r>
      <w:r>
        <w:rPr>
          <w:sz w:val="20"/>
        </w:rPr>
        <w:t>with local</w:t>
      </w:r>
      <w:r>
        <w:rPr>
          <w:spacing w:val="-2"/>
          <w:sz w:val="20"/>
        </w:rPr>
        <w:t> </w:t>
      </w:r>
      <w:r>
        <w:rPr>
          <w:sz w:val="20"/>
        </w:rPr>
        <w:t>enterprises.</w:t>
      </w:r>
    </w:p>
    <w:p>
      <w:pPr>
        <w:pStyle w:val="BodyText"/>
        <w:spacing w:before="6"/>
        <w:rPr>
          <w:sz w:val="21"/>
        </w:rPr>
      </w:pPr>
    </w:p>
    <w:p>
      <w:pPr>
        <w:pStyle w:val="Heading7"/>
        <w:spacing w:line="266" w:lineRule="auto" w:before="1"/>
        <w:ind w:right="856"/>
      </w:pPr>
      <w:bookmarkStart w:name="Policy action 5. Establish an approach a" w:id="140"/>
      <w:bookmarkEnd w:id="140"/>
      <w:r>
        <w:rPr>
          <w:i w:val="0"/>
        </w:rPr>
      </w:r>
      <w:r>
        <w:rPr>
          <w:color w:val="616161"/>
        </w:rPr>
        <w:t>Policy action 5. Establish an approach and process for the development of institutional</w:t>
      </w:r>
      <w:r>
        <w:rPr>
          <w:color w:val="616161"/>
          <w:spacing w:val="-59"/>
        </w:rPr>
        <w:t> </w:t>
      </w:r>
      <w:r>
        <w:rPr>
          <w:color w:val="616161"/>
        </w:rPr>
        <w:t>contracts</w:t>
      </w:r>
      <w:r>
        <w:rPr>
          <w:color w:val="616161"/>
          <w:spacing w:val="-3"/>
        </w:rPr>
        <w:t> </w:t>
      </w:r>
      <w:r>
        <w:rPr>
          <w:color w:val="616161"/>
        </w:rPr>
        <w:t>and possible performance</w:t>
      </w:r>
      <w:r>
        <w:rPr>
          <w:color w:val="616161"/>
          <w:spacing w:val="-3"/>
        </w:rPr>
        <w:t> </w:t>
      </w:r>
      <w:r>
        <w:rPr>
          <w:color w:val="616161"/>
        </w:rPr>
        <w:t>parameters</w:t>
      </w:r>
    </w:p>
    <w:p>
      <w:pPr>
        <w:pStyle w:val="BodyText"/>
        <w:spacing w:line="271" w:lineRule="auto" w:before="186"/>
        <w:ind w:left="183" w:right="302"/>
        <w:jc w:val="both"/>
      </w:pPr>
      <w:r>
        <w:rPr/>
        <w:t>The Slovak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announced plans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 institutional contracts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Slovak</w:t>
      </w:r>
      <w:r>
        <w:rPr>
          <w:spacing w:val="1"/>
        </w:rPr>
        <w:t> </w:t>
      </w:r>
      <w:r>
        <w:rPr/>
        <w:t>Republic’s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RRP.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institutional profiles based on each HEI’s strengths and regional skills needs. Such an approach, which</w:t>
      </w:r>
      <w:r>
        <w:rPr>
          <w:spacing w:val="1"/>
        </w:rPr>
        <w:t> </w:t>
      </w:r>
      <w:r>
        <w:rPr/>
        <w:t>supports system-level planning in multiple OECD countries, will highlight areas of strengths as well as</w:t>
      </w:r>
      <w:r>
        <w:rPr>
          <w:spacing w:val="1"/>
        </w:rPr>
        <w:t> </w:t>
      </w:r>
      <w:r>
        <w:rPr/>
        <w:t>areas of weaknesses in Slovak higher education, and needs to be conducted with great care to secure</w:t>
      </w:r>
      <w:r>
        <w:rPr>
          <w:spacing w:val="1"/>
        </w:rPr>
        <w:t> </w:t>
      </w:r>
      <w:r>
        <w:rPr/>
        <w:t>institutional</w:t>
      </w:r>
      <w:r>
        <w:rPr>
          <w:spacing w:val="-3"/>
        </w:rPr>
        <w:t> </w:t>
      </w:r>
      <w:r>
        <w:rPr/>
        <w:t>support and achieve a</w:t>
      </w:r>
      <w:r>
        <w:rPr>
          <w:spacing w:val="-2"/>
        </w:rPr>
        <w:t> </w:t>
      </w:r>
      <w:r>
        <w:rPr/>
        <w:t>meaningful</w:t>
      </w:r>
      <w:r>
        <w:rPr>
          <w:spacing w:val="-3"/>
        </w:rPr>
        <w:t> </w:t>
      </w:r>
      <w:r>
        <w:rPr/>
        <w:t>degree</w:t>
      </w:r>
      <w:r>
        <w:rPr>
          <w:spacing w:val="1"/>
        </w:rPr>
        <w:t> </w:t>
      </w:r>
      <w:r>
        <w:rPr/>
        <w:t>of differentiation.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We thus recommend that the Task Force set out in Policy action 1 outline key parameters for institutional</w:t>
      </w:r>
      <w:r>
        <w:rPr>
          <w:spacing w:val="-53"/>
        </w:rPr>
        <w:t> </w:t>
      </w:r>
      <w:r>
        <w:rPr>
          <w:spacing w:val="-1"/>
        </w:rPr>
        <w:t>contracts,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focus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aligning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achievement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government</w:t>
      </w:r>
      <w:r>
        <w:rPr>
          <w:spacing w:val="-13"/>
        </w:rPr>
        <w:t> </w:t>
      </w:r>
      <w:r>
        <w:rPr>
          <w:spacing w:val="-1"/>
        </w:rPr>
        <w:t>policy</w:t>
      </w:r>
      <w:r>
        <w:rPr>
          <w:spacing w:val="-14"/>
        </w:rPr>
        <w:t> </w:t>
      </w:r>
      <w:r>
        <w:rPr/>
        <w:t>objectives</w:t>
      </w:r>
      <w:r>
        <w:rPr>
          <w:spacing w:val="-10"/>
        </w:rPr>
        <w:t> </w:t>
      </w:r>
      <w:r>
        <w:rPr/>
        <w:t>with</w:t>
      </w:r>
      <w:r>
        <w:rPr>
          <w:spacing w:val="-12"/>
        </w:rPr>
        <w:t> </w:t>
      </w:r>
      <w:r>
        <w:rPr/>
        <w:t>adequate</w:t>
      </w:r>
      <w:r>
        <w:rPr>
          <w:spacing w:val="-1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institution-specific</w:t>
      </w:r>
      <w:r>
        <w:rPr>
          <w:spacing w:val="1"/>
        </w:rPr>
        <w:t> </w:t>
      </w:r>
      <w:r>
        <w:rPr/>
        <w:t>priorities.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experience shows that governments have experimented with various combinations of top-down steering</w:t>
      </w:r>
      <w:r>
        <w:rPr>
          <w:spacing w:val="1"/>
        </w:rPr>
        <w:t> </w:t>
      </w:r>
      <w:r>
        <w:rPr/>
        <w:t>and institutional flexibility, and suggest that this “policy finetuning” may require several years to function</w:t>
      </w:r>
      <w:r>
        <w:rPr>
          <w:spacing w:val="1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 Slovak</w:t>
      </w:r>
      <w:r>
        <w:rPr>
          <w:spacing w:val="1"/>
        </w:rPr>
        <w:t> </w:t>
      </w:r>
      <w:r>
        <w:rPr/>
        <w:t>context.</w:t>
      </w:r>
    </w:p>
    <w:p>
      <w:pPr>
        <w:pStyle w:val="BodyText"/>
        <w:spacing w:before="120"/>
        <w:ind w:left="183"/>
        <w:jc w:val="both"/>
      </w:pPr>
      <w:r>
        <w:rPr/>
        <w:t>Key</w:t>
      </w:r>
      <w:r>
        <w:rPr>
          <w:spacing w:val="-8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68" w:lineRule="auto" w:before="131" w:after="0"/>
        <w:ind w:left="862" w:right="307" w:hanging="339"/>
        <w:jc w:val="both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duration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institutional</w:t>
      </w:r>
      <w:r>
        <w:rPr>
          <w:spacing w:val="-5"/>
          <w:sz w:val="20"/>
        </w:rPr>
        <w:t> </w:t>
      </w:r>
      <w:r>
        <w:rPr>
          <w:sz w:val="20"/>
        </w:rPr>
        <w:t>contracts</w:t>
      </w:r>
      <w:r>
        <w:rPr>
          <w:spacing w:val="-5"/>
          <w:sz w:val="20"/>
        </w:rPr>
        <w:t> </w:t>
      </w:r>
      <w:r>
        <w:rPr>
          <w:sz w:val="20"/>
        </w:rPr>
        <w:t>(e.g.</w:t>
      </w:r>
      <w:r>
        <w:rPr>
          <w:spacing w:val="-1"/>
          <w:sz w:val="20"/>
        </w:rPr>
        <w:t> </w:t>
      </w:r>
      <w:r>
        <w:rPr>
          <w:sz w:val="20"/>
        </w:rPr>
        <w:t>two,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five</w:t>
      </w:r>
      <w:r>
        <w:rPr>
          <w:spacing w:val="-5"/>
          <w:sz w:val="20"/>
        </w:rPr>
        <w:t> </w:t>
      </w:r>
      <w:r>
        <w:rPr>
          <w:sz w:val="20"/>
        </w:rPr>
        <w:t>years,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potential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start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first round of shorter contracts to be followed by longer contracts once the practice has been</w:t>
      </w:r>
      <w:r>
        <w:rPr>
          <w:spacing w:val="1"/>
          <w:sz w:val="20"/>
        </w:rPr>
        <w:t> </w:t>
      </w:r>
      <w:r>
        <w:rPr>
          <w:sz w:val="20"/>
        </w:rPr>
        <w:t>established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refined).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71" w:lineRule="auto" w:before="51" w:after="0"/>
        <w:ind w:left="862" w:right="305" w:hanging="339"/>
        <w:jc w:val="both"/>
        <w:rPr>
          <w:sz w:val="20"/>
        </w:rPr>
      </w:pPr>
      <w:r>
        <w:rPr>
          <w:sz w:val="20"/>
        </w:rPr>
        <w:t>Whether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8"/>
          <w:sz w:val="20"/>
        </w:rPr>
        <w:t> </w:t>
      </w:r>
      <w:r>
        <w:rPr>
          <w:sz w:val="20"/>
        </w:rPr>
        <w:t>not</w:t>
      </w:r>
      <w:r>
        <w:rPr>
          <w:spacing w:val="-6"/>
          <w:sz w:val="20"/>
        </w:rPr>
        <w:t> </w:t>
      </w:r>
      <w:r>
        <w:rPr>
          <w:sz w:val="20"/>
        </w:rPr>
        <w:t>there</w:t>
      </w:r>
      <w:r>
        <w:rPr>
          <w:spacing w:val="-7"/>
          <w:sz w:val="20"/>
        </w:rPr>
        <w:t> </w:t>
      </w:r>
      <w:r>
        <w:rPr>
          <w:sz w:val="20"/>
        </w:rPr>
        <w:t>should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single</w:t>
      </w:r>
      <w:r>
        <w:rPr>
          <w:spacing w:val="-8"/>
          <w:sz w:val="20"/>
        </w:rPr>
        <w:t> </w:t>
      </w:r>
      <w:r>
        <w:rPr>
          <w:sz w:val="20"/>
        </w:rPr>
        <w:t>type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institutional</w:t>
      </w:r>
      <w:r>
        <w:rPr>
          <w:spacing w:val="-9"/>
          <w:sz w:val="20"/>
        </w:rPr>
        <w:t> </w:t>
      </w:r>
      <w:r>
        <w:rPr>
          <w:sz w:val="20"/>
        </w:rPr>
        <w:t>contract</w:t>
      </w:r>
      <w:r>
        <w:rPr>
          <w:spacing w:val="-9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contracts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different</w:t>
      </w:r>
      <w:r>
        <w:rPr>
          <w:spacing w:val="-8"/>
          <w:sz w:val="20"/>
        </w:rPr>
        <w:t> </w:t>
      </w:r>
      <w:r>
        <w:rPr>
          <w:sz w:val="20"/>
        </w:rPr>
        <w:t>types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institutions.</w:t>
      </w:r>
      <w:r>
        <w:rPr>
          <w:spacing w:val="-12"/>
          <w:sz w:val="20"/>
        </w:rPr>
        <w:t> </w:t>
      </w:r>
      <w:r>
        <w:rPr>
          <w:sz w:val="20"/>
        </w:rPr>
        <w:t>This</w:t>
      </w:r>
      <w:r>
        <w:rPr>
          <w:spacing w:val="-10"/>
          <w:sz w:val="20"/>
        </w:rPr>
        <w:t> </w:t>
      </w:r>
      <w:r>
        <w:rPr>
          <w:sz w:val="20"/>
        </w:rPr>
        <w:t>should</w:t>
      </w:r>
      <w:r>
        <w:rPr>
          <w:spacing w:val="-10"/>
          <w:sz w:val="20"/>
        </w:rPr>
        <w:t> </w:t>
      </w:r>
      <w:r>
        <w:rPr>
          <w:sz w:val="20"/>
        </w:rPr>
        <w:t>include</w:t>
      </w:r>
      <w:r>
        <w:rPr>
          <w:spacing w:val="-13"/>
          <w:sz w:val="20"/>
        </w:rPr>
        <w:t> </w:t>
      </w:r>
      <w:r>
        <w:rPr>
          <w:sz w:val="20"/>
        </w:rPr>
        <w:t>consideration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types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contracts</w:t>
      </w:r>
      <w:r>
        <w:rPr>
          <w:spacing w:val="-11"/>
          <w:sz w:val="20"/>
        </w:rPr>
        <w:t> </w:t>
      </w:r>
      <w:r>
        <w:rPr>
          <w:sz w:val="20"/>
        </w:rPr>
        <w:t>that</w:t>
      </w:r>
      <w:r>
        <w:rPr>
          <w:spacing w:val="-9"/>
          <w:sz w:val="20"/>
        </w:rPr>
        <w:t> </w:t>
      </w:r>
      <w:r>
        <w:rPr>
          <w:sz w:val="20"/>
        </w:rPr>
        <w:t>would</w:t>
      </w:r>
      <w:r>
        <w:rPr>
          <w:spacing w:val="-13"/>
          <w:sz w:val="20"/>
        </w:rPr>
        <w:t> </w:t>
      </w:r>
      <w:r>
        <w:rPr>
          <w:sz w:val="20"/>
        </w:rPr>
        <w:t>be</w:t>
      </w:r>
      <w:r>
        <w:rPr>
          <w:spacing w:val="-12"/>
          <w:sz w:val="20"/>
        </w:rPr>
        <w:t> </w:t>
      </w:r>
      <w:r>
        <w:rPr>
          <w:sz w:val="20"/>
        </w:rPr>
        <w:t>established</w:t>
      </w:r>
      <w:r>
        <w:rPr>
          <w:spacing w:val="-54"/>
          <w:sz w:val="20"/>
        </w:rPr>
        <w:t> </w:t>
      </w:r>
      <w:r>
        <w:rPr>
          <w:sz w:val="20"/>
        </w:rPr>
        <w:t>with HEIs that are part of a consortium or that merge. The design of contracts should balance the</w:t>
      </w:r>
      <w:r>
        <w:rPr>
          <w:spacing w:val="-53"/>
          <w:sz w:val="20"/>
        </w:rPr>
        <w:t> </w:t>
      </w:r>
      <w:r>
        <w:rPr>
          <w:sz w:val="20"/>
        </w:rPr>
        <w:t>need for data on performance with the need to minimise the reporting burden for HEIs. An effort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should</w:t>
      </w:r>
      <w:r>
        <w:rPr>
          <w:spacing w:val="-11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made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focus</w:t>
      </w:r>
      <w:r>
        <w:rPr>
          <w:spacing w:val="-9"/>
          <w:sz w:val="20"/>
        </w:rPr>
        <w:t> </w:t>
      </w:r>
      <w:r>
        <w:rPr>
          <w:sz w:val="20"/>
        </w:rPr>
        <w:t>on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small</w:t>
      </w:r>
      <w:r>
        <w:rPr>
          <w:spacing w:val="-11"/>
          <w:sz w:val="20"/>
        </w:rPr>
        <w:t> </w:t>
      </w:r>
      <w:r>
        <w:rPr>
          <w:sz w:val="20"/>
        </w:rPr>
        <w:t>set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indicators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simplify</w:t>
      </w:r>
      <w:r>
        <w:rPr>
          <w:spacing w:val="-14"/>
          <w:sz w:val="20"/>
        </w:rPr>
        <w:t> </w:t>
      </w:r>
      <w:r>
        <w:rPr>
          <w:sz w:val="20"/>
        </w:rPr>
        <w:t>contract</w:t>
      </w:r>
      <w:r>
        <w:rPr>
          <w:spacing w:val="-10"/>
          <w:sz w:val="20"/>
        </w:rPr>
        <w:t> </w:t>
      </w:r>
      <w:r>
        <w:rPr>
          <w:sz w:val="20"/>
        </w:rPr>
        <w:t>development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data</w:t>
      </w:r>
      <w:r>
        <w:rPr>
          <w:spacing w:val="1"/>
          <w:sz w:val="20"/>
        </w:rPr>
        <w:t> </w:t>
      </w:r>
      <w:r>
        <w:rPr>
          <w:sz w:val="20"/>
        </w:rPr>
        <w:t>collection</w:t>
      </w:r>
      <w:r>
        <w:rPr>
          <w:spacing w:val="46"/>
          <w:sz w:val="20"/>
        </w:rPr>
        <w:t> </w:t>
      </w:r>
      <w:r>
        <w:rPr>
          <w:sz w:val="20"/>
        </w:rPr>
        <w:t>to</w:t>
      </w:r>
      <w:r>
        <w:rPr>
          <w:spacing w:val="47"/>
          <w:sz w:val="20"/>
        </w:rPr>
        <w:t> </w:t>
      </w:r>
      <w:r>
        <w:rPr>
          <w:sz w:val="20"/>
        </w:rPr>
        <w:t>the</w:t>
      </w:r>
      <w:r>
        <w:rPr>
          <w:spacing w:val="49"/>
          <w:sz w:val="20"/>
        </w:rPr>
        <w:t> </w:t>
      </w:r>
      <w:r>
        <w:rPr>
          <w:sz w:val="20"/>
        </w:rPr>
        <w:t>extent</w:t>
      </w:r>
      <w:r>
        <w:rPr>
          <w:spacing w:val="47"/>
          <w:sz w:val="20"/>
        </w:rPr>
        <w:t> </w:t>
      </w:r>
      <w:r>
        <w:rPr>
          <w:sz w:val="20"/>
        </w:rPr>
        <w:t>possible,</w:t>
      </w:r>
      <w:r>
        <w:rPr>
          <w:spacing w:val="47"/>
          <w:sz w:val="20"/>
        </w:rPr>
        <w:t> </w:t>
      </w:r>
      <w:r>
        <w:rPr>
          <w:sz w:val="20"/>
        </w:rPr>
        <w:t>including</w:t>
      </w:r>
      <w:r>
        <w:rPr>
          <w:spacing w:val="46"/>
          <w:sz w:val="20"/>
        </w:rPr>
        <w:t> </w:t>
      </w:r>
      <w:r>
        <w:rPr>
          <w:sz w:val="20"/>
        </w:rPr>
        <w:t>through</w:t>
      </w:r>
      <w:r>
        <w:rPr>
          <w:spacing w:val="49"/>
          <w:sz w:val="20"/>
        </w:rPr>
        <w:t> </w:t>
      </w:r>
      <w:r>
        <w:rPr>
          <w:sz w:val="20"/>
        </w:rPr>
        <w:t>the</w:t>
      </w:r>
      <w:r>
        <w:rPr>
          <w:spacing w:val="46"/>
          <w:sz w:val="20"/>
        </w:rPr>
        <w:t> </w:t>
      </w:r>
      <w:r>
        <w:rPr>
          <w:sz w:val="20"/>
        </w:rPr>
        <w:t>adequate</w:t>
      </w:r>
      <w:r>
        <w:rPr>
          <w:spacing w:val="46"/>
          <w:sz w:val="20"/>
        </w:rPr>
        <w:t> </w:t>
      </w:r>
      <w:r>
        <w:rPr>
          <w:sz w:val="20"/>
        </w:rPr>
        <w:t>use</w:t>
      </w:r>
      <w:r>
        <w:rPr>
          <w:spacing w:val="48"/>
          <w:sz w:val="20"/>
        </w:rPr>
        <w:t> </w:t>
      </w:r>
      <w:r>
        <w:rPr>
          <w:sz w:val="20"/>
        </w:rPr>
        <w:t>of</w:t>
      </w:r>
      <w:r>
        <w:rPr>
          <w:spacing w:val="49"/>
          <w:sz w:val="20"/>
        </w:rPr>
        <w:t> </w:t>
      </w:r>
      <w:r>
        <w:rPr>
          <w:sz w:val="20"/>
        </w:rPr>
        <w:t>digital</w:t>
      </w:r>
      <w:r>
        <w:rPr>
          <w:spacing w:val="46"/>
          <w:sz w:val="20"/>
        </w:rPr>
        <w:t> </w:t>
      </w:r>
      <w:r>
        <w:rPr>
          <w:sz w:val="20"/>
        </w:rPr>
        <w:t>technologies</w:t>
      </w:r>
      <w:r>
        <w:rPr>
          <w:spacing w:val="1"/>
          <w:sz w:val="20"/>
        </w:rPr>
        <w:t> </w:t>
      </w:r>
      <w:r>
        <w:rPr>
          <w:sz w:val="20"/>
        </w:rPr>
        <w:t>(e.g.</w:t>
      </w:r>
      <w:r>
        <w:rPr>
          <w:spacing w:val="-2"/>
          <w:sz w:val="20"/>
        </w:rPr>
        <w:t> </w:t>
      </w:r>
      <w:r>
        <w:rPr>
          <w:sz w:val="20"/>
        </w:rPr>
        <w:t>making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1"/>
          <w:sz w:val="20"/>
        </w:rPr>
        <w:t> </w:t>
      </w:r>
      <w:r>
        <w:rPr>
          <w:sz w:val="20"/>
        </w:rPr>
        <w:t>of,</w:t>
      </w:r>
      <w:r>
        <w:rPr>
          <w:spacing w:val="-2"/>
          <w:sz w:val="20"/>
        </w:rPr>
        <w:t> </w:t>
      </w:r>
      <w:r>
        <w:rPr>
          <w:sz w:val="20"/>
        </w:rPr>
        <w:t>and expanding,</w:t>
      </w:r>
      <w:r>
        <w:rPr>
          <w:spacing w:val="-2"/>
          <w:sz w:val="20"/>
        </w:rPr>
        <w:t> </w:t>
      </w:r>
      <w:r>
        <w:rPr>
          <w:sz w:val="20"/>
        </w:rPr>
        <w:t>data</w:t>
      </w:r>
      <w:r>
        <w:rPr>
          <w:spacing w:val="-2"/>
          <w:sz w:val="20"/>
        </w:rPr>
        <w:t> </w:t>
      </w:r>
      <w:r>
        <w:rPr>
          <w:sz w:val="20"/>
        </w:rPr>
        <w:t>systems).</w:t>
      </w:r>
    </w:p>
    <w:p>
      <w:pPr>
        <w:spacing w:after="0" w:line="271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66" w:lineRule="auto" w:before="172" w:after="0"/>
        <w:ind w:left="862" w:right="309" w:hanging="339"/>
        <w:jc w:val="both"/>
        <w:rPr>
          <w:sz w:val="20"/>
        </w:rPr>
      </w:pPr>
      <w:r>
        <w:rPr>
          <w:sz w:val="20"/>
        </w:rPr>
        <w:t>The indicators that will be included as part of the contracts and on which HEIs will report on. This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-2"/>
          <w:sz w:val="20"/>
        </w:rPr>
        <w:t> </w:t>
      </w:r>
      <w:r>
        <w:rPr>
          <w:sz w:val="20"/>
        </w:rPr>
        <w:t>include</w:t>
      </w:r>
      <w:r>
        <w:rPr>
          <w:spacing w:val="1"/>
          <w:sz w:val="20"/>
        </w:rPr>
        <w:t> </w:t>
      </w:r>
      <w:r>
        <w:rPr>
          <w:sz w:val="20"/>
        </w:rPr>
        <w:t>identifying: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4" w:lineRule="auto" w:before="65" w:after="0"/>
        <w:ind w:left="1203" w:right="305" w:hanging="341"/>
        <w:jc w:val="both"/>
        <w:rPr>
          <w:sz w:val="20"/>
        </w:rPr>
      </w:pPr>
      <w:r>
        <w:rPr>
          <w:sz w:val="20"/>
        </w:rPr>
        <w:t>The small set of core, system-wide, indicators of teaching, research and engagement quality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applying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all</w:t>
      </w:r>
      <w:r>
        <w:rPr>
          <w:spacing w:val="-11"/>
          <w:sz w:val="20"/>
        </w:rPr>
        <w:t> </w:t>
      </w:r>
      <w:r>
        <w:rPr>
          <w:sz w:val="20"/>
        </w:rPr>
        <w:t>HEIs</w:t>
      </w:r>
      <w:r>
        <w:rPr>
          <w:spacing w:val="-12"/>
          <w:sz w:val="20"/>
        </w:rPr>
        <w:t> </w:t>
      </w:r>
      <w:r>
        <w:rPr>
          <w:sz w:val="20"/>
        </w:rPr>
        <w:t>(see</w:t>
      </w:r>
      <w:r>
        <w:rPr>
          <w:spacing w:val="-11"/>
          <w:sz w:val="20"/>
        </w:rPr>
        <w:t> </w:t>
      </w:r>
      <w:r>
        <w:rPr>
          <w:sz w:val="20"/>
        </w:rPr>
        <w:t>Policy</w:t>
      </w:r>
      <w:r>
        <w:rPr>
          <w:spacing w:val="-14"/>
          <w:sz w:val="20"/>
        </w:rPr>
        <w:t> </w:t>
      </w:r>
      <w:r>
        <w:rPr>
          <w:sz w:val="20"/>
        </w:rPr>
        <w:t>action</w:t>
      </w:r>
      <w:r>
        <w:rPr>
          <w:spacing w:val="1"/>
          <w:sz w:val="20"/>
        </w:rPr>
        <w:t> </w:t>
      </w:r>
      <w:r>
        <w:rPr>
          <w:sz w:val="20"/>
        </w:rPr>
        <w:t>2).</w:t>
      </w:r>
      <w:r>
        <w:rPr>
          <w:spacing w:val="-10"/>
          <w:sz w:val="20"/>
        </w:rPr>
        <w:t> </w:t>
      </w:r>
      <w:r>
        <w:rPr>
          <w:sz w:val="20"/>
        </w:rPr>
        <w:t>Reliable</w:t>
      </w:r>
      <w:r>
        <w:rPr>
          <w:spacing w:val="-13"/>
          <w:sz w:val="20"/>
        </w:rPr>
        <w:t> </w:t>
      </w:r>
      <w:r>
        <w:rPr>
          <w:sz w:val="20"/>
        </w:rPr>
        <w:t>data</w:t>
      </w:r>
      <w:r>
        <w:rPr>
          <w:spacing w:val="-11"/>
          <w:sz w:val="20"/>
        </w:rPr>
        <w:t> </w:t>
      </w:r>
      <w:r>
        <w:rPr>
          <w:sz w:val="20"/>
        </w:rPr>
        <w:t>sources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provide</w:t>
      </w:r>
      <w:r>
        <w:rPr>
          <w:spacing w:val="-11"/>
          <w:sz w:val="20"/>
        </w:rPr>
        <w:t> </w:t>
      </w:r>
      <w:r>
        <w:rPr>
          <w:sz w:val="20"/>
        </w:rPr>
        <w:t>information</w:t>
      </w:r>
      <w:r>
        <w:rPr>
          <w:spacing w:val="-13"/>
          <w:sz w:val="20"/>
        </w:rPr>
        <w:t> </w:t>
      </w:r>
      <w:r>
        <w:rPr>
          <w:sz w:val="20"/>
        </w:rPr>
        <w:t>on</w:t>
      </w:r>
      <w:r>
        <w:rPr>
          <w:spacing w:val="-12"/>
          <w:sz w:val="20"/>
        </w:rPr>
        <w:t> </w:t>
      </w:r>
      <w:r>
        <w:rPr>
          <w:sz w:val="20"/>
        </w:rPr>
        <w:t>these</w:t>
      </w:r>
      <w:r>
        <w:rPr>
          <w:spacing w:val="-54"/>
          <w:sz w:val="20"/>
        </w:rPr>
        <w:t> </w:t>
      </w:r>
      <w:r>
        <w:rPr>
          <w:sz w:val="20"/>
        </w:rPr>
        <w:t>indicators should be identified. Baseline data on all indicators should be collected, providing a</w:t>
      </w:r>
      <w:r>
        <w:rPr>
          <w:spacing w:val="-53"/>
          <w:sz w:val="20"/>
        </w:rPr>
        <w:t> </w:t>
      </w:r>
      <w:r>
        <w:rPr>
          <w:sz w:val="20"/>
        </w:rPr>
        <w:t>point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institution-specific targets</w:t>
      </w:r>
      <w:r>
        <w:rPr>
          <w:spacing w:val="-1"/>
          <w:sz w:val="20"/>
        </w:rPr>
        <w:t> </w:t>
      </w:r>
      <w:r>
        <w:rPr>
          <w:sz w:val="20"/>
        </w:rPr>
        <w:t>could be developed.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52" w:lineRule="auto" w:before="72" w:after="0"/>
        <w:ind w:left="1203" w:right="304" w:hanging="341"/>
        <w:jc w:val="both"/>
        <w:rPr>
          <w:sz w:val="20"/>
        </w:rPr>
      </w:pPr>
      <w:r>
        <w:rPr>
          <w:sz w:val="20"/>
        </w:rPr>
        <w:t>Quantitative</w:t>
      </w:r>
      <w:r>
        <w:rPr>
          <w:spacing w:val="-13"/>
          <w:sz w:val="20"/>
        </w:rPr>
        <w:t> </w:t>
      </w:r>
      <w:r>
        <w:rPr>
          <w:sz w:val="20"/>
        </w:rPr>
        <w:t>indicators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qualitative</w:t>
      </w:r>
      <w:r>
        <w:rPr>
          <w:spacing w:val="-13"/>
          <w:sz w:val="20"/>
        </w:rPr>
        <w:t> </w:t>
      </w:r>
      <w:r>
        <w:rPr>
          <w:sz w:val="20"/>
        </w:rPr>
        <w:t>approaches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report</w:t>
      </w:r>
      <w:r>
        <w:rPr>
          <w:spacing w:val="-12"/>
          <w:sz w:val="20"/>
        </w:rPr>
        <w:t> </w:t>
      </w:r>
      <w:r>
        <w:rPr>
          <w:sz w:val="20"/>
        </w:rPr>
        <w:t>on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use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targeted</w:t>
      </w:r>
      <w:r>
        <w:rPr>
          <w:spacing w:val="-12"/>
          <w:sz w:val="20"/>
        </w:rPr>
        <w:t> </w:t>
      </w:r>
      <w:r>
        <w:rPr>
          <w:sz w:val="20"/>
        </w:rPr>
        <w:t>funding</w:t>
      </w:r>
      <w:r>
        <w:rPr>
          <w:spacing w:val="-13"/>
          <w:sz w:val="20"/>
        </w:rPr>
        <w:t> </w:t>
      </w:r>
      <w:r>
        <w:rPr>
          <w:sz w:val="20"/>
        </w:rPr>
        <w:t>(see</w:t>
      </w:r>
      <w:r>
        <w:rPr>
          <w:spacing w:val="-54"/>
          <w:sz w:val="20"/>
        </w:rPr>
        <w:t> </w:t>
      </w:r>
      <w:r>
        <w:rPr>
          <w:sz w:val="20"/>
        </w:rPr>
        <w:t>Policy</w:t>
      </w:r>
      <w:r>
        <w:rPr>
          <w:spacing w:val="-3"/>
          <w:sz w:val="20"/>
        </w:rPr>
        <w:t> </w:t>
      </w:r>
      <w:r>
        <w:rPr>
          <w:sz w:val="20"/>
        </w:rPr>
        <w:t>action</w:t>
      </w:r>
      <w:r>
        <w:rPr>
          <w:spacing w:val="-1"/>
          <w:sz w:val="20"/>
        </w:rPr>
        <w:t> </w:t>
      </w:r>
      <w:r>
        <w:rPr>
          <w:sz w:val="20"/>
        </w:rPr>
        <w:t>6).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77" w:after="0"/>
        <w:ind w:left="1203" w:right="0" w:hanging="342"/>
        <w:jc w:val="both"/>
        <w:rPr>
          <w:sz w:val="20"/>
        </w:rPr>
      </w:pPr>
      <w:r>
        <w:rPr>
          <w:sz w:val="20"/>
        </w:rPr>
        <w:t>Examples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institution-specific</w:t>
      </w:r>
      <w:r>
        <w:rPr>
          <w:spacing w:val="-5"/>
          <w:sz w:val="20"/>
        </w:rPr>
        <w:t> </w:t>
      </w:r>
      <w:r>
        <w:rPr>
          <w:sz w:val="20"/>
        </w:rPr>
        <w:t>indicators,</w:t>
      </w:r>
      <w:r>
        <w:rPr>
          <w:spacing w:val="-5"/>
          <w:sz w:val="20"/>
        </w:rPr>
        <w:t> </w:t>
      </w:r>
      <w:r>
        <w:rPr>
          <w:sz w:val="20"/>
        </w:rPr>
        <w:t>targets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data</w:t>
      </w:r>
      <w:r>
        <w:rPr>
          <w:spacing w:val="-6"/>
          <w:sz w:val="20"/>
        </w:rPr>
        <w:t> </w:t>
      </w:r>
      <w:r>
        <w:rPr>
          <w:sz w:val="20"/>
        </w:rPr>
        <w:t>sources.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74" w:after="0"/>
        <w:ind w:left="1203" w:right="0" w:hanging="342"/>
        <w:jc w:val="both"/>
        <w:rPr>
          <w:sz w:val="20"/>
        </w:rPr>
      </w:pPr>
      <w:r>
        <w:rPr>
          <w:sz w:val="20"/>
        </w:rPr>
        <w:t>Identifying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  <w:r>
        <w:rPr>
          <w:spacing w:val="-3"/>
          <w:sz w:val="20"/>
        </w:rPr>
        <w:t> </w:t>
      </w:r>
      <w:r>
        <w:rPr>
          <w:sz w:val="20"/>
        </w:rPr>
        <w:t>through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HEIs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report</w:t>
      </w:r>
      <w:r>
        <w:rPr>
          <w:spacing w:val="-5"/>
          <w:sz w:val="20"/>
        </w:rPr>
        <w:t> </w:t>
      </w:r>
      <w:r>
        <w:rPr>
          <w:sz w:val="20"/>
        </w:rPr>
        <w:t>(e.g.</w:t>
      </w:r>
      <w:r>
        <w:rPr>
          <w:spacing w:val="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HEI’s</w:t>
      </w:r>
      <w:r>
        <w:rPr>
          <w:spacing w:val="-3"/>
          <w:sz w:val="20"/>
        </w:rPr>
        <w:t> </w:t>
      </w:r>
      <w:r>
        <w:rPr>
          <w:sz w:val="20"/>
        </w:rPr>
        <w:t>annual</w:t>
      </w:r>
      <w:r>
        <w:rPr>
          <w:spacing w:val="-5"/>
          <w:sz w:val="20"/>
        </w:rPr>
        <w:t> </w:t>
      </w:r>
      <w:r>
        <w:rPr>
          <w:sz w:val="20"/>
        </w:rPr>
        <w:t>report).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58" w:after="0"/>
        <w:ind w:left="862" w:right="0" w:hanging="339"/>
        <w:jc w:val="both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financial</w:t>
      </w:r>
      <w:r>
        <w:rPr>
          <w:spacing w:val="-7"/>
          <w:sz w:val="20"/>
        </w:rPr>
        <w:t> </w:t>
      </w:r>
      <w:r>
        <w:rPr>
          <w:sz w:val="20"/>
        </w:rPr>
        <w:t>implications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institutional</w:t>
      </w:r>
      <w:r>
        <w:rPr>
          <w:spacing w:val="-7"/>
          <w:sz w:val="20"/>
        </w:rPr>
        <w:t> </w:t>
      </w:r>
      <w:r>
        <w:rPr>
          <w:sz w:val="20"/>
        </w:rPr>
        <w:t>contracts.</w:t>
      </w:r>
      <w:r>
        <w:rPr>
          <w:spacing w:val="-6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should</w:t>
      </w:r>
      <w:r>
        <w:rPr>
          <w:spacing w:val="-4"/>
          <w:sz w:val="20"/>
        </w:rPr>
        <w:t> </w:t>
      </w:r>
      <w:r>
        <w:rPr>
          <w:sz w:val="20"/>
        </w:rPr>
        <w:t>include</w:t>
      </w:r>
      <w:r>
        <w:rPr>
          <w:spacing w:val="-6"/>
          <w:sz w:val="20"/>
        </w:rPr>
        <w:t> </w:t>
      </w:r>
      <w:r>
        <w:rPr>
          <w:sz w:val="20"/>
        </w:rPr>
        <w:t>identifying: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4" w:lineRule="auto" w:before="88" w:after="0"/>
        <w:ind w:left="1203" w:right="309" w:hanging="341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financial</w:t>
      </w:r>
      <w:r>
        <w:rPr>
          <w:spacing w:val="1"/>
          <w:sz w:val="20"/>
        </w:rPr>
        <w:t> </w:t>
      </w:r>
      <w:r>
        <w:rPr>
          <w:sz w:val="20"/>
        </w:rPr>
        <w:t>flexibilities</w:t>
      </w:r>
      <w:r>
        <w:rPr>
          <w:spacing w:val="1"/>
          <w:sz w:val="20"/>
        </w:rPr>
        <w:t> </w:t>
      </w:r>
      <w:r>
        <w:rPr>
          <w:sz w:val="20"/>
        </w:rPr>
        <w:t>attached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good</w:t>
      </w:r>
      <w:r>
        <w:rPr>
          <w:spacing w:val="55"/>
          <w:sz w:val="20"/>
        </w:rPr>
        <w:t> </w:t>
      </w:r>
      <w:r>
        <w:rPr>
          <w:sz w:val="20"/>
        </w:rPr>
        <w:t>performance</w:t>
      </w:r>
      <w:r>
        <w:rPr>
          <w:spacing w:val="56"/>
          <w:sz w:val="20"/>
        </w:rPr>
        <w:t> </w:t>
      </w:r>
      <w:r>
        <w:rPr>
          <w:sz w:val="20"/>
        </w:rPr>
        <w:t>on</w:t>
      </w:r>
      <w:r>
        <w:rPr>
          <w:spacing w:val="55"/>
          <w:sz w:val="20"/>
        </w:rPr>
        <w:t> </w:t>
      </w:r>
      <w:r>
        <w:rPr>
          <w:sz w:val="20"/>
        </w:rPr>
        <w:t>core</w:t>
      </w:r>
      <w:r>
        <w:rPr>
          <w:spacing w:val="56"/>
          <w:sz w:val="20"/>
        </w:rPr>
        <w:t> </w:t>
      </w:r>
      <w:r>
        <w:rPr>
          <w:sz w:val="20"/>
        </w:rPr>
        <w:t>performance</w:t>
      </w:r>
      <w:r>
        <w:rPr>
          <w:spacing w:val="55"/>
          <w:sz w:val="20"/>
        </w:rPr>
        <w:t> </w:t>
      </w:r>
      <w:r>
        <w:rPr>
          <w:sz w:val="20"/>
        </w:rPr>
        <w:t>indicators</w:t>
      </w:r>
      <w:r>
        <w:rPr>
          <w:spacing w:val="1"/>
          <w:sz w:val="20"/>
        </w:rPr>
        <w:t> </w:t>
      </w:r>
      <w:r>
        <w:rPr>
          <w:sz w:val="20"/>
        </w:rPr>
        <w:t>(e.g.</w:t>
      </w:r>
      <w:r>
        <w:rPr>
          <w:spacing w:val="-5"/>
          <w:sz w:val="20"/>
        </w:rPr>
        <w:t> </w:t>
      </w:r>
      <w:r>
        <w:rPr>
          <w:sz w:val="20"/>
        </w:rPr>
        <w:t>additional</w:t>
      </w:r>
      <w:r>
        <w:rPr>
          <w:spacing w:val="-7"/>
          <w:sz w:val="20"/>
        </w:rPr>
        <w:t> </w:t>
      </w:r>
      <w:r>
        <w:rPr>
          <w:sz w:val="20"/>
        </w:rPr>
        <w:t>funding,</w:t>
      </w:r>
      <w:r>
        <w:rPr>
          <w:spacing w:val="-5"/>
          <w:sz w:val="20"/>
        </w:rPr>
        <w:t> </w:t>
      </w:r>
      <w:r>
        <w:rPr>
          <w:sz w:val="20"/>
        </w:rPr>
        <w:t>ability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charge</w:t>
      </w:r>
      <w:r>
        <w:rPr>
          <w:spacing w:val="-7"/>
          <w:sz w:val="20"/>
        </w:rPr>
        <w:t> </w:t>
      </w:r>
      <w:r>
        <w:rPr>
          <w:sz w:val="20"/>
        </w:rPr>
        <w:t>tuition</w:t>
      </w:r>
      <w:r>
        <w:rPr>
          <w:spacing w:val="-7"/>
          <w:sz w:val="20"/>
        </w:rPr>
        <w:t> </w:t>
      </w:r>
      <w:r>
        <w:rPr>
          <w:sz w:val="20"/>
        </w:rPr>
        <w:t>fees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cases</w:t>
      </w:r>
      <w:r>
        <w:rPr>
          <w:spacing w:val="-6"/>
          <w:sz w:val="20"/>
        </w:rPr>
        <w:t> </w:t>
      </w:r>
      <w:r>
        <w:rPr>
          <w:sz w:val="20"/>
        </w:rPr>
        <w:t>where</w:t>
      </w:r>
      <w:r>
        <w:rPr>
          <w:spacing w:val="-6"/>
          <w:sz w:val="20"/>
        </w:rPr>
        <w:t> </w:t>
      </w:r>
      <w:r>
        <w:rPr>
          <w:sz w:val="20"/>
        </w:rPr>
        <w:t>it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not</w:t>
      </w:r>
      <w:r>
        <w:rPr>
          <w:spacing w:val="-7"/>
          <w:sz w:val="20"/>
        </w:rPr>
        <w:t> </w:t>
      </w:r>
      <w:r>
        <w:rPr>
          <w:sz w:val="20"/>
        </w:rPr>
        <w:t>currently</w:t>
      </w:r>
      <w:r>
        <w:rPr>
          <w:spacing w:val="-7"/>
          <w:sz w:val="20"/>
        </w:rPr>
        <w:t> </w:t>
      </w:r>
      <w:r>
        <w:rPr>
          <w:sz w:val="20"/>
        </w:rPr>
        <w:t>possible)</w:t>
      </w:r>
      <w:r>
        <w:rPr>
          <w:spacing w:val="1"/>
          <w:sz w:val="20"/>
        </w:rPr>
        <w:t> </w:t>
      </w:r>
      <w:r>
        <w:rPr>
          <w:sz w:val="20"/>
        </w:rPr>
        <w:t>and the consequences of not meeting targets (e.g. no funding on top of regular allocation or a</w:t>
      </w:r>
      <w:r>
        <w:rPr>
          <w:spacing w:val="-53"/>
          <w:sz w:val="20"/>
        </w:rPr>
        <w:t> </w:t>
      </w:r>
      <w:r>
        <w:rPr>
          <w:sz w:val="20"/>
        </w:rPr>
        <w:t>reduction in</w:t>
      </w:r>
      <w:r>
        <w:rPr>
          <w:spacing w:val="-1"/>
          <w:sz w:val="20"/>
        </w:rPr>
        <w:t> </w:t>
      </w:r>
      <w:r>
        <w:rPr>
          <w:sz w:val="20"/>
        </w:rPr>
        <w:t>regular</w:t>
      </w:r>
      <w:r>
        <w:rPr>
          <w:spacing w:val="-1"/>
          <w:sz w:val="20"/>
        </w:rPr>
        <w:t> </w:t>
      </w:r>
      <w:r>
        <w:rPr>
          <w:sz w:val="20"/>
        </w:rPr>
        <w:t>allocation).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1" w:lineRule="auto" w:before="73" w:after="0"/>
        <w:ind w:left="1203" w:right="306" w:hanging="341"/>
        <w:jc w:val="both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possibility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use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institutional</w:t>
      </w:r>
      <w:r>
        <w:rPr>
          <w:spacing w:val="-10"/>
          <w:sz w:val="20"/>
        </w:rPr>
        <w:t> </w:t>
      </w:r>
      <w:r>
        <w:rPr>
          <w:sz w:val="20"/>
        </w:rPr>
        <w:t>contracts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8"/>
          <w:sz w:val="20"/>
        </w:rPr>
        <w:t> </w:t>
      </w:r>
      <w:r>
        <w:rPr>
          <w:sz w:val="20"/>
        </w:rPr>
        <w:t>an</w:t>
      </w:r>
      <w:r>
        <w:rPr>
          <w:spacing w:val="-10"/>
          <w:sz w:val="20"/>
        </w:rPr>
        <w:t> </w:t>
      </w:r>
      <w:r>
        <w:rPr>
          <w:sz w:val="20"/>
        </w:rPr>
        <w:t>instrument</w:t>
      </w:r>
      <w:r>
        <w:rPr>
          <w:spacing w:val="-8"/>
          <w:sz w:val="20"/>
        </w:rPr>
        <w:t> </w:t>
      </w:r>
      <w:r>
        <w:rPr>
          <w:sz w:val="20"/>
        </w:rPr>
        <w:t>through</w:t>
      </w:r>
      <w:r>
        <w:rPr>
          <w:spacing w:val="-7"/>
          <w:sz w:val="20"/>
        </w:rPr>
        <w:t> </w:t>
      </w:r>
      <w:r>
        <w:rPr>
          <w:sz w:val="20"/>
        </w:rPr>
        <w:t>which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allocate</w:t>
      </w:r>
      <w:r>
        <w:rPr>
          <w:spacing w:val="-10"/>
          <w:sz w:val="20"/>
        </w:rPr>
        <w:t> </w:t>
      </w:r>
      <w:r>
        <w:rPr>
          <w:sz w:val="20"/>
        </w:rPr>
        <w:t>targeted</w:t>
      </w:r>
      <w:r>
        <w:rPr>
          <w:spacing w:val="-53"/>
          <w:sz w:val="20"/>
        </w:rPr>
        <w:t> </w:t>
      </w:r>
      <w:r>
        <w:rPr>
          <w:sz w:val="20"/>
        </w:rPr>
        <w:t>funding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HEIs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top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3"/>
          <w:sz w:val="20"/>
        </w:rPr>
        <w:t> </w:t>
      </w:r>
      <w:r>
        <w:rPr>
          <w:sz w:val="20"/>
        </w:rPr>
        <w:t>funding</w:t>
      </w:r>
      <w:r>
        <w:rPr>
          <w:spacing w:val="-4"/>
          <w:sz w:val="20"/>
        </w:rPr>
        <w:t> </w:t>
      </w:r>
      <w:r>
        <w:rPr>
          <w:sz w:val="20"/>
        </w:rPr>
        <w:t>formula</w:t>
      </w:r>
      <w:r>
        <w:rPr>
          <w:spacing w:val="-4"/>
          <w:sz w:val="20"/>
        </w:rPr>
        <w:t> </w:t>
      </w:r>
      <w:r>
        <w:rPr>
          <w:sz w:val="20"/>
        </w:rPr>
        <w:t>allocation.</w:t>
      </w:r>
      <w:r>
        <w:rPr>
          <w:spacing w:val="-6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done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promote</w:t>
      </w:r>
      <w:r>
        <w:rPr>
          <w:spacing w:val="-5"/>
          <w:sz w:val="20"/>
        </w:rPr>
        <w:t> </w:t>
      </w:r>
      <w:r>
        <w:rPr>
          <w:sz w:val="20"/>
        </w:rPr>
        <w:t>rapid</w:t>
      </w:r>
      <w:r>
        <w:rPr>
          <w:spacing w:val="1"/>
          <w:sz w:val="20"/>
        </w:rPr>
        <w:t> </w:t>
      </w:r>
      <w:r>
        <w:rPr>
          <w:sz w:val="20"/>
        </w:rPr>
        <w:t>progress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key</w:t>
      </w:r>
      <w:r>
        <w:rPr>
          <w:spacing w:val="-5"/>
          <w:sz w:val="20"/>
        </w:rPr>
        <w:t> </w:t>
      </w:r>
      <w:r>
        <w:rPr>
          <w:sz w:val="20"/>
        </w:rPr>
        <w:t>policy</w:t>
      </w:r>
      <w:r>
        <w:rPr>
          <w:spacing w:val="-2"/>
          <w:sz w:val="20"/>
        </w:rPr>
        <w:t> </w:t>
      </w:r>
      <w:r>
        <w:rPr>
          <w:sz w:val="20"/>
        </w:rPr>
        <w:t>priorities (see</w:t>
      </w:r>
      <w:r>
        <w:rPr>
          <w:spacing w:val="-3"/>
          <w:sz w:val="20"/>
        </w:rPr>
        <w:t> </w:t>
      </w:r>
      <w:r>
        <w:rPr>
          <w:sz w:val="20"/>
        </w:rPr>
        <w:t>Policy</w:t>
      </w:r>
      <w:r>
        <w:rPr>
          <w:spacing w:val="-4"/>
          <w:sz w:val="20"/>
        </w:rPr>
        <w:t> </w:t>
      </w:r>
      <w:r>
        <w:rPr>
          <w:sz w:val="20"/>
        </w:rPr>
        <w:t>action</w:t>
      </w:r>
      <w:r>
        <w:rPr>
          <w:spacing w:val="6"/>
          <w:sz w:val="20"/>
        </w:rPr>
        <w:t> </w:t>
      </w:r>
      <w:r>
        <w:rPr>
          <w:sz w:val="20"/>
        </w:rPr>
        <w:t>6).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1" w:lineRule="auto" w:before="70" w:after="0"/>
        <w:ind w:left="1203" w:right="307" w:hanging="341"/>
        <w:jc w:val="both"/>
        <w:rPr>
          <w:sz w:val="20"/>
        </w:rPr>
      </w:pPr>
      <w:r>
        <w:rPr>
          <w:sz w:val="20"/>
        </w:rPr>
        <w:t>Funding</w:t>
      </w:r>
      <w:r>
        <w:rPr>
          <w:spacing w:val="-13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support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implementation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contracts</w:t>
      </w:r>
      <w:r>
        <w:rPr>
          <w:spacing w:val="-11"/>
          <w:sz w:val="20"/>
        </w:rPr>
        <w:t> </w:t>
      </w:r>
      <w:r>
        <w:rPr>
          <w:sz w:val="20"/>
        </w:rPr>
        <w:t>should</w:t>
      </w:r>
      <w:r>
        <w:rPr>
          <w:spacing w:val="-12"/>
          <w:sz w:val="20"/>
        </w:rPr>
        <w:t> </w:t>
      </w:r>
      <w:r>
        <w:rPr>
          <w:sz w:val="20"/>
        </w:rPr>
        <w:t>also</w:t>
      </w:r>
      <w:r>
        <w:rPr>
          <w:spacing w:val="-13"/>
          <w:sz w:val="20"/>
        </w:rPr>
        <w:t> </w:t>
      </w:r>
      <w:r>
        <w:rPr>
          <w:sz w:val="20"/>
        </w:rPr>
        <w:t>be</w:t>
      </w:r>
      <w:r>
        <w:rPr>
          <w:spacing w:val="-13"/>
          <w:sz w:val="20"/>
        </w:rPr>
        <w:t> </w:t>
      </w:r>
      <w:r>
        <w:rPr>
          <w:sz w:val="20"/>
        </w:rPr>
        <w:t>estimated.</w:t>
      </w:r>
      <w:r>
        <w:rPr>
          <w:spacing w:val="-12"/>
          <w:sz w:val="20"/>
        </w:rPr>
        <w:t> </w:t>
      </w:r>
      <w:r>
        <w:rPr>
          <w:sz w:val="20"/>
        </w:rPr>
        <w:t>This</w:t>
      </w:r>
      <w:r>
        <w:rPr>
          <w:spacing w:val="-11"/>
          <w:sz w:val="20"/>
        </w:rPr>
        <w:t> </w:t>
      </w:r>
      <w:r>
        <w:rPr>
          <w:sz w:val="20"/>
        </w:rPr>
        <w:t>includes</w:t>
      </w:r>
      <w:r>
        <w:rPr>
          <w:spacing w:val="-54"/>
          <w:sz w:val="20"/>
        </w:rPr>
        <w:t> </w:t>
      </w:r>
      <w:r>
        <w:rPr>
          <w:sz w:val="20"/>
        </w:rPr>
        <w:t>funding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human</w:t>
      </w:r>
      <w:r>
        <w:rPr>
          <w:spacing w:val="-7"/>
          <w:sz w:val="20"/>
        </w:rPr>
        <w:t> </w:t>
      </w:r>
      <w:r>
        <w:rPr>
          <w:sz w:val="20"/>
        </w:rPr>
        <w:t>resources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government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HEIs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developing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monitoring</w:t>
      </w:r>
      <w:r>
        <w:rPr>
          <w:spacing w:val="-7"/>
          <w:sz w:val="20"/>
        </w:rPr>
        <w:t> </w:t>
      </w:r>
      <w:r>
        <w:rPr>
          <w:sz w:val="20"/>
        </w:rPr>
        <w:t>contracts</w:t>
      </w:r>
      <w:r>
        <w:rPr>
          <w:spacing w:val="-5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support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improvement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data</w:t>
      </w:r>
      <w:r>
        <w:rPr>
          <w:spacing w:val="-3"/>
          <w:sz w:val="20"/>
        </w:rPr>
        <w:t> </w:t>
      </w:r>
      <w:r>
        <w:rPr>
          <w:sz w:val="20"/>
        </w:rPr>
        <w:t>collection</w:t>
      </w:r>
      <w:r>
        <w:rPr>
          <w:spacing w:val="-4"/>
          <w:sz w:val="20"/>
        </w:rPr>
        <w:t> </w:t>
      </w:r>
      <w:r>
        <w:rPr>
          <w:sz w:val="20"/>
        </w:rPr>
        <w:t>systems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government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HEIs.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57" w:after="0"/>
        <w:ind w:left="862" w:right="0" w:hanging="339"/>
        <w:jc w:val="both"/>
        <w:rPr>
          <w:sz w:val="20"/>
        </w:rPr>
      </w:pPr>
      <w:r>
        <w:rPr>
          <w:sz w:val="20"/>
        </w:rPr>
        <w:t>Sections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institutional</w:t>
      </w:r>
      <w:r>
        <w:rPr>
          <w:spacing w:val="-3"/>
          <w:sz w:val="20"/>
        </w:rPr>
        <w:t> </w:t>
      </w:r>
      <w:r>
        <w:rPr>
          <w:sz w:val="20"/>
        </w:rPr>
        <w:t>contracts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available</w:t>
      </w:r>
      <w:r>
        <w:rPr>
          <w:spacing w:val="-4"/>
          <w:sz w:val="20"/>
        </w:rPr>
        <w:t> </w:t>
      </w:r>
      <w:r>
        <w:rPr>
          <w:sz w:val="20"/>
        </w:rPr>
        <w:t>publicly.</w:t>
      </w:r>
    </w:p>
    <w:p>
      <w:pPr>
        <w:pStyle w:val="BodyText"/>
        <w:spacing w:before="155"/>
        <w:ind w:left="183"/>
        <w:jc w:val="both"/>
      </w:pPr>
      <w:r>
        <w:rPr/>
        <w:t>In</w:t>
      </w:r>
      <w:r>
        <w:rPr>
          <w:spacing w:val="-4"/>
        </w:rPr>
        <w:t> </w:t>
      </w:r>
      <w:r>
        <w:rPr/>
        <w:t>addition,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support</w:t>
      </w:r>
      <w:r>
        <w:rPr>
          <w:spacing w:val="-4"/>
        </w:rPr>
        <w:t> </w:t>
      </w:r>
      <w:r>
        <w:rPr/>
        <w:t>HEIs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managing</w:t>
      </w:r>
      <w:r>
        <w:rPr>
          <w:spacing w:val="-5"/>
        </w:rPr>
        <w:t> </w:t>
      </w:r>
      <w:r>
        <w:rPr/>
        <w:t>contracts.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involves:</w:t>
      </w:r>
    </w:p>
    <w:p>
      <w:pPr>
        <w:pStyle w:val="ListParagraph"/>
        <w:numPr>
          <w:ilvl w:val="0"/>
          <w:numId w:val="26"/>
        </w:numPr>
        <w:tabs>
          <w:tab w:pos="862" w:val="left" w:leader="none"/>
          <w:tab w:pos="863" w:val="left" w:leader="none"/>
        </w:tabs>
        <w:spacing w:line="240" w:lineRule="auto" w:before="128" w:after="0"/>
        <w:ind w:left="862" w:right="0" w:hanging="339"/>
        <w:jc w:val="left"/>
        <w:rPr>
          <w:sz w:val="20"/>
        </w:rPr>
      </w:pPr>
      <w:r>
        <w:rPr>
          <w:sz w:val="20"/>
        </w:rPr>
        <w:t>developing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clear</w:t>
      </w:r>
      <w:r>
        <w:rPr>
          <w:spacing w:val="-6"/>
          <w:sz w:val="20"/>
        </w:rPr>
        <w:t> </w:t>
      </w:r>
      <w:r>
        <w:rPr>
          <w:sz w:val="20"/>
        </w:rPr>
        <w:t>vision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higher</w:t>
      </w:r>
      <w:r>
        <w:rPr>
          <w:spacing w:val="-5"/>
          <w:sz w:val="20"/>
        </w:rPr>
        <w:t> </w:t>
      </w:r>
      <w:r>
        <w:rPr>
          <w:sz w:val="20"/>
        </w:rPr>
        <w:t>education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institutional</w:t>
      </w:r>
      <w:r>
        <w:rPr>
          <w:spacing w:val="-7"/>
          <w:sz w:val="20"/>
        </w:rPr>
        <w:t> </w:t>
      </w:r>
      <w:r>
        <w:rPr>
          <w:sz w:val="20"/>
        </w:rPr>
        <w:t>profiles</w:t>
      </w:r>
    </w:p>
    <w:p>
      <w:pPr>
        <w:pStyle w:val="ListParagraph"/>
        <w:numPr>
          <w:ilvl w:val="0"/>
          <w:numId w:val="26"/>
        </w:numPr>
        <w:tabs>
          <w:tab w:pos="862" w:val="left" w:leader="none"/>
          <w:tab w:pos="863" w:val="left" w:leader="none"/>
        </w:tabs>
        <w:spacing w:line="240" w:lineRule="auto" w:before="77" w:after="0"/>
        <w:ind w:left="862" w:right="0" w:hanging="339"/>
        <w:jc w:val="left"/>
        <w:rPr>
          <w:sz w:val="20"/>
        </w:rPr>
      </w:pPr>
      <w:r>
        <w:rPr>
          <w:sz w:val="20"/>
        </w:rPr>
        <w:t>identifying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public</w:t>
      </w:r>
      <w:r>
        <w:rPr>
          <w:spacing w:val="-4"/>
          <w:sz w:val="20"/>
        </w:rPr>
        <w:t> </w:t>
      </w:r>
      <w:r>
        <w:rPr>
          <w:sz w:val="20"/>
        </w:rPr>
        <w:t>entity</w:t>
      </w:r>
      <w:r>
        <w:rPr>
          <w:spacing w:val="-7"/>
          <w:sz w:val="20"/>
        </w:rPr>
        <w:t> </w:t>
      </w:r>
      <w:r>
        <w:rPr>
          <w:sz w:val="20"/>
        </w:rPr>
        <w:t>responsible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managing</w:t>
      </w:r>
      <w:r>
        <w:rPr>
          <w:spacing w:val="-4"/>
          <w:sz w:val="20"/>
        </w:rPr>
        <w:t> </w:t>
      </w:r>
      <w:r>
        <w:rPr>
          <w:sz w:val="20"/>
        </w:rPr>
        <w:t>institutional</w:t>
      </w:r>
      <w:r>
        <w:rPr>
          <w:spacing w:val="-6"/>
          <w:sz w:val="20"/>
        </w:rPr>
        <w:t> </w:t>
      </w:r>
      <w:r>
        <w:rPr>
          <w:sz w:val="20"/>
        </w:rPr>
        <w:t>contracts</w:t>
      </w:r>
      <w:r>
        <w:rPr>
          <w:spacing w:val="-4"/>
          <w:sz w:val="20"/>
        </w:rPr>
        <w:t> </w:t>
      </w:r>
      <w:r>
        <w:rPr>
          <w:sz w:val="20"/>
        </w:rPr>
        <w:t>(see</w:t>
      </w:r>
      <w:r>
        <w:rPr>
          <w:spacing w:val="-4"/>
          <w:sz w:val="20"/>
        </w:rPr>
        <w:t> </w:t>
      </w:r>
      <w:r>
        <w:rPr>
          <w:sz w:val="20"/>
        </w:rPr>
        <w:t>Policy</w:t>
      </w:r>
      <w:r>
        <w:rPr>
          <w:spacing w:val="-8"/>
          <w:sz w:val="20"/>
        </w:rPr>
        <w:t> </w:t>
      </w:r>
      <w:r>
        <w:rPr>
          <w:sz w:val="20"/>
        </w:rPr>
        <w:t>action</w:t>
      </w:r>
      <w:r>
        <w:rPr>
          <w:spacing w:val="5"/>
          <w:sz w:val="20"/>
        </w:rPr>
        <w:t> </w:t>
      </w:r>
      <w:r>
        <w:rPr>
          <w:sz w:val="20"/>
        </w:rPr>
        <w:t>1)</w:t>
      </w:r>
    </w:p>
    <w:p>
      <w:pPr>
        <w:pStyle w:val="ListParagraph"/>
        <w:numPr>
          <w:ilvl w:val="0"/>
          <w:numId w:val="26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developing</w:t>
      </w:r>
      <w:r>
        <w:rPr>
          <w:spacing w:val="-4"/>
          <w:sz w:val="20"/>
        </w:rPr>
        <w:t> </w:t>
      </w:r>
      <w:r>
        <w:rPr>
          <w:sz w:val="20"/>
        </w:rPr>
        <w:t>guidance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data</w:t>
      </w:r>
      <w:r>
        <w:rPr>
          <w:spacing w:val="-5"/>
          <w:sz w:val="20"/>
        </w:rPr>
        <w:t> </w:t>
      </w:r>
      <w:r>
        <w:rPr>
          <w:sz w:val="20"/>
        </w:rPr>
        <w:t>collection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reporting.</w:t>
      </w:r>
    </w:p>
    <w:p>
      <w:pPr>
        <w:pStyle w:val="BodyText"/>
        <w:spacing w:before="1"/>
        <w:rPr>
          <w:sz w:val="23"/>
        </w:rPr>
      </w:pPr>
    </w:p>
    <w:p>
      <w:pPr>
        <w:pStyle w:val="Heading7"/>
        <w:spacing w:line="266" w:lineRule="auto" w:before="1"/>
        <w:ind w:right="966"/>
      </w:pPr>
      <w:bookmarkStart w:name="Policy action 6. Use the institutional c" w:id="141"/>
      <w:bookmarkEnd w:id="141"/>
      <w:r>
        <w:rPr>
          <w:i w:val="0"/>
        </w:rPr>
      </w:r>
      <w:r>
        <w:rPr>
          <w:color w:val="616161"/>
        </w:rPr>
        <w:t>Policy action 6. Use the institutional contracts to allocate targeted funding to enhance</w:t>
      </w:r>
      <w:r>
        <w:rPr>
          <w:color w:val="616161"/>
          <w:spacing w:val="-59"/>
        </w:rPr>
        <w:t> </w:t>
      </w:r>
      <w:r>
        <w:rPr>
          <w:color w:val="616161"/>
        </w:rPr>
        <w:t>teaching</w:t>
      </w:r>
      <w:r>
        <w:rPr>
          <w:color w:val="616161"/>
          <w:spacing w:val="-1"/>
        </w:rPr>
        <w:t> </w:t>
      </w:r>
      <w:r>
        <w:rPr>
          <w:color w:val="616161"/>
        </w:rPr>
        <w:t>and</w:t>
      </w:r>
      <w:r>
        <w:rPr>
          <w:color w:val="616161"/>
          <w:spacing w:val="-2"/>
        </w:rPr>
        <w:t> </w:t>
      </w:r>
      <w:r>
        <w:rPr>
          <w:color w:val="616161"/>
        </w:rPr>
        <w:t>research quality</w:t>
      </w:r>
    </w:p>
    <w:p>
      <w:pPr>
        <w:pStyle w:val="BodyText"/>
        <w:spacing w:line="271" w:lineRule="auto" w:before="189"/>
        <w:ind w:left="183" w:right="302"/>
        <w:jc w:val="both"/>
      </w:pPr>
      <w:r>
        <w:rPr/>
        <w:t>OECD countries have diversified the mechanisms through which they fund higher education to optimise</w:t>
      </w:r>
      <w:r>
        <w:rPr>
          <w:spacing w:val="1"/>
        </w:rPr>
        <w:t> </w:t>
      </w:r>
      <w:r>
        <w:rPr>
          <w:w w:val="95"/>
        </w:rPr>
        <w:t>the strategic impact of the funding they provide. As the Slovak</w:t>
      </w:r>
      <w:r>
        <w:rPr>
          <w:spacing w:val="50"/>
        </w:rPr>
        <w:t> </w:t>
      </w:r>
      <w:r>
        <w:rPr>
          <w:w w:val="95"/>
        </w:rPr>
        <w:t>Republic engages in a broad reform agenda,</w:t>
      </w:r>
      <w:r>
        <w:rPr>
          <w:spacing w:val="1"/>
          <w:w w:val="95"/>
        </w:rPr>
        <w:t> </w:t>
      </w:r>
      <w:r>
        <w:rPr/>
        <w:t>the government may consider using the new institutional contracts as an instrument through which to</w:t>
      </w:r>
      <w:r>
        <w:rPr>
          <w:spacing w:val="1"/>
        </w:rPr>
        <w:t> </w:t>
      </w:r>
      <w:r>
        <w:rPr/>
        <w:t>allocate targeted funding to complement funding provided through the funding formula and research</w:t>
      </w:r>
      <w:r>
        <w:rPr>
          <w:spacing w:val="1"/>
        </w:rPr>
        <w:t> </w:t>
      </w:r>
      <w:r>
        <w:rPr/>
        <w:t>agencies.</w:t>
      </w:r>
    </w:p>
    <w:p>
      <w:pPr>
        <w:pStyle w:val="BodyText"/>
        <w:spacing w:line="271" w:lineRule="auto" w:before="119"/>
        <w:ind w:left="183" w:right="313"/>
        <w:jc w:val="both"/>
      </w:pPr>
      <w:r>
        <w:rPr/>
        <w:t>This could imply linking a specific funding envelope allocating targeted funding to each institutional</w:t>
      </w:r>
      <w:r>
        <w:rPr>
          <w:spacing w:val="1"/>
        </w:rPr>
        <w:t> </w:t>
      </w:r>
      <w:r>
        <w:rPr/>
        <w:t>contract.</w:t>
      </w:r>
      <w:r>
        <w:rPr>
          <w:spacing w:val="-8"/>
        </w:rPr>
        <w:t> </w:t>
      </w:r>
      <w:r>
        <w:rPr/>
        <w:t>Alternatively,</w:t>
      </w:r>
      <w:r>
        <w:rPr>
          <w:spacing w:val="-8"/>
        </w:rPr>
        <w:t> </w:t>
      </w:r>
      <w:r>
        <w:rPr/>
        <w:t>targeted</w:t>
      </w:r>
      <w:r>
        <w:rPr>
          <w:spacing w:val="-8"/>
        </w:rPr>
        <w:t> </w:t>
      </w:r>
      <w:r>
        <w:rPr/>
        <w:t>funding</w:t>
      </w:r>
      <w:r>
        <w:rPr>
          <w:spacing w:val="-7"/>
        </w:rPr>
        <w:t> </w:t>
      </w:r>
      <w:r>
        <w:rPr/>
        <w:t>could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allocated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new</w:t>
      </w:r>
      <w:r>
        <w:rPr>
          <w:spacing w:val="-11"/>
        </w:rPr>
        <w:t> </w:t>
      </w:r>
      <w:r>
        <w:rPr/>
        <w:t>component</w:t>
      </w:r>
      <w:r>
        <w:rPr>
          <w:spacing w:val="-8"/>
        </w:rPr>
        <w:t> </w:t>
      </w:r>
      <w:r>
        <w:rPr/>
        <w:t>built</w:t>
      </w:r>
      <w:r>
        <w:rPr>
          <w:spacing w:val="-6"/>
        </w:rPr>
        <w:t> </w:t>
      </w:r>
      <w:r>
        <w:rPr/>
        <w:t>into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funding</w:t>
      </w:r>
      <w:r>
        <w:rPr>
          <w:spacing w:val="1"/>
        </w:rPr>
        <w:t> </w:t>
      </w:r>
      <w:r>
        <w:rPr/>
        <w:t>formula,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HEIs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report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targeted funding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contracts.</w:t>
      </w:r>
    </w:p>
    <w:p>
      <w:pPr>
        <w:pStyle w:val="BodyText"/>
        <w:spacing w:line="273" w:lineRule="auto" w:before="121"/>
        <w:ind w:left="183" w:right="315"/>
        <w:jc w:val="both"/>
      </w:pPr>
      <w:r>
        <w:rPr/>
        <w:t>Great caution should be taken in the design of targeted funding programmes to ensure they are efficient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instruments.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taking</w:t>
      </w:r>
      <w:r>
        <w:rPr>
          <w:spacing w:val="-4"/>
        </w:rPr>
        <w:t> </w:t>
      </w:r>
      <w:r>
        <w:rPr/>
        <w:t>account</w:t>
      </w:r>
      <w:r>
        <w:rPr>
          <w:spacing w:val="-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principles: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71" w:lineRule="auto" w:before="95" w:after="0"/>
        <w:ind w:left="862" w:right="308" w:hanging="339"/>
        <w:jc w:val="both"/>
        <w:rPr>
          <w:sz w:val="20"/>
        </w:rPr>
      </w:pPr>
      <w:r>
        <w:rPr>
          <w:sz w:val="20"/>
        </w:rPr>
        <w:t>Clear and simple eligibility criteria for the funding – for some funding programmes, all HEIs might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eligible;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others,</w:t>
      </w:r>
      <w:r>
        <w:rPr>
          <w:spacing w:val="1"/>
          <w:sz w:val="20"/>
        </w:rPr>
        <w:t> </w:t>
      </w:r>
      <w:r>
        <w:rPr>
          <w:sz w:val="20"/>
        </w:rPr>
        <w:t>eligibility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1"/>
          <w:sz w:val="20"/>
        </w:rPr>
        <w:t> </w:t>
      </w:r>
      <w:r>
        <w:rPr>
          <w:sz w:val="20"/>
        </w:rPr>
        <w:t>depend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institutional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  <w:r>
        <w:rPr>
          <w:spacing w:val="1"/>
          <w:sz w:val="20"/>
        </w:rPr>
        <w:t> </w:t>
      </w:r>
      <w:r>
        <w:rPr>
          <w:sz w:val="20"/>
        </w:rPr>
        <w:t>agreed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government;</w:t>
      </w:r>
      <w:r>
        <w:rPr>
          <w:spacing w:val="-2"/>
          <w:sz w:val="20"/>
        </w:rPr>
        <w:t> </w:t>
      </w:r>
      <w:r>
        <w:rPr>
          <w:sz w:val="20"/>
        </w:rPr>
        <w:t>in other</w:t>
      </w:r>
      <w:r>
        <w:rPr>
          <w:spacing w:val="-1"/>
          <w:sz w:val="20"/>
        </w:rPr>
        <w:t> </w:t>
      </w:r>
      <w:r>
        <w:rPr>
          <w:sz w:val="20"/>
        </w:rPr>
        <w:t>cases,</w:t>
      </w:r>
      <w:r>
        <w:rPr>
          <w:spacing w:val="-2"/>
          <w:sz w:val="20"/>
        </w:rPr>
        <w:t> </w:t>
      </w:r>
      <w:r>
        <w:rPr>
          <w:sz w:val="20"/>
        </w:rPr>
        <w:t>eligibility</w:t>
      </w:r>
      <w:r>
        <w:rPr>
          <w:spacing w:val="-5"/>
          <w:sz w:val="20"/>
        </w:rPr>
        <w:t> </w:t>
      </w:r>
      <w:r>
        <w:rPr>
          <w:sz w:val="20"/>
        </w:rPr>
        <w:t>may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based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competitive</w:t>
      </w:r>
      <w:r>
        <w:rPr>
          <w:spacing w:val="-1"/>
          <w:sz w:val="20"/>
        </w:rPr>
        <w:t> </w:t>
      </w:r>
      <w:r>
        <w:rPr>
          <w:sz w:val="20"/>
        </w:rPr>
        <w:t>process.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44" w:after="0"/>
        <w:ind w:left="862" w:right="0" w:hanging="339"/>
        <w:jc w:val="both"/>
        <w:rPr>
          <w:sz w:val="20"/>
        </w:rPr>
      </w:pPr>
      <w:r>
        <w:rPr>
          <w:sz w:val="20"/>
        </w:rPr>
        <w:t>Transparency</w:t>
      </w:r>
      <w:r>
        <w:rPr>
          <w:spacing w:val="33"/>
          <w:sz w:val="20"/>
        </w:rPr>
        <w:t> </w:t>
      </w:r>
      <w:r>
        <w:rPr>
          <w:sz w:val="20"/>
        </w:rPr>
        <w:t>of</w:t>
      </w:r>
      <w:r>
        <w:rPr>
          <w:spacing w:val="39"/>
          <w:sz w:val="20"/>
        </w:rPr>
        <w:t> </w:t>
      </w:r>
      <w:r>
        <w:rPr>
          <w:sz w:val="20"/>
        </w:rPr>
        <w:t>the</w:t>
      </w:r>
      <w:r>
        <w:rPr>
          <w:spacing w:val="35"/>
          <w:sz w:val="20"/>
        </w:rPr>
        <w:t> </w:t>
      </w:r>
      <w:r>
        <w:rPr>
          <w:sz w:val="20"/>
        </w:rPr>
        <w:t>eligibility</w:t>
      </w:r>
      <w:r>
        <w:rPr>
          <w:spacing w:val="34"/>
          <w:sz w:val="20"/>
        </w:rPr>
        <w:t> </w:t>
      </w:r>
      <w:r>
        <w:rPr>
          <w:sz w:val="20"/>
        </w:rPr>
        <w:t>criteria,</w:t>
      </w:r>
      <w:r>
        <w:rPr>
          <w:spacing w:val="36"/>
          <w:sz w:val="20"/>
        </w:rPr>
        <w:t> </w:t>
      </w:r>
      <w:r>
        <w:rPr>
          <w:sz w:val="20"/>
        </w:rPr>
        <w:t>for</w:t>
      </w:r>
      <w:r>
        <w:rPr>
          <w:spacing w:val="38"/>
          <w:sz w:val="20"/>
        </w:rPr>
        <w:t> </w:t>
      </w:r>
      <w:r>
        <w:rPr>
          <w:sz w:val="20"/>
        </w:rPr>
        <w:t>instance,</w:t>
      </w:r>
      <w:r>
        <w:rPr>
          <w:spacing w:val="38"/>
          <w:sz w:val="20"/>
        </w:rPr>
        <w:t> </w:t>
      </w:r>
      <w:r>
        <w:rPr>
          <w:sz w:val="20"/>
        </w:rPr>
        <w:t>by</w:t>
      </w:r>
      <w:r>
        <w:rPr>
          <w:spacing w:val="34"/>
          <w:sz w:val="20"/>
        </w:rPr>
        <w:t> </w:t>
      </w:r>
      <w:r>
        <w:rPr>
          <w:sz w:val="20"/>
        </w:rPr>
        <w:t>publishing</w:t>
      </w:r>
      <w:r>
        <w:rPr>
          <w:spacing w:val="35"/>
          <w:sz w:val="20"/>
        </w:rPr>
        <w:t> </w:t>
      </w:r>
      <w:r>
        <w:rPr>
          <w:sz w:val="20"/>
        </w:rPr>
        <w:t>the</w:t>
      </w:r>
      <w:r>
        <w:rPr>
          <w:spacing w:val="36"/>
          <w:sz w:val="20"/>
        </w:rPr>
        <w:t> </w:t>
      </w:r>
      <w:r>
        <w:rPr>
          <w:sz w:val="20"/>
        </w:rPr>
        <w:t>criteria</w:t>
      </w:r>
      <w:r>
        <w:rPr>
          <w:spacing w:val="38"/>
          <w:sz w:val="20"/>
        </w:rPr>
        <w:t> </w:t>
      </w:r>
      <w:r>
        <w:rPr>
          <w:sz w:val="20"/>
        </w:rPr>
        <w:t>and</w:t>
      </w:r>
      <w:r>
        <w:rPr>
          <w:spacing w:val="37"/>
          <w:sz w:val="20"/>
        </w:rPr>
        <w:t> </w:t>
      </w:r>
      <w:r>
        <w:rPr>
          <w:sz w:val="20"/>
        </w:rPr>
        <w:t>the</w:t>
      </w:r>
      <w:r>
        <w:rPr>
          <w:spacing w:val="36"/>
          <w:sz w:val="20"/>
        </w:rPr>
        <w:t> </w:t>
      </w:r>
      <w:r>
        <w:rPr>
          <w:sz w:val="20"/>
        </w:rPr>
        <w:t>funding</w:t>
      </w:r>
    </w:p>
    <w:p>
      <w:pPr>
        <w:pStyle w:val="BodyText"/>
        <w:spacing w:before="27"/>
        <w:ind w:left="862"/>
        <w:jc w:val="both"/>
      </w:pPr>
      <w:r>
        <w:rPr/>
        <w:t>received by</w:t>
      </w:r>
      <w:r>
        <w:rPr>
          <w:spacing w:val="-3"/>
        </w:rPr>
        <w:t> </w:t>
      </w:r>
      <w:r>
        <w:rPr/>
        <w:t>each</w:t>
      </w:r>
      <w:r>
        <w:rPr>
          <w:spacing w:val="1"/>
        </w:rPr>
        <w:t> </w:t>
      </w:r>
      <w:r>
        <w:rPr/>
        <w:t>HEI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MoE’s</w:t>
      </w:r>
      <w:r>
        <w:rPr>
          <w:spacing w:val="3"/>
        </w:rPr>
        <w:t> </w:t>
      </w:r>
      <w:r>
        <w:rPr/>
        <w:t>website in</w:t>
      </w:r>
      <w:r>
        <w:rPr>
          <w:spacing w:val="1"/>
        </w:rPr>
        <w:t> </w:t>
      </w:r>
      <w:r>
        <w:rPr/>
        <w:t>a manner</w:t>
      </w:r>
      <w:r>
        <w:rPr>
          <w:spacing w:val="-1"/>
        </w:rPr>
        <w:t> </w:t>
      </w:r>
      <w:r>
        <w:rPr/>
        <w:t>similar to the</w:t>
      </w:r>
      <w:r>
        <w:rPr>
          <w:spacing w:val="1"/>
        </w:rPr>
        <w:t> </w:t>
      </w:r>
      <w:r>
        <w:rPr/>
        <w:t>detailed</w:t>
      </w:r>
      <w:r>
        <w:rPr>
          <w:spacing w:val="-2"/>
        </w:rPr>
        <w:t> </w:t>
      </w:r>
      <w:r>
        <w:rPr/>
        <w:t>annual</w:t>
      </w:r>
      <w:r>
        <w:rPr>
          <w:spacing w:val="-2"/>
        </w:rPr>
        <w:t> </w:t>
      </w:r>
      <w:r>
        <w:rPr/>
        <w:t>allocations</w:t>
      </w:r>
    </w:p>
    <w:p>
      <w:pPr>
        <w:spacing w:after="0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line="271" w:lineRule="auto" w:before="185"/>
        <w:ind w:left="862" w:right="313"/>
        <w:jc w:val="both"/>
      </w:pPr>
      <w:r>
        <w:rPr/>
        <w:t>published annually by the Ministry. Sections of institutional contracts where the HEIs would report</w:t>
      </w:r>
      <w:r>
        <w:rPr>
          <w:spacing w:val="-53"/>
        </w:rPr>
        <w:t> </w:t>
      </w:r>
      <w:r>
        <w:rPr/>
        <w:t>on</w:t>
      </w:r>
      <w:r>
        <w:rPr>
          <w:spacing w:val="-3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funding should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public.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46" w:after="0"/>
        <w:ind w:left="862" w:right="0" w:hanging="339"/>
        <w:jc w:val="both"/>
        <w:rPr>
          <w:sz w:val="20"/>
        </w:rPr>
      </w:pPr>
      <w:r>
        <w:rPr>
          <w:sz w:val="20"/>
        </w:rPr>
        <w:t>Sufficient</w:t>
      </w:r>
      <w:r>
        <w:rPr>
          <w:spacing w:val="-7"/>
          <w:sz w:val="20"/>
        </w:rPr>
        <w:t> </w:t>
      </w:r>
      <w:r>
        <w:rPr>
          <w:sz w:val="20"/>
        </w:rPr>
        <w:t>funding</w:t>
      </w:r>
      <w:r>
        <w:rPr>
          <w:spacing w:val="-5"/>
          <w:sz w:val="20"/>
        </w:rPr>
        <w:t> </w:t>
      </w:r>
      <w:r>
        <w:rPr>
          <w:sz w:val="20"/>
        </w:rPr>
        <w:t>amounts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influence</w:t>
      </w:r>
      <w:r>
        <w:rPr>
          <w:spacing w:val="-5"/>
          <w:sz w:val="20"/>
        </w:rPr>
        <w:t> </w:t>
      </w:r>
      <w:r>
        <w:rPr>
          <w:sz w:val="20"/>
        </w:rPr>
        <w:t>behaviour.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71" w:lineRule="auto" w:before="76" w:after="0"/>
        <w:ind w:left="862" w:right="306" w:hanging="339"/>
        <w:jc w:val="both"/>
        <w:rPr>
          <w:sz w:val="20"/>
        </w:rPr>
      </w:pPr>
      <w:r>
        <w:rPr>
          <w:sz w:val="20"/>
        </w:rPr>
        <w:t>Quantitative and qualitative information should be included in institutional contracts to indicate the</w:t>
      </w:r>
      <w:r>
        <w:rPr>
          <w:spacing w:val="-53"/>
          <w:sz w:val="20"/>
        </w:rPr>
        <w:t> </w:t>
      </w:r>
      <w:r>
        <w:rPr>
          <w:sz w:val="20"/>
        </w:rPr>
        <w:t>use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targeted</w:t>
      </w:r>
      <w:r>
        <w:rPr>
          <w:spacing w:val="-7"/>
          <w:sz w:val="20"/>
        </w:rPr>
        <w:t> </w:t>
      </w:r>
      <w:r>
        <w:rPr>
          <w:sz w:val="20"/>
        </w:rPr>
        <w:t>funding,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expected</w:t>
      </w:r>
      <w:r>
        <w:rPr>
          <w:spacing w:val="-3"/>
          <w:sz w:val="20"/>
        </w:rPr>
        <w:t> </w:t>
      </w:r>
      <w:r>
        <w:rPr>
          <w:sz w:val="20"/>
        </w:rPr>
        <w:t>impact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new</w:t>
      </w:r>
      <w:r>
        <w:rPr>
          <w:spacing w:val="-8"/>
          <w:sz w:val="20"/>
        </w:rPr>
        <w:t> </w:t>
      </w:r>
      <w:r>
        <w:rPr>
          <w:sz w:val="20"/>
        </w:rPr>
        <w:t>targeted</w:t>
      </w:r>
      <w:r>
        <w:rPr>
          <w:spacing w:val="-6"/>
          <w:sz w:val="20"/>
        </w:rPr>
        <w:t> </w:t>
      </w:r>
      <w:r>
        <w:rPr>
          <w:sz w:val="20"/>
        </w:rPr>
        <w:t>funding,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actual</w:t>
      </w:r>
      <w:r>
        <w:rPr>
          <w:spacing w:val="-5"/>
          <w:sz w:val="20"/>
        </w:rPr>
        <w:t> </w:t>
      </w:r>
      <w:r>
        <w:rPr>
          <w:sz w:val="20"/>
        </w:rPr>
        <w:t>impact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previously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received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funding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after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agreed-upon</w:t>
      </w:r>
      <w:r>
        <w:rPr>
          <w:spacing w:val="-7"/>
          <w:sz w:val="20"/>
        </w:rPr>
        <w:t> </w:t>
      </w:r>
      <w:r>
        <w:rPr>
          <w:sz w:val="20"/>
        </w:rPr>
        <w:t>implementation</w:t>
      </w:r>
      <w:r>
        <w:rPr>
          <w:spacing w:val="-9"/>
          <w:sz w:val="20"/>
        </w:rPr>
        <w:t> </w:t>
      </w:r>
      <w:r>
        <w:rPr>
          <w:sz w:val="20"/>
        </w:rPr>
        <w:t>period.</w:t>
      </w:r>
      <w:r>
        <w:rPr>
          <w:spacing w:val="-10"/>
          <w:sz w:val="20"/>
        </w:rPr>
        <w:t> </w:t>
      </w:r>
      <w:r>
        <w:rPr>
          <w:sz w:val="20"/>
        </w:rPr>
        <w:t>Including</w:t>
      </w:r>
      <w:r>
        <w:rPr>
          <w:spacing w:val="-7"/>
          <w:sz w:val="20"/>
        </w:rPr>
        <w:t> </w:t>
      </w:r>
      <w:r>
        <w:rPr>
          <w:sz w:val="20"/>
        </w:rPr>
        <w:t>this</w:t>
      </w:r>
      <w:r>
        <w:rPr>
          <w:spacing w:val="-8"/>
          <w:sz w:val="20"/>
        </w:rPr>
        <w:t> </w:t>
      </w:r>
      <w:r>
        <w:rPr>
          <w:sz w:val="20"/>
        </w:rPr>
        <w:t>information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institutional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contracts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would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consolidate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minimise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reporting</w:t>
      </w:r>
      <w:r>
        <w:rPr>
          <w:spacing w:val="-13"/>
          <w:sz w:val="20"/>
        </w:rPr>
        <w:t> </w:t>
      </w:r>
      <w:r>
        <w:rPr>
          <w:sz w:val="20"/>
        </w:rPr>
        <w:t>requirements</w:t>
      </w:r>
      <w:r>
        <w:rPr>
          <w:spacing w:val="-11"/>
          <w:sz w:val="20"/>
        </w:rPr>
        <w:t> </w:t>
      </w:r>
      <w:r>
        <w:rPr>
          <w:sz w:val="20"/>
        </w:rPr>
        <w:t>placed</w:t>
      </w:r>
      <w:r>
        <w:rPr>
          <w:spacing w:val="-13"/>
          <w:sz w:val="20"/>
        </w:rPr>
        <w:t> </w:t>
      </w:r>
      <w:r>
        <w:rPr>
          <w:sz w:val="20"/>
        </w:rPr>
        <w:t>on</w:t>
      </w:r>
      <w:r>
        <w:rPr>
          <w:spacing w:val="-13"/>
          <w:sz w:val="20"/>
        </w:rPr>
        <w:t> </w:t>
      </w:r>
      <w:r>
        <w:rPr>
          <w:sz w:val="20"/>
        </w:rPr>
        <w:t>HEIs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-3"/>
          <w:sz w:val="20"/>
        </w:rPr>
        <w:t> </w:t>
      </w:r>
      <w:r>
        <w:rPr>
          <w:sz w:val="20"/>
        </w:rPr>
        <w:t>fulfilling</w:t>
      </w:r>
      <w:r>
        <w:rPr>
          <w:spacing w:val="-1"/>
          <w:sz w:val="20"/>
        </w:rPr>
        <w:t> </w:t>
      </w:r>
      <w:r>
        <w:rPr>
          <w:sz w:val="20"/>
        </w:rPr>
        <w:t>accountability</w:t>
      </w:r>
      <w:r>
        <w:rPr>
          <w:spacing w:val="-3"/>
          <w:sz w:val="20"/>
        </w:rPr>
        <w:t> </w:t>
      </w:r>
      <w:r>
        <w:rPr>
          <w:sz w:val="20"/>
        </w:rPr>
        <w:t>requirements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additional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z w:val="20"/>
        </w:rPr>
        <w:t>spending.</w:t>
      </w:r>
    </w:p>
    <w:p>
      <w:pPr>
        <w:pStyle w:val="BodyText"/>
        <w:spacing w:line="273" w:lineRule="auto" w:before="123"/>
        <w:ind w:left="183" w:right="305"/>
        <w:jc w:val="both"/>
      </w:pPr>
      <w:r>
        <w:rPr/>
        <w:t>We recommend the expert working group identified in Policy action 1 provide recommendations for</w:t>
      </w:r>
      <w:r>
        <w:rPr>
          <w:spacing w:val="1"/>
        </w:rPr>
        <w:t> </w:t>
      </w:r>
      <w:r>
        <w:rPr/>
        <w:t>targeted</w:t>
      </w:r>
      <w:r>
        <w:rPr>
          <w:spacing w:val="-2"/>
        </w:rPr>
        <w:t> </w:t>
      </w:r>
      <w:r>
        <w:rPr/>
        <w:t>funding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areas:</w:t>
      </w:r>
    </w:p>
    <w:p>
      <w:pPr>
        <w:pStyle w:val="ListParagraph"/>
        <w:numPr>
          <w:ilvl w:val="0"/>
          <w:numId w:val="27"/>
        </w:numPr>
        <w:tabs>
          <w:tab w:pos="863" w:val="left" w:leader="none"/>
        </w:tabs>
        <w:spacing w:line="271" w:lineRule="auto" w:before="109" w:after="0"/>
        <w:ind w:left="862" w:right="310" w:hanging="339"/>
        <w:jc w:val="both"/>
        <w:rPr>
          <w:sz w:val="20"/>
        </w:rPr>
      </w:pPr>
      <w:r>
        <w:rPr>
          <w:sz w:val="20"/>
        </w:rPr>
        <w:t>Promote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development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high-quality,</w:t>
      </w:r>
      <w:r>
        <w:rPr>
          <w:spacing w:val="1"/>
          <w:sz w:val="20"/>
        </w:rPr>
        <w:t> </w:t>
      </w:r>
      <w:r>
        <w:rPr>
          <w:sz w:val="20"/>
        </w:rPr>
        <w:t>flexible,</w:t>
      </w:r>
      <w:r>
        <w:rPr>
          <w:spacing w:val="1"/>
          <w:sz w:val="20"/>
        </w:rPr>
        <w:t> </w:t>
      </w:r>
      <w:r>
        <w:rPr>
          <w:sz w:val="20"/>
        </w:rPr>
        <w:t>professionally</w:t>
      </w:r>
      <w:r>
        <w:rPr>
          <w:spacing w:val="1"/>
          <w:sz w:val="20"/>
        </w:rPr>
        <w:t> </w:t>
      </w:r>
      <w:r>
        <w:rPr>
          <w:sz w:val="20"/>
        </w:rPr>
        <w:t>oriented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programmes.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1" w:lineRule="auto" w:before="62" w:after="0"/>
        <w:ind w:left="1203" w:right="302" w:hanging="341"/>
        <w:jc w:val="both"/>
        <w:rPr>
          <w:sz w:val="20"/>
        </w:rPr>
      </w:pP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includes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expansion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professional</w:t>
      </w:r>
      <w:r>
        <w:rPr>
          <w:spacing w:val="1"/>
          <w:sz w:val="20"/>
        </w:rPr>
        <w:t> </w:t>
      </w:r>
      <w:r>
        <w:rPr>
          <w:sz w:val="20"/>
        </w:rPr>
        <w:t>bachelor’s</w:t>
      </w:r>
      <w:r>
        <w:rPr>
          <w:spacing w:val="1"/>
          <w:sz w:val="20"/>
        </w:rPr>
        <w:t> </w:t>
      </w:r>
      <w:r>
        <w:rPr>
          <w:sz w:val="20"/>
        </w:rPr>
        <w:t>degrees,</w:t>
      </w:r>
      <w:r>
        <w:rPr>
          <w:spacing w:val="1"/>
          <w:sz w:val="20"/>
        </w:rPr>
        <w:t> </w:t>
      </w:r>
      <w:r>
        <w:rPr>
          <w:sz w:val="20"/>
        </w:rPr>
        <w:t>but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exploring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expansion of</w:t>
      </w:r>
      <w:r>
        <w:rPr>
          <w:spacing w:val="1"/>
          <w:sz w:val="20"/>
        </w:rPr>
        <w:t> </w:t>
      </w:r>
      <w:r>
        <w:rPr>
          <w:sz w:val="20"/>
        </w:rPr>
        <w:t>short-cycle tertiary education</w:t>
      </w:r>
      <w:r>
        <w:rPr>
          <w:spacing w:val="1"/>
          <w:sz w:val="20"/>
        </w:rPr>
        <w:t> </w:t>
      </w:r>
      <w:r>
        <w:rPr>
          <w:sz w:val="20"/>
        </w:rPr>
        <w:t>programmes</w:t>
      </w:r>
      <w:r>
        <w:rPr>
          <w:spacing w:val="1"/>
          <w:sz w:val="20"/>
        </w:rPr>
        <w:t> </w:t>
      </w:r>
      <w:r>
        <w:rPr>
          <w:sz w:val="20"/>
        </w:rPr>
        <w:t>in the</w:t>
      </w:r>
      <w:r>
        <w:rPr>
          <w:spacing w:val="1"/>
          <w:sz w:val="20"/>
        </w:rPr>
        <w:t> </w:t>
      </w:r>
      <w:r>
        <w:rPr>
          <w:sz w:val="20"/>
        </w:rPr>
        <w:t>Slovak Republic</w:t>
      </w:r>
      <w:r>
        <w:rPr>
          <w:spacing w:val="1"/>
          <w:sz w:val="20"/>
        </w:rPr>
        <w:t> </w:t>
      </w:r>
      <w:r>
        <w:rPr>
          <w:sz w:val="20"/>
        </w:rPr>
        <w:t>[see the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examples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from</w:t>
      </w:r>
      <w:r>
        <w:rPr>
          <w:spacing w:val="3"/>
          <w:position w:val="1"/>
          <w:sz w:val="20"/>
        </w:rPr>
        <w:t> </w:t>
      </w:r>
      <w:r>
        <w:rPr>
          <w:position w:val="1"/>
          <w:sz w:val="20"/>
        </w:rPr>
        <w:t>France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United</w:t>
      </w:r>
      <w:r>
        <w:rPr>
          <w:spacing w:val="3"/>
          <w:position w:val="1"/>
          <w:sz w:val="20"/>
        </w:rPr>
        <w:t> </w:t>
      </w:r>
      <w:r>
        <w:rPr>
          <w:position w:val="1"/>
          <w:sz w:val="20"/>
        </w:rPr>
        <w:t>Kingdom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presented in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OECD (2020</w:t>
      </w:r>
      <w:r>
        <w:rPr>
          <w:sz w:val="13"/>
        </w:rPr>
        <w:t>[41]</w:t>
      </w:r>
      <w:r>
        <w:rPr>
          <w:position w:val="1"/>
          <w:sz w:val="20"/>
        </w:rPr>
        <w:t>)].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4" w:lineRule="auto" w:before="70" w:after="0"/>
        <w:ind w:left="1203" w:right="301" w:hanging="341"/>
        <w:jc w:val="both"/>
        <w:rPr>
          <w:sz w:val="20"/>
        </w:rPr>
      </w:pPr>
      <w:r>
        <w:rPr>
          <w:sz w:val="20"/>
        </w:rPr>
        <w:t>It could also support activities within existing programmes that expand students’ opportunities</w:t>
      </w:r>
      <w:r>
        <w:rPr>
          <w:spacing w:val="-53"/>
          <w:sz w:val="20"/>
        </w:rPr>
        <w:t> </w:t>
      </w:r>
      <w:r>
        <w:rPr>
          <w:sz w:val="20"/>
        </w:rPr>
        <w:t>to develop key transversal skills and attitudes (e.g. problem solving in a technology-rich</w:t>
      </w:r>
      <w:r>
        <w:rPr>
          <w:spacing w:val="1"/>
          <w:sz w:val="20"/>
        </w:rPr>
        <w:t> </w:t>
      </w:r>
      <w:r>
        <w:rPr>
          <w:sz w:val="20"/>
        </w:rPr>
        <w:t>environment, disposition towards lifelong learning), and the development of partnerships with</w:t>
      </w:r>
      <w:r>
        <w:rPr>
          <w:spacing w:val="1"/>
          <w:sz w:val="20"/>
        </w:rPr>
        <w:t> </w:t>
      </w:r>
      <w:r>
        <w:rPr>
          <w:sz w:val="20"/>
        </w:rPr>
        <w:t>employers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strengthen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provision</w:t>
      </w:r>
      <w:r>
        <w:rPr>
          <w:spacing w:val="-1"/>
          <w:sz w:val="20"/>
        </w:rPr>
        <w:t> </w:t>
      </w:r>
      <w:r>
        <w:rPr>
          <w:sz w:val="20"/>
        </w:rPr>
        <w:t>of work-based</w:t>
      </w:r>
      <w:r>
        <w:rPr>
          <w:spacing w:val="-3"/>
          <w:sz w:val="20"/>
        </w:rPr>
        <w:t> </w:t>
      </w:r>
      <w:r>
        <w:rPr>
          <w:sz w:val="20"/>
        </w:rPr>
        <w:t>learning</w:t>
      </w:r>
      <w:r>
        <w:rPr>
          <w:spacing w:val="-1"/>
          <w:sz w:val="20"/>
        </w:rPr>
        <w:t> </w:t>
      </w:r>
      <w:r>
        <w:rPr>
          <w:sz w:val="20"/>
        </w:rPr>
        <w:t>opportunities.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8" w:lineRule="auto" w:before="70" w:after="0"/>
        <w:ind w:left="1203" w:right="303" w:hanging="341"/>
        <w:jc w:val="both"/>
        <w:rPr>
          <w:sz w:val="20"/>
        </w:rPr>
      </w:pPr>
      <w:r>
        <w:rPr>
          <w:spacing w:val="-1"/>
          <w:sz w:val="20"/>
        </w:rPr>
        <w:t>Finally,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consideration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could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be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given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how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infrastructure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investments,</w:t>
      </w:r>
      <w:r>
        <w:rPr>
          <w:spacing w:val="-15"/>
          <w:sz w:val="20"/>
        </w:rPr>
        <w:t> </w:t>
      </w:r>
      <w:r>
        <w:rPr>
          <w:sz w:val="20"/>
        </w:rPr>
        <w:t>including</w:t>
      </w:r>
      <w:r>
        <w:rPr>
          <w:spacing w:val="-15"/>
          <w:sz w:val="20"/>
        </w:rPr>
        <w:t> </w:t>
      </w:r>
      <w:r>
        <w:rPr>
          <w:sz w:val="20"/>
        </w:rPr>
        <w:t>those</w:t>
      </w:r>
      <w:r>
        <w:rPr>
          <w:spacing w:val="-15"/>
          <w:sz w:val="20"/>
        </w:rPr>
        <w:t> </w:t>
      </w:r>
      <w:r>
        <w:rPr>
          <w:sz w:val="20"/>
        </w:rPr>
        <w:t>planned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part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Slovak</w:t>
      </w:r>
      <w:r>
        <w:rPr>
          <w:spacing w:val="-3"/>
          <w:sz w:val="20"/>
        </w:rPr>
        <w:t> </w:t>
      </w:r>
      <w:r>
        <w:rPr>
          <w:sz w:val="20"/>
        </w:rPr>
        <w:t>Republic’s</w:t>
      </w:r>
      <w:r>
        <w:rPr>
          <w:spacing w:val="-5"/>
          <w:sz w:val="20"/>
        </w:rPr>
        <w:t> </w:t>
      </w:r>
      <w:r>
        <w:rPr>
          <w:sz w:val="20"/>
        </w:rPr>
        <w:t>national</w:t>
      </w:r>
      <w:r>
        <w:rPr>
          <w:spacing w:val="-5"/>
          <w:sz w:val="20"/>
        </w:rPr>
        <w:t> </w:t>
      </w:r>
      <w:r>
        <w:rPr>
          <w:sz w:val="20"/>
        </w:rPr>
        <w:t>RRP</w:t>
      </w:r>
      <w:r>
        <w:rPr>
          <w:spacing w:val="-6"/>
          <w:sz w:val="20"/>
        </w:rPr>
        <w:t> </w:t>
      </w:r>
      <w:r>
        <w:rPr>
          <w:sz w:val="20"/>
        </w:rPr>
        <w:t>(see</w:t>
      </w:r>
      <w:r>
        <w:rPr>
          <w:spacing w:val="-4"/>
          <w:sz w:val="20"/>
        </w:rPr>
        <w:t> </w:t>
      </w:r>
      <w:hyperlink w:history="true" w:anchor="_bookmark38">
        <w:r>
          <w:rPr>
            <w:sz w:val="20"/>
          </w:rPr>
          <w:t>Box</w:t>
        </w:r>
        <w:r>
          <w:rPr>
            <w:spacing w:val="-3"/>
            <w:sz w:val="20"/>
          </w:rPr>
          <w:t> </w:t>
        </w:r>
        <w:r>
          <w:rPr>
            <w:sz w:val="20"/>
          </w:rPr>
          <w:t>3.3</w:t>
        </w:r>
      </w:hyperlink>
      <w:r>
        <w:rPr>
          <w:sz w:val="20"/>
        </w:rPr>
        <w:t>),</w:t>
      </w:r>
      <w:r>
        <w:rPr>
          <w:spacing w:val="-6"/>
          <w:sz w:val="20"/>
        </w:rPr>
        <w:t> </w:t>
      </w:r>
      <w:r>
        <w:rPr>
          <w:sz w:val="20"/>
        </w:rPr>
        <w:t>could</w:t>
      </w:r>
      <w:r>
        <w:rPr>
          <w:spacing w:val="-6"/>
          <w:sz w:val="20"/>
        </w:rPr>
        <w:t> </w:t>
      </w:r>
      <w:r>
        <w:rPr>
          <w:sz w:val="20"/>
        </w:rPr>
        <w:t>support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digitalisation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higher education. This could include both the digitalisation of administrative functions to make</w:t>
      </w:r>
      <w:r>
        <w:rPr>
          <w:spacing w:val="-53"/>
          <w:sz w:val="20"/>
        </w:rPr>
        <w:t> </w:t>
      </w:r>
      <w:r>
        <w:rPr>
          <w:sz w:val="20"/>
        </w:rPr>
        <w:t>them more efficient, and of teaching, learning and research. Digitally enhanced teaching and</w:t>
      </w:r>
      <w:r>
        <w:rPr>
          <w:spacing w:val="1"/>
          <w:sz w:val="20"/>
        </w:rPr>
        <w:t> </w:t>
      </w:r>
      <w:r>
        <w:rPr>
          <w:sz w:val="20"/>
        </w:rPr>
        <w:t>learning in particular could be a driver for the modernisation of pedagogy, make higher</w:t>
      </w:r>
      <w:r>
        <w:rPr>
          <w:spacing w:val="1"/>
          <w:sz w:val="20"/>
        </w:rPr>
        <w:t> </w:t>
      </w:r>
      <w:r>
        <w:rPr>
          <w:sz w:val="20"/>
        </w:rPr>
        <w:t>education programmes more flexible and accessible to a greater range of learners from the</w:t>
      </w:r>
      <w:r>
        <w:rPr>
          <w:spacing w:val="1"/>
          <w:sz w:val="20"/>
        </w:rPr>
        <w:t> </w:t>
      </w:r>
      <w:r>
        <w:rPr>
          <w:sz w:val="20"/>
        </w:rPr>
        <w:t>Slovak</w:t>
      </w:r>
      <w:r>
        <w:rPr>
          <w:spacing w:val="-1"/>
          <w:sz w:val="20"/>
        </w:rPr>
        <w:t> </w:t>
      </w:r>
      <w:r>
        <w:rPr>
          <w:sz w:val="20"/>
        </w:rPr>
        <w:t>Republic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abroad,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facilitate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supply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short,</w:t>
      </w:r>
      <w:r>
        <w:rPr>
          <w:spacing w:val="-6"/>
          <w:sz w:val="20"/>
        </w:rPr>
        <w:t> </w:t>
      </w:r>
      <w:r>
        <w:rPr>
          <w:sz w:val="20"/>
        </w:rPr>
        <w:t>modular,</w:t>
      </w:r>
      <w:r>
        <w:rPr>
          <w:spacing w:val="-6"/>
          <w:sz w:val="20"/>
        </w:rPr>
        <w:t> </w:t>
      </w:r>
      <w:r>
        <w:rPr>
          <w:sz w:val="20"/>
        </w:rPr>
        <w:t>study</w:t>
      </w:r>
      <w:r>
        <w:rPr>
          <w:spacing w:val="-7"/>
          <w:sz w:val="20"/>
        </w:rPr>
        <w:t> </w:t>
      </w:r>
      <w:r>
        <w:rPr>
          <w:sz w:val="20"/>
        </w:rPr>
        <w:t>options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micro-credentials, which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often</w:t>
      </w:r>
      <w:r>
        <w:rPr>
          <w:spacing w:val="-1"/>
          <w:sz w:val="20"/>
        </w:rPr>
        <w:t> </w:t>
      </w:r>
      <w:r>
        <w:rPr>
          <w:sz w:val="20"/>
        </w:rPr>
        <w:t>delivered through</w:t>
      </w:r>
      <w:r>
        <w:rPr>
          <w:spacing w:val="-1"/>
          <w:sz w:val="20"/>
        </w:rPr>
        <w:t> </w:t>
      </w:r>
      <w:r>
        <w:rPr>
          <w:sz w:val="20"/>
        </w:rPr>
        <w:t>online</w:t>
      </w:r>
      <w:r>
        <w:rPr>
          <w:spacing w:val="-3"/>
          <w:sz w:val="20"/>
        </w:rPr>
        <w:t> </w:t>
      </w:r>
      <w:r>
        <w:rPr>
          <w:sz w:val="20"/>
        </w:rPr>
        <w:t>methods.</w:t>
      </w:r>
    </w:p>
    <w:p>
      <w:pPr>
        <w:pStyle w:val="ListParagraph"/>
        <w:numPr>
          <w:ilvl w:val="0"/>
          <w:numId w:val="27"/>
        </w:numPr>
        <w:tabs>
          <w:tab w:pos="863" w:val="left" w:leader="none"/>
        </w:tabs>
        <w:spacing w:line="240" w:lineRule="auto" w:before="63" w:after="0"/>
        <w:ind w:left="862" w:right="0" w:hanging="339"/>
        <w:jc w:val="both"/>
        <w:rPr>
          <w:sz w:val="20"/>
        </w:rPr>
      </w:pPr>
      <w:r>
        <w:rPr>
          <w:sz w:val="20"/>
        </w:rPr>
        <w:t>Promote</w:t>
      </w:r>
      <w:r>
        <w:rPr>
          <w:spacing w:val="-8"/>
          <w:sz w:val="20"/>
        </w:rPr>
        <w:t> </w:t>
      </w:r>
      <w:r>
        <w:rPr>
          <w:sz w:val="20"/>
        </w:rPr>
        <w:t>research</w:t>
      </w:r>
      <w:r>
        <w:rPr>
          <w:spacing w:val="-8"/>
          <w:sz w:val="20"/>
        </w:rPr>
        <w:t> </w:t>
      </w:r>
      <w:r>
        <w:rPr>
          <w:sz w:val="20"/>
        </w:rPr>
        <w:t>excellence</w:t>
      </w:r>
      <w:r>
        <w:rPr>
          <w:spacing w:val="-7"/>
          <w:sz w:val="20"/>
        </w:rPr>
        <w:t> </w:t>
      </w:r>
      <w:r>
        <w:rPr>
          <w:sz w:val="20"/>
        </w:rPr>
        <w:t>through</w:t>
      </w:r>
      <w:r>
        <w:rPr>
          <w:spacing w:val="-7"/>
          <w:sz w:val="20"/>
        </w:rPr>
        <w:t> </w:t>
      </w:r>
      <w:r>
        <w:rPr>
          <w:sz w:val="20"/>
        </w:rPr>
        <w:t>greater</w:t>
      </w:r>
      <w:r>
        <w:rPr>
          <w:spacing w:val="-4"/>
          <w:sz w:val="20"/>
        </w:rPr>
        <w:t> </w:t>
      </w:r>
      <w:r>
        <w:rPr>
          <w:sz w:val="20"/>
        </w:rPr>
        <w:t>institutional</w:t>
      </w:r>
      <w:r>
        <w:rPr>
          <w:spacing w:val="-8"/>
          <w:sz w:val="20"/>
        </w:rPr>
        <w:t> </w:t>
      </w:r>
      <w:r>
        <w:rPr>
          <w:sz w:val="20"/>
        </w:rPr>
        <w:t>collaboration.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8" w:lineRule="auto" w:before="89" w:after="0"/>
        <w:ind w:left="1203" w:right="303" w:hanging="341"/>
        <w:jc w:val="both"/>
        <w:rPr>
          <w:sz w:val="20"/>
        </w:rPr>
      </w:pPr>
      <w:r>
        <w:rPr>
          <w:sz w:val="20"/>
        </w:rPr>
        <w:t>Multi-year</w:t>
      </w:r>
      <w:r>
        <w:rPr>
          <w:spacing w:val="1"/>
          <w:sz w:val="20"/>
        </w:rPr>
        <w:t> </w:t>
      </w:r>
      <w:r>
        <w:rPr>
          <w:sz w:val="20"/>
        </w:rPr>
        <w:t>excellence</w:t>
      </w:r>
      <w:r>
        <w:rPr>
          <w:spacing w:val="1"/>
          <w:sz w:val="20"/>
        </w:rPr>
        <w:t> </w:t>
      </w:r>
      <w:r>
        <w:rPr>
          <w:sz w:val="20"/>
        </w:rPr>
        <w:t>funding could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provided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part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55"/>
          <w:sz w:val="20"/>
        </w:rPr>
        <w:t> </w:t>
      </w:r>
      <w:r>
        <w:rPr>
          <w:sz w:val="20"/>
        </w:rPr>
        <w:t>institutional contracts</w:t>
      </w:r>
      <w:r>
        <w:rPr>
          <w:spacing w:val="56"/>
          <w:sz w:val="20"/>
        </w:rPr>
        <w:t> </w:t>
      </w:r>
      <w:r>
        <w:rPr>
          <w:sz w:val="20"/>
        </w:rPr>
        <w:t>(Policy</w:t>
      </w:r>
      <w:r>
        <w:rPr>
          <w:spacing w:val="1"/>
          <w:sz w:val="20"/>
        </w:rPr>
        <w:t> </w:t>
      </w:r>
      <w:r>
        <w:rPr>
          <w:sz w:val="20"/>
        </w:rPr>
        <w:t>action 5) to encourage institutions to consider different types of collaboration, from sharing of</w:t>
      </w:r>
      <w:r>
        <w:rPr>
          <w:spacing w:val="1"/>
          <w:sz w:val="20"/>
        </w:rPr>
        <w:t> </w:t>
      </w:r>
      <w:r>
        <w:rPr>
          <w:sz w:val="20"/>
        </w:rPr>
        <w:t>key</w:t>
      </w:r>
      <w:r>
        <w:rPr>
          <w:spacing w:val="1"/>
          <w:sz w:val="20"/>
        </w:rPr>
        <w:t> </w:t>
      </w:r>
      <w:r>
        <w:rPr>
          <w:sz w:val="20"/>
        </w:rPr>
        <w:t>services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generate</w:t>
      </w:r>
      <w:r>
        <w:rPr>
          <w:spacing w:val="1"/>
          <w:sz w:val="20"/>
        </w:rPr>
        <w:t> </w:t>
      </w:r>
      <w:r>
        <w:rPr>
          <w:sz w:val="20"/>
        </w:rPr>
        <w:t>efficiencies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economies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scale,</w:t>
      </w:r>
      <w:r>
        <w:rPr>
          <w:spacing w:val="1"/>
          <w:sz w:val="20"/>
        </w:rPr>
        <w:t> </w:t>
      </w:r>
      <w:r>
        <w:rPr>
          <w:sz w:val="20"/>
        </w:rPr>
        <w:t>through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full</w:t>
      </w:r>
      <w:r>
        <w:rPr>
          <w:spacing w:val="1"/>
          <w:sz w:val="20"/>
        </w:rPr>
        <w:t> </w:t>
      </w:r>
      <w:r>
        <w:rPr>
          <w:sz w:val="20"/>
        </w:rPr>
        <w:t>mergers.</w:t>
      </w:r>
      <w:r>
        <w:rPr>
          <w:spacing w:val="1"/>
          <w:sz w:val="20"/>
        </w:rPr>
        <w:t> </w:t>
      </w:r>
      <w:r>
        <w:rPr>
          <w:sz w:val="20"/>
        </w:rPr>
        <w:t>Mechanisms should allow HEIs to take small steps to collaborate under a single entity without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necessarily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eliminating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identity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specialisation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partner</w:t>
      </w:r>
      <w:r>
        <w:rPr>
          <w:spacing w:val="-7"/>
          <w:sz w:val="20"/>
        </w:rPr>
        <w:t> </w:t>
      </w:r>
      <w:r>
        <w:rPr>
          <w:sz w:val="20"/>
        </w:rPr>
        <w:t>institutions.</w:t>
      </w:r>
      <w:r>
        <w:rPr>
          <w:spacing w:val="-8"/>
          <w:sz w:val="20"/>
        </w:rPr>
        <w:t> </w:t>
      </w:r>
      <w:r>
        <w:rPr>
          <w:sz w:val="20"/>
        </w:rPr>
        <w:t>Such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model,</w:t>
      </w:r>
      <w:r>
        <w:rPr>
          <w:spacing w:val="-8"/>
          <w:sz w:val="20"/>
        </w:rPr>
        <w:t> </w:t>
      </w:r>
      <w:r>
        <w:rPr>
          <w:sz w:val="20"/>
        </w:rPr>
        <w:t>used,</w:t>
      </w:r>
      <w:r>
        <w:rPr>
          <w:spacing w:val="1"/>
          <w:sz w:val="20"/>
        </w:rPr>
        <w:t> </w:t>
      </w:r>
      <w:r>
        <w:rPr>
          <w:sz w:val="20"/>
        </w:rPr>
        <w:t>for instance, in France’s “experimental public institution” </w:t>
      </w:r>
      <w:r>
        <w:rPr>
          <w:rFonts w:ascii="Arial" w:hAnsi="Arial"/>
          <w:i/>
          <w:sz w:val="20"/>
        </w:rPr>
        <w:t>(établissement public experimental)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1"/>
          <w:sz w:val="20"/>
        </w:rPr>
        <w:t> </w:t>
      </w:r>
      <w:r>
        <w:rPr>
          <w:sz w:val="20"/>
        </w:rPr>
        <w:t>offer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way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enhance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quality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global</w:t>
      </w:r>
      <w:r>
        <w:rPr>
          <w:spacing w:val="1"/>
          <w:sz w:val="20"/>
        </w:rPr>
        <w:t> </w:t>
      </w:r>
      <w:r>
        <w:rPr>
          <w:sz w:val="20"/>
        </w:rPr>
        <w:t>visibility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best-performing</w:t>
      </w:r>
      <w:r>
        <w:rPr>
          <w:spacing w:val="1"/>
          <w:sz w:val="20"/>
        </w:rPr>
        <w:t> </w:t>
      </w:r>
      <w:r>
        <w:rPr>
          <w:sz w:val="20"/>
        </w:rPr>
        <w:t>Slovak</w:t>
      </w:r>
      <w:r>
        <w:rPr>
          <w:spacing w:val="1"/>
          <w:sz w:val="20"/>
        </w:rPr>
        <w:t> </w:t>
      </w:r>
      <w:r>
        <w:rPr>
          <w:sz w:val="20"/>
        </w:rPr>
        <w:t>institutions without resorting to mergers. This method can be complex to implement, however,</w:t>
      </w:r>
      <w:r>
        <w:rPr>
          <w:spacing w:val="-53"/>
          <w:sz w:val="20"/>
        </w:rPr>
        <w:t> </w:t>
      </w:r>
      <w:r>
        <w:rPr>
          <w:sz w:val="20"/>
        </w:rPr>
        <w:t>and lessons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2"/>
          <w:sz w:val="20"/>
        </w:rPr>
        <w:t> </w:t>
      </w:r>
      <w:r>
        <w:rPr>
          <w:sz w:val="20"/>
        </w:rPr>
        <w:t>international</w:t>
      </w:r>
      <w:r>
        <w:rPr>
          <w:spacing w:val="-1"/>
          <w:sz w:val="20"/>
        </w:rPr>
        <w:t> </w:t>
      </w:r>
      <w:r>
        <w:rPr>
          <w:sz w:val="20"/>
        </w:rPr>
        <w:t>experience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considered.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4" w:lineRule="auto" w:before="64" w:after="0"/>
        <w:ind w:left="1203" w:right="310" w:hanging="341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design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targeted</w:t>
      </w:r>
      <w:r>
        <w:rPr>
          <w:spacing w:val="1"/>
          <w:sz w:val="20"/>
        </w:rPr>
        <w:t> </w:t>
      </w:r>
      <w:r>
        <w:rPr>
          <w:sz w:val="20"/>
        </w:rPr>
        <w:t>funding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promote</w:t>
      </w:r>
      <w:r>
        <w:rPr>
          <w:spacing w:val="1"/>
          <w:sz w:val="20"/>
        </w:rPr>
        <w:t> </w:t>
      </w:r>
      <w:r>
        <w:rPr>
          <w:sz w:val="20"/>
        </w:rPr>
        <w:t>research</w:t>
      </w:r>
      <w:r>
        <w:rPr>
          <w:spacing w:val="1"/>
          <w:sz w:val="20"/>
        </w:rPr>
        <w:t> </w:t>
      </w:r>
      <w:r>
        <w:rPr>
          <w:sz w:val="20"/>
        </w:rPr>
        <w:t>excellence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international</w:t>
      </w:r>
      <w:r>
        <w:rPr>
          <w:spacing w:val="1"/>
          <w:sz w:val="20"/>
        </w:rPr>
        <w:t> </w:t>
      </w:r>
      <w:r>
        <w:rPr>
          <w:sz w:val="20"/>
        </w:rPr>
        <w:t>competitiveness should take account of wider economic policy efforts, such as the Smart</w:t>
      </w:r>
      <w:r>
        <w:rPr>
          <w:spacing w:val="1"/>
          <w:sz w:val="20"/>
        </w:rPr>
        <w:t> </w:t>
      </w:r>
      <w:r>
        <w:rPr>
          <w:sz w:val="20"/>
        </w:rPr>
        <w:t>Specialisation Strategy conducted by the Ministry of Investments, Regional Development and</w:t>
      </w:r>
      <w:r>
        <w:rPr>
          <w:spacing w:val="-53"/>
          <w:sz w:val="20"/>
        </w:rPr>
        <w:t> </w:t>
      </w:r>
      <w:r>
        <w:rPr>
          <w:sz w:val="20"/>
        </w:rPr>
        <w:t>Informatization</w:t>
      </w:r>
      <w:r>
        <w:rPr>
          <w:spacing w:val="-2"/>
          <w:sz w:val="20"/>
        </w:rPr>
        <w:t> </w:t>
      </w:r>
      <w:r>
        <w:rPr>
          <w:sz w:val="20"/>
        </w:rPr>
        <w:t>(see Policy</w:t>
      </w:r>
      <w:r>
        <w:rPr>
          <w:spacing w:val="-2"/>
          <w:sz w:val="20"/>
        </w:rPr>
        <w:t> </w:t>
      </w:r>
      <w:r>
        <w:rPr>
          <w:sz w:val="20"/>
        </w:rPr>
        <w:t>action</w:t>
      </w:r>
      <w:r>
        <w:rPr>
          <w:spacing w:val="3"/>
          <w:sz w:val="20"/>
        </w:rPr>
        <w:t> </w:t>
      </w:r>
      <w:r>
        <w:rPr>
          <w:sz w:val="20"/>
        </w:rPr>
        <w:t>2).</w:t>
      </w:r>
    </w:p>
    <w:p>
      <w:pPr>
        <w:pStyle w:val="ListParagraph"/>
        <w:numPr>
          <w:ilvl w:val="0"/>
          <w:numId w:val="27"/>
        </w:numPr>
        <w:tabs>
          <w:tab w:pos="863" w:val="left" w:leader="none"/>
        </w:tabs>
        <w:spacing w:line="271" w:lineRule="auto" w:before="70" w:after="0"/>
        <w:ind w:left="862" w:right="310" w:hanging="339"/>
        <w:jc w:val="both"/>
        <w:rPr>
          <w:sz w:val="20"/>
        </w:rPr>
      </w:pPr>
      <w:r>
        <w:rPr>
          <w:sz w:val="20"/>
        </w:rPr>
        <w:t>Enhance the salaries of academic and non-academic staff by allocating funding for HEIs to</w:t>
      </w:r>
      <w:r>
        <w:rPr>
          <w:spacing w:val="1"/>
          <w:sz w:val="20"/>
        </w:rPr>
        <w:t> </w:t>
      </w:r>
      <w:r>
        <w:rPr>
          <w:sz w:val="20"/>
        </w:rPr>
        <w:t>strengthen</w:t>
      </w:r>
      <w:r>
        <w:rPr>
          <w:spacing w:val="1"/>
          <w:sz w:val="20"/>
        </w:rPr>
        <w:t> </w:t>
      </w:r>
      <w:r>
        <w:rPr>
          <w:sz w:val="20"/>
        </w:rPr>
        <w:t>performance</w:t>
      </w:r>
      <w:r>
        <w:rPr>
          <w:spacing w:val="1"/>
          <w:sz w:val="20"/>
        </w:rPr>
        <w:t> </w:t>
      </w:r>
      <w:r>
        <w:rPr>
          <w:sz w:val="20"/>
        </w:rPr>
        <w:t>bonuses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professional</w:t>
      </w:r>
      <w:r>
        <w:rPr>
          <w:spacing w:val="1"/>
          <w:sz w:val="20"/>
        </w:rPr>
        <w:t> </w:t>
      </w:r>
      <w:r>
        <w:rPr>
          <w:sz w:val="20"/>
        </w:rPr>
        <w:t>excellence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teaching,</w:t>
      </w:r>
      <w:r>
        <w:rPr>
          <w:spacing w:val="1"/>
          <w:sz w:val="20"/>
        </w:rPr>
        <w:t> </w:t>
      </w:r>
      <w:r>
        <w:rPr>
          <w:sz w:val="20"/>
        </w:rPr>
        <w:t>research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professional/administrative functions.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54" w:lineRule="auto" w:before="61" w:after="0"/>
        <w:ind w:left="1203" w:right="304" w:hanging="341"/>
        <w:jc w:val="both"/>
        <w:rPr>
          <w:sz w:val="20"/>
        </w:rPr>
      </w:pPr>
      <w:r>
        <w:rPr>
          <w:sz w:val="20"/>
        </w:rPr>
        <w:t>Attention should be paid to avoid unintended effects, such as increased competition and</w:t>
      </w:r>
      <w:r>
        <w:rPr>
          <w:spacing w:val="1"/>
          <w:sz w:val="20"/>
        </w:rPr>
        <w:t> </w:t>
      </w:r>
      <w:r>
        <w:rPr>
          <w:sz w:val="20"/>
        </w:rPr>
        <w:t>uncooperative</w:t>
      </w:r>
      <w:r>
        <w:rPr>
          <w:spacing w:val="18"/>
          <w:sz w:val="20"/>
        </w:rPr>
        <w:t> </w:t>
      </w:r>
      <w:r>
        <w:rPr>
          <w:sz w:val="20"/>
        </w:rPr>
        <w:t>behaviours</w:t>
      </w:r>
      <w:r>
        <w:rPr>
          <w:spacing w:val="21"/>
          <w:sz w:val="20"/>
        </w:rPr>
        <w:t> </w:t>
      </w:r>
      <w:r>
        <w:rPr>
          <w:sz w:val="20"/>
        </w:rPr>
        <w:t>between</w:t>
      </w:r>
      <w:r>
        <w:rPr>
          <w:spacing w:val="17"/>
          <w:sz w:val="20"/>
        </w:rPr>
        <w:t> </w:t>
      </w:r>
      <w:r>
        <w:rPr>
          <w:sz w:val="20"/>
        </w:rPr>
        <w:t>staff.</w:t>
      </w:r>
      <w:r>
        <w:rPr>
          <w:spacing w:val="17"/>
          <w:sz w:val="20"/>
        </w:rPr>
        <w:t> </w:t>
      </w:r>
      <w:r>
        <w:rPr>
          <w:sz w:val="20"/>
        </w:rPr>
        <w:t>HEIs</w:t>
      </w:r>
      <w:r>
        <w:rPr>
          <w:spacing w:val="16"/>
          <w:sz w:val="20"/>
        </w:rPr>
        <w:t> </w:t>
      </w:r>
      <w:r>
        <w:rPr>
          <w:sz w:val="20"/>
        </w:rPr>
        <w:t>should</w:t>
      </w:r>
      <w:r>
        <w:rPr>
          <w:spacing w:val="18"/>
          <w:sz w:val="20"/>
        </w:rPr>
        <w:t> </w:t>
      </w:r>
      <w:r>
        <w:rPr>
          <w:sz w:val="20"/>
        </w:rPr>
        <w:t>be</w:t>
      </w:r>
      <w:r>
        <w:rPr>
          <w:spacing w:val="17"/>
          <w:sz w:val="20"/>
        </w:rPr>
        <w:t> </w:t>
      </w:r>
      <w:r>
        <w:rPr>
          <w:sz w:val="20"/>
        </w:rPr>
        <w:t>provided</w:t>
      </w:r>
      <w:r>
        <w:rPr>
          <w:spacing w:val="18"/>
          <w:sz w:val="20"/>
        </w:rPr>
        <w:t> </w:t>
      </w:r>
      <w:r>
        <w:rPr>
          <w:sz w:val="20"/>
        </w:rPr>
        <w:t>guidance</w:t>
      </w:r>
      <w:r>
        <w:rPr>
          <w:spacing w:val="19"/>
          <w:sz w:val="20"/>
        </w:rPr>
        <w:t> </w:t>
      </w:r>
      <w:r>
        <w:rPr>
          <w:sz w:val="20"/>
        </w:rPr>
        <w:t>upon</w:t>
      </w:r>
      <w:r>
        <w:rPr>
          <w:spacing w:val="15"/>
          <w:sz w:val="20"/>
        </w:rPr>
        <w:t> </w:t>
      </w:r>
      <w:r>
        <w:rPr>
          <w:sz w:val="20"/>
        </w:rPr>
        <w:t>receiving</w:t>
      </w:r>
    </w:p>
    <w:p>
      <w:pPr>
        <w:spacing w:after="0" w:line="254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line="271" w:lineRule="auto" w:before="185"/>
        <w:ind w:left="1203" w:right="315"/>
        <w:jc w:val="both"/>
      </w:pPr>
      <w:r>
        <w:rPr/>
        <w:t>funding on the structuring of performance bonus in a way that rewards excellence and</w:t>
      </w:r>
      <w:r>
        <w:rPr>
          <w:spacing w:val="1"/>
        </w:rPr>
        <w:t> </w:t>
      </w:r>
      <w:r>
        <w:rPr/>
        <w:t>collaboration.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8" w:lineRule="auto" w:before="59" w:after="0"/>
        <w:ind w:left="1203" w:right="302" w:hanging="341"/>
        <w:jc w:val="both"/>
        <w:rPr>
          <w:sz w:val="20"/>
        </w:rPr>
      </w:pPr>
      <w:r>
        <w:rPr>
          <w:sz w:val="20"/>
        </w:rPr>
        <w:t>Attention should be paid to professional and administrative staff across all areas of work in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HEIs.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This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includes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staff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who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support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day-to-day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operations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HEIs</w:t>
      </w:r>
      <w:r>
        <w:rPr>
          <w:spacing w:val="-12"/>
          <w:sz w:val="20"/>
        </w:rPr>
        <w:t> </w:t>
      </w:r>
      <w:r>
        <w:rPr>
          <w:sz w:val="20"/>
        </w:rPr>
        <w:t>(e.g.</w:t>
      </w:r>
      <w:r>
        <w:rPr>
          <w:spacing w:val="5"/>
          <w:sz w:val="20"/>
        </w:rPr>
        <w:t> </w:t>
      </w:r>
      <w:r>
        <w:rPr>
          <w:sz w:val="20"/>
        </w:rPr>
        <w:t>academic,</w:t>
      </w:r>
      <w:r>
        <w:rPr>
          <w:spacing w:val="-14"/>
          <w:sz w:val="20"/>
        </w:rPr>
        <w:t> </w:t>
      </w:r>
      <w:r>
        <w:rPr>
          <w:sz w:val="20"/>
        </w:rPr>
        <w:t>career,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personal</w:t>
      </w:r>
      <w:r>
        <w:rPr>
          <w:spacing w:val="1"/>
          <w:sz w:val="20"/>
        </w:rPr>
        <w:t> </w:t>
      </w:r>
      <w:r>
        <w:rPr>
          <w:sz w:val="20"/>
        </w:rPr>
        <w:t>supports</w:t>
      </w:r>
      <w:r>
        <w:rPr>
          <w:spacing w:val="1"/>
          <w:sz w:val="20"/>
        </w:rPr>
        <w:t> </w:t>
      </w:r>
      <w:r>
        <w:rPr>
          <w:sz w:val="20"/>
        </w:rPr>
        <w:t>for students,</w:t>
      </w:r>
      <w:r>
        <w:rPr>
          <w:spacing w:val="1"/>
          <w:sz w:val="20"/>
        </w:rPr>
        <w:t> </w:t>
      </w:r>
      <w:r>
        <w:rPr>
          <w:sz w:val="20"/>
        </w:rPr>
        <w:t>supports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staff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improve</w:t>
      </w:r>
      <w:r>
        <w:rPr>
          <w:spacing w:val="1"/>
          <w:sz w:val="20"/>
        </w:rPr>
        <w:t> </w:t>
      </w:r>
      <w:r>
        <w:rPr>
          <w:sz w:val="20"/>
        </w:rPr>
        <w:t>teaching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facilitate</w:t>
      </w:r>
      <w:r>
        <w:rPr>
          <w:spacing w:val="1"/>
          <w:sz w:val="20"/>
        </w:rPr>
        <w:t> </w:t>
      </w:r>
      <w:r>
        <w:rPr>
          <w:sz w:val="20"/>
        </w:rPr>
        <w:t>application and securing of research funding – and personal counselling and well-being</w:t>
      </w:r>
      <w:r>
        <w:rPr>
          <w:spacing w:val="1"/>
          <w:sz w:val="20"/>
        </w:rPr>
        <w:t> </w:t>
      </w:r>
      <w:r>
        <w:rPr>
          <w:sz w:val="20"/>
        </w:rPr>
        <w:t>supports for both students and staff, and system-wide services such as the digital technology</w:t>
      </w:r>
      <w:r>
        <w:rPr>
          <w:spacing w:val="1"/>
          <w:sz w:val="20"/>
        </w:rPr>
        <w:t> </w:t>
      </w:r>
      <w:r>
        <w:rPr>
          <w:sz w:val="20"/>
        </w:rPr>
        <w:t>infrastructure</w:t>
      </w:r>
      <w:r>
        <w:rPr>
          <w:spacing w:val="-13"/>
          <w:sz w:val="20"/>
        </w:rPr>
        <w:t> </w:t>
      </w:r>
      <w:r>
        <w:rPr>
          <w:sz w:val="20"/>
        </w:rPr>
        <w:t>supporting</w:t>
      </w:r>
      <w:r>
        <w:rPr>
          <w:spacing w:val="-11"/>
          <w:sz w:val="20"/>
        </w:rPr>
        <w:t> </w:t>
      </w:r>
      <w:r>
        <w:rPr>
          <w:sz w:val="20"/>
        </w:rPr>
        <w:t>HEI</w:t>
      </w:r>
      <w:r>
        <w:rPr>
          <w:spacing w:val="-10"/>
          <w:sz w:val="20"/>
        </w:rPr>
        <w:t> </w:t>
      </w:r>
      <w:r>
        <w:rPr>
          <w:sz w:val="20"/>
        </w:rPr>
        <w:t>administrative</w:t>
      </w:r>
      <w:r>
        <w:rPr>
          <w:spacing w:val="-11"/>
          <w:sz w:val="20"/>
        </w:rPr>
        <w:t> </w:t>
      </w:r>
      <w:r>
        <w:rPr>
          <w:sz w:val="20"/>
        </w:rPr>
        <w:t>functions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online</w:t>
      </w:r>
      <w:r>
        <w:rPr>
          <w:spacing w:val="-13"/>
          <w:sz w:val="20"/>
        </w:rPr>
        <w:t> </w:t>
      </w:r>
      <w:r>
        <w:rPr>
          <w:sz w:val="20"/>
        </w:rPr>
        <w:t>teaching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learning).</w:t>
      </w:r>
      <w:r>
        <w:rPr>
          <w:spacing w:val="-11"/>
          <w:sz w:val="20"/>
        </w:rPr>
        <w:t> </w:t>
      </w:r>
      <w:r>
        <w:rPr>
          <w:sz w:val="20"/>
        </w:rPr>
        <w:t>It</w:t>
      </w:r>
      <w:r>
        <w:rPr>
          <w:spacing w:val="-1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includes staff supporting the effective governance and management of the institution, such as</w:t>
      </w:r>
      <w:r>
        <w:rPr>
          <w:spacing w:val="-53"/>
          <w:sz w:val="20"/>
        </w:rPr>
        <w:t> </w:t>
      </w:r>
      <w:r>
        <w:rPr>
          <w:sz w:val="20"/>
        </w:rPr>
        <w:t>professional</w:t>
      </w:r>
      <w:r>
        <w:rPr>
          <w:spacing w:val="-8"/>
          <w:sz w:val="20"/>
        </w:rPr>
        <w:t> </w:t>
      </w:r>
      <w:r>
        <w:rPr>
          <w:sz w:val="20"/>
        </w:rPr>
        <w:t>teams</w:t>
      </w:r>
      <w:r>
        <w:rPr>
          <w:spacing w:val="-6"/>
          <w:sz w:val="20"/>
        </w:rPr>
        <w:t> </w:t>
      </w:r>
      <w:r>
        <w:rPr>
          <w:sz w:val="20"/>
        </w:rPr>
        <w:t>supporting</w:t>
      </w:r>
      <w:r>
        <w:rPr>
          <w:spacing w:val="-6"/>
          <w:sz w:val="20"/>
        </w:rPr>
        <w:t> </w:t>
      </w:r>
      <w:r>
        <w:rPr>
          <w:sz w:val="20"/>
        </w:rPr>
        <w:t>governing</w:t>
      </w:r>
      <w:r>
        <w:rPr>
          <w:spacing w:val="-6"/>
          <w:sz w:val="20"/>
        </w:rPr>
        <w:t> </w:t>
      </w:r>
      <w:r>
        <w:rPr>
          <w:sz w:val="20"/>
        </w:rPr>
        <w:t>bodies</w:t>
      </w:r>
      <w:r>
        <w:rPr>
          <w:spacing w:val="-7"/>
          <w:sz w:val="20"/>
        </w:rPr>
        <w:t> </w:t>
      </w:r>
      <w:r>
        <w:rPr>
          <w:sz w:val="20"/>
        </w:rPr>
        <w:t>(see</w:t>
      </w:r>
      <w:r>
        <w:rPr>
          <w:spacing w:val="-6"/>
          <w:sz w:val="20"/>
        </w:rPr>
        <w:t> </w:t>
      </w:r>
      <w:r>
        <w:rPr>
          <w:sz w:val="20"/>
        </w:rPr>
        <w:t>also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increased</w:t>
      </w:r>
      <w:r>
        <w:rPr>
          <w:spacing w:val="-7"/>
          <w:sz w:val="20"/>
        </w:rPr>
        <w:t> </w:t>
      </w:r>
      <w:r>
        <w:rPr>
          <w:sz w:val="20"/>
        </w:rPr>
        <w:t>need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professional</w:t>
      </w:r>
      <w:r>
        <w:rPr>
          <w:spacing w:val="1"/>
          <w:sz w:val="20"/>
        </w:rPr>
        <w:t> </w:t>
      </w:r>
      <w:r>
        <w:rPr>
          <w:sz w:val="20"/>
        </w:rPr>
        <w:t>support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context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reforming</w:t>
      </w:r>
      <w:r>
        <w:rPr>
          <w:spacing w:val="-12"/>
          <w:sz w:val="20"/>
        </w:rPr>
        <w:t> </w:t>
      </w:r>
      <w:r>
        <w:rPr>
          <w:sz w:val="20"/>
        </w:rPr>
        <w:t>institutional</w:t>
      </w:r>
      <w:r>
        <w:rPr>
          <w:spacing w:val="-12"/>
          <w:sz w:val="20"/>
        </w:rPr>
        <w:t> </w:t>
      </w:r>
      <w:r>
        <w:rPr>
          <w:sz w:val="20"/>
        </w:rPr>
        <w:t>governance,</w:t>
      </w:r>
      <w:r>
        <w:rPr>
          <w:spacing w:val="-12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discussed</w:t>
      </w:r>
      <w:r>
        <w:rPr>
          <w:spacing w:val="-12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Policy</w:t>
      </w:r>
      <w:r>
        <w:rPr>
          <w:spacing w:val="-12"/>
          <w:sz w:val="20"/>
        </w:rPr>
        <w:t> </w:t>
      </w:r>
      <w:r>
        <w:rPr>
          <w:sz w:val="20"/>
        </w:rPr>
        <w:t>actions</w:t>
      </w:r>
      <w:r>
        <w:rPr>
          <w:spacing w:val="-3"/>
          <w:sz w:val="20"/>
        </w:rPr>
        <w:t> </w:t>
      </w:r>
      <w:r>
        <w:rPr>
          <w:sz w:val="20"/>
        </w:rPr>
        <w:t>8-10).</w:t>
      </w:r>
    </w:p>
    <w:p>
      <w:pPr>
        <w:pStyle w:val="ListParagraph"/>
        <w:numPr>
          <w:ilvl w:val="0"/>
          <w:numId w:val="27"/>
        </w:numPr>
        <w:tabs>
          <w:tab w:pos="863" w:val="left" w:leader="none"/>
        </w:tabs>
        <w:spacing w:line="240" w:lineRule="auto" w:before="64" w:after="0"/>
        <w:ind w:left="862" w:right="0" w:hanging="339"/>
        <w:jc w:val="both"/>
        <w:rPr>
          <w:sz w:val="20"/>
        </w:rPr>
      </w:pPr>
      <w:r>
        <w:rPr>
          <w:sz w:val="20"/>
        </w:rPr>
        <w:t>Encourage</w:t>
      </w:r>
      <w:r>
        <w:rPr>
          <w:spacing w:val="-11"/>
          <w:sz w:val="20"/>
        </w:rPr>
        <w:t> </w:t>
      </w:r>
      <w:r>
        <w:rPr>
          <w:sz w:val="20"/>
        </w:rPr>
        <w:t>strategic</w:t>
      </w:r>
      <w:r>
        <w:rPr>
          <w:spacing w:val="-10"/>
          <w:sz w:val="20"/>
        </w:rPr>
        <w:t> </w:t>
      </w:r>
      <w:r>
        <w:rPr>
          <w:sz w:val="20"/>
        </w:rPr>
        <w:t>internationalisation</w:t>
      </w:r>
      <w:r>
        <w:rPr>
          <w:spacing w:val="-9"/>
          <w:sz w:val="20"/>
        </w:rPr>
        <w:t> </w:t>
      </w:r>
      <w:r>
        <w:rPr>
          <w:sz w:val="20"/>
        </w:rPr>
        <w:t>activities.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6" w:lineRule="auto" w:before="92" w:after="0"/>
        <w:ind w:left="1203" w:right="303" w:hanging="341"/>
        <w:jc w:val="both"/>
        <w:rPr>
          <w:sz w:val="20"/>
        </w:rPr>
      </w:pPr>
      <w:r>
        <w:rPr>
          <w:spacing w:val="-1"/>
          <w:sz w:val="20"/>
        </w:rPr>
        <w:t>This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could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include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targeted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funding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attract</w:t>
      </w:r>
      <w:r>
        <w:rPr>
          <w:spacing w:val="-12"/>
          <w:sz w:val="20"/>
        </w:rPr>
        <w:t> </w:t>
      </w:r>
      <w:r>
        <w:rPr>
          <w:sz w:val="20"/>
        </w:rPr>
        <w:t>academics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3"/>
          <w:sz w:val="20"/>
        </w:rPr>
        <w:t> </w:t>
      </w:r>
      <w:r>
        <w:rPr>
          <w:sz w:val="20"/>
        </w:rPr>
        <w:t>professionals</w:t>
      </w:r>
      <w:r>
        <w:rPr>
          <w:spacing w:val="-11"/>
          <w:sz w:val="20"/>
        </w:rPr>
        <w:t> </w:t>
      </w:r>
      <w:r>
        <w:rPr>
          <w:sz w:val="20"/>
        </w:rPr>
        <w:t>from</w:t>
      </w:r>
      <w:r>
        <w:rPr>
          <w:spacing w:val="-7"/>
          <w:sz w:val="20"/>
        </w:rPr>
        <w:t> </w:t>
      </w:r>
      <w:r>
        <w:rPr>
          <w:sz w:val="20"/>
        </w:rPr>
        <w:t>abroad</w:t>
      </w:r>
      <w:r>
        <w:rPr>
          <w:spacing w:val="-13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work</w:t>
      </w:r>
      <w:r>
        <w:rPr>
          <w:spacing w:val="1"/>
          <w:sz w:val="20"/>
        </w:rPr>
        <w:t> </w:t>
      </w:r>
      <w:r>
        <w:rPr>
          <w:sz w:val="20"/>
        </w:rPr>
        <w:t>in Slovak HEIs and in key higher education entities such as the Research and Development</w:t>
      </w:r>
      <w:r>
        <w:rPr>
          <w:spacing w:val="1"/>
          <w:sz w:val="20"/>
        </w:rPr>
        <w:t> </w:t>
      </w:r>
      <w:r>
        <w:rPr>
          <w:sz w:val="20"/>
        </w:rPr>
        <w:t>Agency. This could take the form of increased financial incentives, but also non-financial</w:t>
      </w:r>
      <w:r>
        <w:rPr>
          <w:spacing w:val="1"/>
          <w:sz w:val="20"/>
        </w:rPr>
        <w:t> </w:t>
      </w:r>
      <w:r>
        <w:rPr>
          <w:sz w:val="20"/>
        </w:rPr>
        <w:t>incentives, such as ensuring international staff has access to attractive teaching and research</w:t>
      </w:r>
      <w:r>
        <w:rPr>
          <w:spacing w:val="-53"/>
          <w:sz w:val="20"/>
        </w:rPr>
        <w:t> </w:t>
      </w:r>
      <w:r>
        <w:rPr>
          <w:sz w:val="20"/>
        </w:rPr>
        <w:t>opportunities.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4" w:lineRule="auto" w:before="65" w:after="0"/>
        <w:ind w:left="1203" w:right="306" w:hanging="341"/>
        <w:jc w:val="both"/>
        <w:rPr>
          <w:sz w:val="20"/>
        </w:rPr>
      </w:pPr>
      <w:r>
        <w:rPr>
          <w:sz w:val="20"/>
        </w:rPr>
        <w:t>Such funding</w:t>
      </w:r>
      <w:r>
        <w:rPr>
          <w:spacing w:val="1"/>
          <w:sz w:val="20"/>
        </w:rPr>
        <w:t> </w:t>
      </w:r>
      <w:r>
        <w:rPr>
          <w:sz w:val="20"/>
        </w:rPr>
        <w:t>incentives should complement the planned</w:t>
      </w:r>
      <w:r>
        <w:rPr>
          <w:spacing w:val="1"/>
          <w:sz w:val="20"/>
        </w:rPr>
        <w:t> </w:t>
      </w:r>
      <w:r>
        <w:rPr>
          <w:sz w:val="20"/>
        </w:rPr>
        <w:t>reform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access</w:t>
      </w:r>
      <w:r>
        <w:rPr>
          <w:spacing w:val="1"/>
          <w:sz w:val="20"/>
        </w:rPr>
        <w:t> </w:t>
      </w:r>
      <w:r>
        <w:rPr>
          <w:sz w:val="20"/>
        </w:rPr>
        <w:t>to academic</w:t>
      </w:r>
      <w:r>
        <w:rPr>
          <w:spacing w:val="1"/>
          <w:sz w:val="20"/>
        </w:rPr>
        <w:t> </w:t>
      </w:r>
      <w:r>
        <w:rPr>
          <w:sz w:val="20"/>
        </w:rPr>
        <w:t>positions.</w:t>
      </w:r>
      <w:r>
        <w:rPr>
          <w:spacing w:val="1"/>
          <w:sz w:val="20"/>
        </w:rPr>
        <w:t> </w:t>
      </w:r>
      <w:r>
        <w:rPr>
          <w:sz w:val="20"/>
        </w:rPr>
        <w:t>It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accompanied</w:t>
      </w:r>
      <w:r>
        <w:rPr>
          <w:spacing w:val="1"/>
          <w:sz w:val="20"/>
        </w:rPr>
        <w:t> </w:t>
      </w:r>
      <w:r>
        <w:rPr>
          <w:sz w:val="20"/>
        </w:rPr>
        <w:t>by improvements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administrative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human</w:t>
      </w:r>
      <w:r>
        <w:rPr>
          <w:spacing w:val="1"/>
          <w:sz w:val="20"/>
        </w:rPr>
        <w:t> </w:t>
      </w:r>
      <w:r>
        <w:rPr>
          <w:sz w:val="20"/>
        </w:rPr>
        <w:t>resources capacity to support international academics and professionals as they start and</w:t>
      </w:r>
      <w:r>
        <w:rPr>
          <w:spacing w:val="1"/>
          <w:sz w:val="20"/>
        </w:rPr>
        <w:t> </w:t>
      </w:r>
      <w:r>
        <w:rPr>
          <w:sz w:val="20"/>
        </w:rPr>
        <w:t>pursue</w:t>
      </w:r>
      <w:r>
        <w:rPr>
          <w:spacing w:val="-3"/>
          <w:sz w:val="20"/>
        </w:rPr>
        <w:t> </w:t>
      </w:r>
      <w:r>
        <w:rPr>
          <w:sz w:val="20"/>
        </w:rPr>
        <w:t>careers</w:t>
      </w:r>
      <w:r>
        <w:rPr>
          <w:spacing w:val="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 Slovak</w:t>
      </w:r>
      <w:r>
        <w:rPr>
          <w:spacing w:val="2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education</w:t>
      </w:r>
      <w:r>
        <w:rPr>
          <w:spacing w:val="-3"/>
          <w:sz w:val="20"/>
        </w:rPr>
        <w:t> </w:t>
      </w:r>
      <w:r>
        <w:rPr>
          <w:sz w:val="20"/>
        </w:rPr>
        <w:t>system.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6" w:lineRule="auto" w:before="72" w:after="0"/>
        <w:ind w:left="1203" w:right="302" w:hanging="341"/>
        <w:jc w:val="both"/>
        <w:rPr>
          <w:sz w:val="20"/>
        </w:rPr>
      </w:pPr>
      <w:r>
        <w:rPr>
          <w:spacing w:val="-1"/>
          <w:sz w:val="20"/>
        </w:rPr>
        <w:t>Targeted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funding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could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also</w:t>
      </w:r>
      <w:r>
        <w:rPr>
          <w:spacing w:val="-10"/>
          <w:sz w:val="20"/>
        </w:rPr>
        <w:t> </w:t>
      </w:r>
      <w:r>
        <w:rPr>
          <w:sz w:val="20"/>
        </w:rPr>
        <w:t>promote</w:t>
      </w:r>
      <w:r>
        <w:rPr>
          <w:spacing w:val="-13"/>
          <w:sz w:val="20"/>
        </w:rPr>
        <w:t> </w:t>
      </w:r>
      <w:r>
        <w:rPr>
          <w:sz w:val="20"/>
        </w:rPr>
        <w:t>capacity</w:t>
      </w:r>
      <w:r>
        <w:rPr>
          <w:spacing w:val="-14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Slovak</w:t>
      </w:r>
      <w:r>
        <w:rPr>
          <w:spacing w:val="-9"/>
          <w:sz w:val="20"/>
        </w:rPr>
        <w:t> </w:t>
      </w:r>
      <w:r>
        <w:rPr>
          <w:sz w:val="20"/>
        </w:rPr>
        <w:t>HEIs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13"/>
          <w:sz w:val="20"/>
        </w:rPr>
        <w:t> </w:t>
      </w:r>
      <w:r>
        <w:rPr>
          <w:sz w:val="20"/>
        </w:rPr>
        <w:t>seek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develop</w:t>
      </w:r>
      <w:r>
        <w:rPr>
          <w:spacing w:val="-11"/>
          <w:sz w:val="20"/>
        </w:rPr>
        <w:t> </w:t>
      </w:r>
      <w:r>
        <w:rPr>
          <w:sz w:val="20"/>
        </w:rPr>
        <w:t>international</w:t>
      </w:r>
      <w:r>
        <w:rPr>
          <w:spacing w:val="1"/>
          <w:sz w:val="20"/>
        </w:rPr>
        <w:t> </w:t>
      </w:r>
      <w:r>
        <w:rPr>
          <w:sz w:val="20"/>
        </w:rPr>
        <w:t>partnerships, for instance through European University Alliances, following the promising</w:t>
      </w:r>
      <w:r>
        <w:rPr>
          <w:spacing w:val="1"/>
          <w:sz w:val="20"/>
        </w:rPr>
        <w:t> </w:t>
      </w:r>
      <w:r>
        <w:rPr>
          <w:sz w:val="20"/>
        </w:rPr>
        <w:t>examples of Comenius University Bratislava and Technical University in Košice, respectively</w:t>
      </w:r>
      <w:r>
        <w:rPr>
          <w:spacing w:val="1"/>
          <w:sz w:val="20"/>
        </w:rPr>
        <w:t> </w:t>
      </w:r>
      <w:r>
        <w:rPr>
          <w:sz w:val="20"/>
        </w:rPr>
        <w:t>partners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ENLIGHT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ULYSSEUS</w:t>
      </w:r>
      <w:r>
        <w:rPr>
          <w:spacing w:val="1"/>
          <w:sz w:val="20"/>
        </w:rPr>
        <w:t> </w:t>
      </w:r>
      <w:r>
        <w:rPr>
          <w:sz w:val="20"/>
        </w:rPr>
        <w:t>alliances,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well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the Slovak</w:t>
      </w:r>
      <w:r>
        <w:rPr>
          <w:spacing w:val="1"/>
          <w:sz w:val="20"/>
        </w:rPr>
        <w:t> </w:t>
      </w:r>
      <w:r>
        <w:rPr>
          <w:sz w:val="20"/>
        </w:rPr>
        <w:t>Agricultural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University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in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Nitra,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leader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of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INVEST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alliance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(Slovak Rectors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Conference,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2021</w:t>
      </w:r>
      <w:r>
        <w:rPr>
          <w:sz w:val="13"/>
        </w:rPr>
        <w:t>[61]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27"/>
        </w:numPr>
        <w:tabs>
          <w:tab w:pos="863" w:val="left" w:leader="none"/>
        </w:tabs>
        <w:spacing w:line="273" w:lineRule="auto" w:before="65" w:after="0"/>
        <w:ind w:left="862" w:right="306" w:hanging="339"/>
        <w:jc w:val="both"/>
        <w:rPr>
          <w:sz w:val="20"/>
        </w:rPr>
      </w:pPr>
      <w:r>
        <w:rPr>
          <w:spacing w:val="-1"/>
          <w:sz w:val="20"/>
        </w:rPr>
        <w:t>Enhance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student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supports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before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after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higher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education</w:t>
      </w:r>
      <w:r>
        <w:rPr>
          <w:spacing w:val="-13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support</w:t>
      </w:r>
      <w:r>
        <w:rPr>
          <w:spacing w:val="-12"/>
          <w:sz w:val="20"/>
        </w:rPr>
        <w:t> </w:t>
      </w:r>
      <w:r>
        <w:rPr>
          <w:sz w:val="20"/>
        </w:rPr>
        <w:t>student</w:t>
      </w:r>
      <w:r>
        <w:rPr>
          <w:spacing w:val="-12"/>
          <w:sz w:val="20"/>
        </w:rPr>
        <w:t> </w:t>
      </w:r>
      <w:r>
        <w:rPr>
          <w:sz w:val="20"/>
        </w:rPr>
        <w:t>choice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improve</w:t>
      </w:r>
      <w:r>
        <w:rPr>
          <w:spacing w:val="-53"/>
          <w:sz w:val="20"/>
        </w:rPr>
        <w:t> </w:t>
      </w:r>
      <w:r>
        <w:rPr>
          <w:sz w:val="20"/>
        </w:rPr>
        <w:t>access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success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qualified students.</w:t>
      </w:r>
      <w:r>
        <w:rPr>
          <w:spacing w:val="-2"/>
          <w:sz w:val="20"/>
        </w:rPr>
        <w:t> </w:t>
      </w:r>
      <w:r>
        <w:rPr>
          <w:sz w:val="20"/>
        </w:rPr>
        <w:t>This could include: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4" w:lineRule="auto" w:before="56" w:after="0"/>
        <w:ind w:left="1203" w:right="303" w:hanging="341"/>
        <w:jc w:val="both"/>
        <w:rPr>
          <w:sz w:val="20"/>
        </w:rPr>
      </w:pPr>
      <w:r>
        <w:rPr>
          <w:sz w:val="20"/>
        </w:rPr>
        <w:t>The provision of well-designed labour market information and career guidance services for</w:t>
      </w:r>
      <w:r>
        <w:rPr>
          <w:spacing w:val="1"/>
          <w:sz w:val="20"/>
        </w:rPr>
        <w:t> </w:t>
      </w:r>
      <w:r>
        <w:rPr>
          <w:sz w:val="20"/>
        </w:rPr>
        <w:t>students,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help</w:t>
      </w:r>
      <w:r>
        <w:rPr>
          <w:spacing w:val="-12"/>
          <w:sz w:val="20"/>
        </w:rPr>
        <w:t> </w:t>
      </w:r>
      <w:r>
        <w:rPr>
          <w:sz w:val="20"/>
        </w:rPr>
        <w:t>them</w:t>
      </w:r>
      <w:r>
        <w:rPr>
          <w:spacing w:val="-7"/>
          <w:sz w:val="20"/>
        </w:rPr>
        <w:t> </w:t>
      </w:r>
      <w:r>
        <w:rPr>
          <w:sz w:val="20"/>
        </w:rPr>
        <w:t>better</w:t>
      </w:r>
      <w:r>
        <w:rPr>
          <w:spacing w:val="-10"/>
          <w:sz w:val="20"/>
        </w:rPr>
        <w:t> </w:t>
      </w:r>
      <w:r>
        <w:rPr>
          <w:sz w:val="20"/>
        </w:rPr>
        <w:t>understand</w:t>
      </w:r>
      <w:r>
        <w:rPr>
          <w:spacing w:val="-12"/>
          <w:sz w:val="20"/>
        </w:rPr>
        <w:t> </w:t>
      </w:r>
      <w:r>
        <w:rPr>
          <w:sz w:val="20"/>
        </w:rPr>
        <w:t>opportunities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labour</w:t>
      </w:r>
      <w:r>
        <w:rPr>
          <w:spacing w:val="-11"/>
          <w:sz w:val="20"/>
        </w:rPr>
        <w:t> </w:t>
      </w:r>
      <w:r>
        <w:rPr>
          <w:sz w:val="20"/>
        </w:rPr>
        <w:t>market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make</w:t>
      </w:r>
      <w:r>
        <w:rPr>
          <w:spacing w:val="-11"/>
          <w:sz w:val="20"/>
        </w:rPr>
        <w:t> </w:t>
      </w:r>
      <w:r>
        <w:rPr>
          <w:sz w:val="20"/>
        </w:rPr>
        <w:t>informed</w:t>
      </w:r>
      <w:r>
        <w:rPr>
          <w:spacing w:val="-54"/>
          <w:sz w:val="20"/>
        </w:rPr>
        <w:t> </w:t>
      </w:r>
      <w:r>
        <w:rPr>
          <w:sz w:val="20"/>
        </w:rPr>
        <w:t>study choices. Such information and services should be provided early in youth’s educational</w:t>
      </w:r>
      <w:r>
        <w:rPr>
          <w:spacing w:val="1"/>
          <w:sz w:val="20"/>
        </w:rPr>
        <w:t> </w:t>
      </w:r>
      <w:r>
        <w:rPr>
          <w:sz w:val="20"/>
        </w:rPr>
        <w:t>pathways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study</w:t>
      </w:r>
      <w:r>
        <w:rPr>
          <w:spacing w:val="-4"/>
          <w:sz w:val="20"/>
        </w:rPr>
        <w:t> </w:t>
      </w:r>
      <w:r>
        <w:rPr>
          <w:sz w:val="20"/>
        </w:rPr>
        <w:t>preferences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choices are</w:t>
      </w:r>
      <w:r>
        <w:rPr>
          <w:spacing w:val="-3"/>
          <w:sz w:val="20"/>
        </w:rPr>
        <w:t> </w:t>
      </w:r>
      <w:r>
        <w:rPr>
          <w:sz w:val="20"/>
        </w:rPr>
        <w:t>often</w:t>
      </w:r>
      <w:r>
        <w:rPr>
          <w:spacing w:val="-3"/>
          <w:sz w:val="20"/>
        </w:rPr>
        <w:t> </w:t>
      </w:r>
      <w:r>
        <w:rPr>
          <w:sz w:val="20"/>
        </w:rPr>
        <w:t>formed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school</w:t>
      </w:r>
      <w:r>
        <w:rPr>
          <w:spacing w:val="-4"/>
          <w:sz w:val="20"/>
        </w:rPr>
        <w:t> </w:t>
      </w:r>
      <w:r>
        <w:rPr>
          <w:sz w:val="20"/>
        </w:rPr>
        <w:t>level.</w:t>
      </w:r>
    </w:p>
    <w:p>
      <w:pPr>
        <w:pStyle w:val="ListParagraph"/>
        <w:numPr>
          <w:ilvl w:val="1"/>
          <w:numId w:val="27"/>
        </w:numPr>
        <w:tabs>
          <w:tab w:pos="1204" w:val="left" w:leader="none"/>
        </w:tabs>
        <w:spacing w:line="268" w:lineRule="auto" w:before="70" w:after="0"/>
        <w:ind w:left="1203" w:right="304" w:hanging="341"/>
        <w:jc w:val="both"/>
        <w:rPr>
          <w:sz w:val="20"/>
        </w:rPr>
      </w:pPr>
      <w:r>
        <w:rPr>
          <w:sz w:val="20"/>
        </w:rPr>
        <w:t>The review of current financial supports for students to assess their adequacy based on</w:t>
      </w:r>
      <w:r>
        <w:rPr>
          <w:spacing w:val="1"/>
          <w:sz w:val="20"/>
        </w:rPr>
        <w:t> </w:t>
      </w:r>
      <w:r>
        <w:rPr>
          <w:sz w:val="20"/>
        </w:rPr>
        <w:t>students’ needs. Such assessment should review impediments to access and completion of</w:t>
      </w:r>
      <w:r>
        <w:rPr>
          <w:spacing w:val="1"/>
          <w:sz w:val="20"/>
        </w:rPr>
        <w:t> </w:t>
      </w:r>
      <w:r>
        <w:rPr>
          <w:sz w:val="20"/>
        </w:rPr>
        <w:t>higher education among disadvantaged populations, especially Roma. Particular attention</w:t>
      </w:r>
      <w:r>
        <w:rPr>
          <w:spacing w:val="1"/>
          <w:sz w:val="20"/>
        </w:rPr>
        <w:t> </w:t>
      </w:r>
      <w:r>
        <w:rPr>
          <w:sz w:val="20"/>
        </w:rPr>
        <w:t>should be paid to the range of supports – at the school level as well as broader social</w:t>
      </w:r>
      <w:r>
        <w:rPr>
          <w:spacing w:val="1"/>
          <w:sz w:val="20"/>
        </w:rPr>
        <w:t> </w:t>
      </w:r>
      <w:r>
        <w:rPr>
          <w:sz w:val="20"/>
        </w:rPr>
        <w:t>supports – needed to help disadvantaged students consider participating in higher education</w:t>
      </w:r>
      <w:r>
        <w:rPr>
          <w:spacing w:val="1"/>
          <w:sz w:val="20"/>
        </w:rPr>
        <w:t> </w:t>
      </w:r>
      <w:r>
        <w:rPr>
          <w:sz w:val="20"/>
        </w:rPr>
        <w:t>in general and in particular in study fields with high labour market demand and good labour</w:t>
      </w:r>
      <w:r>
        <w:rPr>
          <w:spacing w:val="1"/>
          <w:sz w:val="20"/>
        </w:rPr>
        <w:t> </w:t>
      </w:r>
      <w:r>
        <w:rPr>
          <w:sz w:val="20"/>
        </w:rPr>
        <w:t>market</w:t>
      </w:r>
      <w:r>
        <w:rPr>
          <w:spacing w:val="-3"/>
          <w:sz w:val="20"/>
        </w:rPr>
        <w:t> </w:t>
      </w:r>
      <w:r>
        <w:rPr>
          <w:sz w:val="20"/>
        </w:rPr>
        <w:t>returns.</w:t>
      </w:r>
    </w:p>
    <w:p>
      <w:pPr>
        <w:pStyle w:val="BodyText"/>
        <w:spacing w:before="7"/>
      </w:pPr>
    </w:p>
    <w:p>
      <w:pPr>
        <w:pStyle w:val="Heading7"/>
        <w:spacing w:line="266" w:lineRule="auto"/>
        <w:ind w:right="355"/>
      </w:pPr>
      <w:bookmarkStart w:name="Policy action 7. Consider revisions to t" w:id="142"/>
      <w:bookmarkEnd w:id="142"/>
      <w:r>
        <w:rPr>
          <w:i w:val="0"/>
        </w:rPr>
      </w:r>
      <w:r>
        <w:rPr>
          <w:color w:val="616161"/>
        </w:rPr>
        <w:t>Policy action 7. Consider revisions to the funding formula for higher education and research</w:t>
      </w:r>
      <w:r>
        <w:rPr>
          <w:color w:val="616161"/>
          <w:spacing w:val="-59"/>
        </w:rPr>
        <w:t> </w:t>
      </w:r>
      <w:r>
        <w:rPr>
          <w:color w:val="616161"/>
        </w:rPr>
        <w:t>allocation</w:t>
      </w:r>
      <w:r>
        <w:rPr>
          <w:color w:val="616161"/>
          <w:spacing w:val="-1"/>
        </w:rPr>
        <w:t> </w:t>
      </w:r>
      <w:r>
        <w:rPr>
          <w:color w:val="616161"/>
        </w:rPr>
        <w:t>mechanisms</w:t>
      </w:r>
    </w:p>
    <w:p>
      <w:pPr>
        <w:pStyle w:val="BodyText"/>
        <w:spacing w:line="271" w:lineRule="auto" w:before="189"/>
        <w:ind w:left="183" w:right="301"/>
        <w:jc w:val="both"/>
      </w:pPr>
      <w:r>
        <w:rPr/>
        <w:t>The funding formula for higher education is the main tool through which the government allocates funding</w:t>
      </w:r>
      <w:r>
        <w:rPr>
          <w:spacing w:val="-54"/>
        </w:rPr>
        <w:t> </w:t>
      </w:r>
      <w:r>
        <w:rPr/>
        <w:t>to</w:t>
      </w:r>
      <w:r>
        <w:rPr>
          <w:spacing w:val="-8"/>
        </w:rPr>
        <w:t> </w:t>
      </w:r>
      <w:r>
        <w:rPr/>
        <w:t>public</w:t>
      </w:r>
      <w:r>
        <w:rPr>
          <w:spacing w:val="-5"/>
        </w:rPr>
        <w:t> </w:t>
      </w:r>
      <w:r>
        <w:rPr/>
        <w:t>HEIs,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plans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5"/>
        </w:rPr>
        <w:t> </w:t>
      </w:r>
      <w:r>
        <w:rPr/>
        <w:t>announced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revise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Slovak</w:t>
      </w:r>
      <w:r>
        <w:rPr>
          <w:spacing w:val="-4"/>
        </w:rPr>
        <w:t> </w:t>
      </w:r>
      <w:r>
        <w:rPr/>
        <w:t>Republic’s</w:t>
      </w:r>
      <w:r>
        <w:rPr>
          <w:spacing w:val="-6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RRP.</w:t>
      </w:r>
      <w:r>
        <w:rPr>
          <w:spacing w:val="-53"/>
        </w:rPr>
        <w:t> </w:t>
      </w:r>
      <w:r>
        <w:rPr/>
        <w:t>Efforts to review the funding formula should be accompanied by a review of other funding allocation</w:t>
      </w:r>
      <w:r>
        <w:rPr>
          <w:spacing w:val="1"/>
        </w:rPr>
        <w:t> </w:t>
      </w:r>
      <w:r>
        <w:rPr/>
        <w:t>mechanisms, both existing – such as the competitive research funding allocations – and future, such as</w:t>
      </w:r>
      <w:r>
        <w:rPr>
          <w:spacing w:val="1"/>
        </w:rPr>
        <w:t> </w:t>
      </w:r>
      <w:r>
        <w:rPr/>
        <w:t>funding potentially</w:t>
      </w:r>
      <w:r>
        <w:rPr>
          <w:spacing w:val="-4"/>
        </w:rPr>
        <w:t> </w:t>
      </w:r>
      <w:r>
        <w:rPr/>
        <w:t>tied</w:t>
      </w:r>
      <w:r>
        <w:rPr>
          <w:spacing w:val="1"/>
        </w:rPr>
        <w:t> </w:t>
      </w:r>
      <w:r>
        <w:rPr/>
        <w:t>to new</w:t>
      </w:r>
      <w:r>
        <w:rPr>
          <w:spacing w:val="-3"/>
        </w:rPr>
        <w:t> </w:t>
      </w:r>
      <w:r>
        <w:rPr/>
        <w:t>institutional</w:t>
      </w:r>
      <w:r>
        <w:rPr>
          <w:spacing w:val="-2"/>
        </w:rPr>
        <w:t> </w:t>
      </w:r>
      <w:r>
        <w:rPr/>
        <w:t>contracts.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11"/>
        <w:jc w:val="both"/>
      </w:pPr>
      <w:r>
        <w:rPr>
          <w:w w:val="95"/>
        </w:rPr>
        <w:t>To review and propose specific enhancements to the funding formula and the competitive research funding</w:t>
      </w:r>
      <w:r>
        <w:rPr>
          <w:spacing w:val="1"/>
          <w:w w:val="95"/>
        </w:rPr>
        <w:t> </w:t>
      </w:r>
      <w:r>
        <w:rPr/>
        <w:t>allocation,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expert</w:t>
      </w:r>
      <w:r>
        <w:rPr>
          <w:spacing w:val="5"/>
        </w:rPr>
        <w:t> </w:t>
      </w:r>
      <w:r>
        <w:rPr/>
        <w:t>working</w:t>
      </w:r>
      <w:r>
        <w:rPr>
          <w:spacing w:val="-1"/>
        </w:rPr>
        <w:t> </w:t>
      </w:r>
      <w:r>
        <w:rPr/>
        <w:t>group</w:t>
      </w:r>
      <w:r>
        <w:rPr>
          <w:spacing w:val="-3"/>
        </w:rPr>
        <w:t> </w:t>
      </w:r>
      <w:r>
        <w:rPr/>
        <w:t>created in Policy</w:t>
      </w:r>
      <w:r>
        <w:rPr>
          <w:spacing w:val="-5"/>
        </w:rPr>
        <w:t> </w:t>
      </w:r>
      <w:r>
        <w:rPr/>
        <w:t>action</w:t>
      </w:r>
      <w:r>
        <w:rPr>
          <w:spacing w:val="1"/>
        </w:rPr>
        <w:t> </w:t>
      </w:r>
      <w:r>
        <w:rPr/>
        <w:t>1: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98" w:after="0"/>
        <w:ind w:left="862" w:right="0" w:hanging="339"/>
        <w:jc w:val="both"/>
        <w:rPr>
          <w:sz w:val="20"/>
        </w:rPr>
      </w:pPr>
      <w:r>
        <w:rPr>
          <w:sz w:val="20"/>
        </w:rPr>
        <w:t>Identify</w:t>
      </w:r>
      <w:r>
        <w:rPr>
          <w:spacing w:val="-8"/>
          <w:sz w:val="20"/>
        </w:rPr>
        <w:t> </w:t>
      </w:r>
      <w:r>
        <w:rPr>
          <w:sz w:val="20"/>
        </w:rPr>
        <w:t>options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restructure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funding</w:t>
      </w:r>
      <w:r>
        <w:rPr>
          <w:spacing w:val="-5"/>
          <w:sz w:val="20"/>
        </w:rPr>
        <w:t> </w:t>
      </w:r>
      <w:r>
        <w:rPr>
          <w:sz w:val="20"/>
        </w:rPr>
        <w:t>formula</w:t>
      </w:r>
      <w:r>
        <w:rPr>
          <w:spacing w:val="-5"/>
          <w:sz w:val="20"/>
        </w:rPr>
        <w:t> </w:t>
      </w:r>
      <w:r>
        <w:rPr>
          <w:sz w:val="20"/>
        </w:rPr>
        <w:t>and,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particular,</w:t>
      </w:r>
      <w:r>
        <w:rPr>
          <w:spacing w:val="-5"/>
          <w:sz w:val="20"/>
        </w:rPr>
        <w:t> </w:t>
      </w:r>
      <w:r>
        <w:rPr>
          <w:sz w:val="20"/>
        </w:rPr>
        <w:t>consider: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52" w:lineRule="auto" w:before="90" w:after="0"/>
        <w:ind w:left="1203" w:right="300" w:hanging="341"/>
        <w:jc w:val="both"/>
        <w:rPr>
          <w:sz w:val="20"/>
        </w:rPr>
      </w:pPr>
      <w:r>
        <w:rPr>
          <w:sz w:val="20"/>
        </w:rPr>
        <w:t>building in an element of funding providing stability to HEIs that complement performance-</w:t>
      </w:r>
      <w:r>
        <w:rPr>
          <w:spacing w:val="1"/>
          <w:sz w:val="20"/>
        </w:rPr>
        <w:t> </w:t>
      </w:r>
      <w:r>
        <w:rPr>
          <w:sz w:val="20"/>
        </w:rPr>
        <w:t>oriented</w:t>
      </w:r>
      <w:r>
        <w:rPr>
          <w:spacing w:val="-3"/>
          <w:sz w:val="20"/>
        </w:rPr>
        <w:t> </w:t>
      </w:r>
      <w:r>
        <w:rPr>
          <w:sz w:val="20"/>
        </w:rPr>
        <w:t>funding, learning,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instance,</w:t>
      </w:r>
      <w:r>
        <w:rPr>
          <w:spacing w:val="2"/>
          <w:sz w:val="20"/>
        </w:rPr>
        <w:t> </w:t>
      </w:r>
      <w:r>
        <w:rPr>
          <w:sz w:val="20"/>
        </w:rPr>
        <w:t>from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example of</w:t>
      </w:r>
      <w:r>
        <w:rPr>
          <w:spacing w:val="1"/>
          <w:sz w:val="20"/>
        </w:rPr>
        <w:t> </w:t>
      </w:r>
      <w:r>
        <w:rPr>
          <w:sz w:val="20"/>
        </w:rPr>
        <w:t>Denmark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4" w:lineRule="auto" w:before="77" w:after="0"/>
        <w:ind w:left="1203" w:right="305" w:hanging="341"/>
        <w:jc w:val="both"/>
        <w:rPr>
          <w:sz w:val="20"/>
        </w:rPr>
      </w:pPr>
      <w:r>
        <w:rPr>
          <w:sz w:val="20"/>
        </w:rPr>
        <w:t>assigning a sufficient weight to a small number of key teaching and research performance</w:t>
      </w:r>
      <w:r>
        <w:rPr>
          <w:spacing w:val="1"/>
          <w:sz w:val="20"/>
        </w:rPr>
        <w:t> </w:t>
      </w:r>
      <w:r>
        <w:rPr>
          <w:sz w:val="20"/>
        </w:rPr>
        <w:t>metrics, identified through expert work (see Policy action 2), work of the Slovak Accreditation</w:t>
      </w:r>
      <w:r>
        <w:rPr>
          <w:spacing w:val="1"/>
          <w:sz w:val="20"/>
        </w:rPr>
        <w:t> </w:t>
      </w:r>
      <w:r>
        <w:rPr>
          <w:sz w:val="20"/>
        </w:rPr>
        <w:t>Agency, and work on scientific performance evaluation considered as part of the Slovak</w:t>
      </w:r>
      <w:r>
        <w:rPr>
          <w:spacing w:val="1"/>
          <w:sz w:val="20"/>
        </w:rPr>
        <w:t> </w:t>
      </w:r>
      <w:r>
        <w:rPr>
          <w:sz w:val="20"/>
        </w:rPr>
        <w:t>Republic’s</w:t>
      </w:r>
      <w:r>
        <w:rPr>
          <w:spacing w:val="-1"/>
          <w:sz w:val="20"/>
        </w:rPr>
        <w:t> </w:t>
      </w:r>
      <w:r>
        <w:rPr>
          <w:sz w:val="20"/>
        </w:rPr>
        <w:t>national RRP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1" w:lineRule="auto" w:before="72" w:after="0"/>
        <w:ind w:left="1203" w:right="304" w:hanging="341"/>
        <w:jc w:val="both"/>
        <w:rPr>
          <w:sz w:val="20"/>
        </w:rPr>
      </w:pPr>
      <w:r>
        <w:rPr>
          <w:sz w:val="20"/>
        </w:rPr>
        <w:t>reducing the frequency at which formula revisions are introduced, clarifying the approach and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rationale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for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funding</w:t>
      </w:r>
      <w:r>
        <w:rPr>
          <w:spacing w:val="-10"/>
          <w:sz w:val="20"/>
        </w:rPr>
        <w:t> </w:t>
      </w:r>
      <w:r>
        <w:rPr>
          <w:sz w:val="20"/>
        </w:rPr>
        <w:t>formula</w:t>
      </w:r>
      <w:r>
        <w:rPr>
          <w:spacing w:val="-11"/>
          <w:sz w:val="20"/>
        </w:rPr>
        <w:t> </w:t>
      </w:r>
      <w:r>
        <w:rPr>
          <w:sz w:val="20"/>
        </w:rPr>
        <w:t>revisions,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communicating</w:t>
      </w:r>
      <w:r>
        <w:rPr>
          <w:spacing w:val="-11"/>
          <w:sz w:val="20"/>
        </w:rPr>
        <w:t> </w:t>
      </w:r>
      <w:r>
        <w:rPr>
          <w:sz w:val="20"/>
        </w:rPr>
        <w:t>these</w:t>
      </w:r>
      <w:r>
        <w:rPr>
          <w:spacing w:val="-11"/>
          <w:sz w:val="20"/>
        </w:rPr>
        <w:t> </w:t>
      </w:r>
      <w:r>
        <w:rPr>
          <w:sz w:val="20"/>
        </w:rPr>
        <w:t>early</w:t>
      </w:r>
      <w:r>
        <w:rPr>
          <w:spacing w:val="-14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HEIs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facilitate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53"/>
          <w:sz w:val="20"/>
        </w:rPr>
        <w:t> </w:t>
      </w:r>
      <w:r>
        <w:rPr>
          <w:sz w:val="20"/>
        </w:rPr>
        <w:t>planning.</w:t>
      </w:r>
    </w:p>
    <w:p>
      <w:pPr>
        <w:pStyle w:val="ListParagraph"/>
        <w:numPr>
          <w:ilvl w:val="0"/>
          <w:numId w:val="26"/>
        </w:numPr>
        <w:tabs>
          <w:tab w:pos="863" w:val="left" w:leader="none"/>
        </w:tabs>
        <w:spacing w:line="240" w:lineRule="auto" w:before="58" w:after="0"/>
        <w:ind w:left="862" w:right="0" w:hanging="339"/>
        <w:jc w:val="both"/>
        <w:rPr>
          <w:sz w:val="20"/>
        </w:rPr>
      </w:pPr>
      <w:r>
        <w:rPr>
          <w:sz w:val="20"/>
        </w:rPr>
        <w:t>Identify</w:t>
      </w:r>
      <w:r>
        <w:rPr>
          <w:spacing w:val="-8"/>
          <w:sz w:val="20"/>
        </w:rPr>
        <w:t> </w:t>
      </w:r>
      <w:r>
        <w:rPr>
          <w:sz w:val="20"/>
        </w:rPr>
        <w:t>options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reform the</w:t>
      </w:r>
      <w:r>
        <w:rPr>
          <w:spacing w:val="-3"/>
          <w:sz w:val="20"/>
        </w:rPr>
        <w:t> </w:t>
      </w:r>
      <w:r>
        <w:rPr>
          <w:sz w:val="20"/>
        </w:rPr>
        <w:t>way</w:t>
      </w:r>
      <w:r>
        <w:rPr>
          <w:spacing w:val="-8"/>
          <w:sz w:val="20"/>
        </w:rPr>
        <w:t> </w:t>
      </w:r>
      <w:r>
        <w:rPr>
          <w:sz w:val="20"/>
        </w:rPr>
        <w:t>competitive</w:t>
      </w:r>
      <w:r>
        <w:rPr>
          <w:spacing w:val="-3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z w:val="20"/>
        </w:rPr>
        <w:t>funding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allocated,</w:t>
      </w:r>
      <w:r>
        <w:rPr>
          <w:spacing w:val="-6"/>
          <w:sz w:val="20"/>
        </w:rPr>
        <w:t> </w:t>
      </w:r>
      <w:r>
        <w:rPr>
          <w:sz w:val="20"/>
        </w:rPr>
        <w:t>including: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88" w:after="0"/>
        <w:ind w:left="1203" w:right="0" w:hanging="342"/>
        <w:jc w:val="both"/>
        <w:rPr>
          <w:sz w:val="20"/>
        </w:rPr>
      </w:pPr>
      <w:r>
        <w:rPr>
          <w:sz w:val="20"/>
        </w:rPr>
        <w:t>increasing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size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grants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making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allocation</w:t>
      </w:r>
      <w:r>
        <w:rPr>
          <w:spacing w:val="-3"/>
          <w:sz w:val="20"/>
        </w:rPr>
        <w:t> </w:t>
      </w:r>
      <w:r>
        <w:rPr>
          <w:sz w:val="20"/>
        </w:rPr>
        <w:t>criteria</w:t>
      </w:r>
      <w:r>
        <w:rPr>
          <w:spacing w:val="-4"/>
          <w:sz w:val="20"/>
        </w:rPr>
        <w:t> </w:t>
      </w:r>
      <w:r>
        <w:rPr>
          <w:sz w:val="20"/>
        </w:rPr>
        <w:t>transparent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61" w:lineRule="auto" w:before="71" w:after="0"/>
        <w:ind w:left="1203" w:right="305" w:hanging="341"/>
        <w:jc w:val="both"/>
        <w:rPr>
          <w:sz w:val="20"/>
        </w:rPr>
      </w:pPr>
      <w:r>
        <w:rPr>
          <w:sz w:val="20"/>
        </w:rPr>
        <w:t>reducing the administrative burden placed on researchers applying for funding and increasing</w:t>
      </w:r>
      <w:r>
        <w:rPr>
          <w:spacing w:val="-53"/>
          <w:sz w:val="20"/>
        </w:rPr>
        <w:t> </w:t>
      </w:r>
      <w:r>
        <w:rPr>
          <w:sz w:val="20"/>
        </w:rPr>
        <w:t>the support for researchers through an increase in competent administrative staff (see also</w:t>
      </w:r>
      <w:r>
        <w:rPr>
          <w:spacing w:val="1"/>
          <w:sz w:val="20"/>
        </w:rPr>
        <w:t> </w:t>
      </w:r>
      <w:r>
        <w:rPr>
          <w:sz w:val="20"/>
        </w:rPr>
        <w:t>Policy</w:t>
      </w:r>
      <w:r>
        <w:rPr>
          <w:spacing w:val="-3"/>
          <w:sz w:val="20"/>
        </w:rPr>
        <w:t> </w:t>
      </w:r>
      <w:r>
        <w:rPr>
          <w:sz w:val="20"/>
        </w:rPr>
        <w:t>action</w:t>
      </w:r>
      <w:r>
        <w:rPr>
          <w:spacing w:val="-1"/>
          <w:sz w:val="20"/>
        </w:rPr>
        <w:t> </w:t>
      </w:r>
      <w:r>
        <w:rPr>
          <w:sz w:val="20"/>
        </w:rPr>
        <w:t>6)</w:t>
      </w:r>
    </w:p>
    <w:p>
      <w:pPr>
        <w:pStyle w:val="ListParagraph"/>
        <w:numPr>
          <w:ilvl w:val="1"/>
          <w:numId w:val="26"/>
        </w:numPr>
        <w:tabs>
          <w:tab w:pos="1204" w:val="left" w:leader="none"/>
        </w:tabs>
        <w:spacing w:line="240" w:lineRule="auto" w:before="70" w:after="0"/>
        <w:ind w:left="1203" w:right="0" w:hanging="342"/>
        <w:jc w:val="both"/>
        <w:rPr>
          <w:sz w:val="20"/>
        </w:rPr>
      </w:pPr>
      <w:r>
        <w:rPr>
          <w:sz w:val="20"/>
        </w:rPr>
        <w:t>establishing</w:t>
      </w:r>
      <w:r>
        <w:rPr>
          <w:spacing w:val="-8"/>
          <w:sz w:val="20"/>
        </w:rPr>
        <w:t> </w:t>
      </w:r>
      <w:r>
        <w:rPr>
          <w:sz w:val="20"/>
        </w:rPr>
        <w:t>clear</w:t>
      </w:r>
      <w:r>
        <w:rPr>
          <w:spacing w:val="-5"/>
          <w:sz w:val="20"/>
        </w:rPr>
        <w:t> </w:t>
      </w:r>
      <w:r>
        <w:rPr>
          <w:sz w:val="20"/>
        </w:rPr>
        <w:t>expected</w:t>
      </w:r>
      <w:r>
        <w:rPr>
          <w:spacing w:val="-5"/>
          <w:sz w:val="20"/>
        </w:rPr>
        <w:t> </w:t>
      </w:r>
      <w:r>
        <w:rPr>
          <w:sz w:val="20"/>
        </w:rPr>
        <w:t>outcomes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simplified</w:t>
      </w:r>
      <w:r>
        <w:rPr>
          <w:spacing w:val="-7"/>
          <w:sz w:val="20"/>
        </w:rPr>
        <w:t> </w:t>
      </w:r>
      <w:r>
        <w:rPr>
          <w:sz w:val="20"/>
        </w:rPr>
        <w:t>reporting</w:t>
      </w:r>
      <w:r>
        <w:rPr>
          <w:spacing w:val="-7"/>
          <w:sz w:val="20"/>
        </w:rPr>
        <w:t> </w:t>
      </w:r>
      <w:r>
        <w:rPr>
          <w:sz w:val="20"/>
        </w:rPr>
        <w:t>procedures.</w:t>
      </w:r>
    </w:p>
    <w:p>
      <w:pPr>
        <w:pStyle w:val="BodyText"/>
        <w:spacing w:line="271" w:lineRule="auto" w:before="142"/>
        <w:ind w:left="183" w:right="306"/>
        <w:jc w:val="both"/>
      </w:pPr>
      <w:r>
        <w:rPr/>
        <w:t>Best</w:t>
      </w:r>
      <w:r>
        <w:rPr>
          <w:spacing w:val="45"/>
        </w:rPr>
        <w:t> </w:t>
      </w:r>
      <w:r>
        <w:rPr/>
        <w:t>practice</w:t>
      </w:r>
      <w:r>
        <w:rPr>
          <w:spacing w:val="48"/>
        </w:rPr>
        <w:t> </w:t>
      </w:r>
      <w:r>
        <w:rPr/>
        <w:t>in</w:t>
      </w:r>
      <w:r>
        <w:rPr>
          <w:spacing w:val="45"/>
        </w:rPr>
        <w:t> </w:t>
      </w:r>
      <w:r>
        <w:rPr/>
        <w:t>research</w:t>
      </w:r>
      <w:r>
        <w:rPr>
          <w:spacing w:val="48"/>
        </w:rPr>
        <w:t> </w:t>
      </w:r>
      <w:r>
        <w:rPr/>
        <w:t>granting</w:t>
      </w:r>
      <w:r>
        <w:rPr>
          <w:spacing w:val="45"/>
        </w:rPr>
        <w:t> </w:t>
      </w:r>
      <w:r>
        <w:rPr/>
        <w:t>at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European</w:t>
      </w:r>
      <w:r>
        <w:rPr>
          <w:spacing w:val="48"/>
        </w:rPr>
        <w:t> </w:t>
      </w:r>
      <w:r>
        <w:rPr/>
        <w:t>level</w:t>
      </w:r>
      <w:r>
        <w:rPr>
          <w:spacing w:val="44"/>
        </w:rPr>
        <w:t> </w:t>
      </w:r>
      <w:r>
        <w:rPr/>
        <w:t>should</w:t>
      </w:r>
      <w:r>
        <w:rPr>
          <w:spacing w:val="45"/>
        </w:rPr>
        <w:t> </w:t>
      </w:r>
      <w:r>
        <w:rPr/>
        <w:t>serve</w:t>
      </w:r>
      <w:r>
        <w:rPr>
          <w:spacing w:val="48"/>
        </w:rPr>
        <w:t> </w:t>
      </w:r>
      <w:r>
        <w:rPr/>
        <w:t>as</w:t>
      </w:r>
      <w:r>
        <w:rPr>
          <w:spacing w:val="46"/>
        </w:rPr>
        <w:t> </w:t>
      </w:r>
      <w:r>
        <w:rPr/>
        <w:t>an</w:t>
      </w:r>
      <w:r>
        <w:rPr>
          <w:spacing w:val="46"/>
        </w:rPr>
        <w:t> </w:t>
      </w:r>
      <w:r>
        <w:rPr/>
        <w:t>example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this</w:t>
      </w:r>
      <w:r>
        <w:rPr>
          <w:spacing w:val="47"/>
        </w:rPr>
        <w:t> </w:t>
      </w:r>
      <w:r>
        <w:rPr/>
        <w:t>area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Research Council,</w:t>
      </w:r>
      <w:r>
        <w:rPr>
          <w:spacing w:val="-1"/>
        </w:rPr>
        <w:t> </w:t>
      </w:r>
      <w:r>
        <w:rPr/>
        <w:t>Horizon 2020).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sz w:val="9"/>
        </w:rPr>
      </w:pPr>
    </w:p>
    <w:p>
      <w:pPr>
        <w:pStyle w:val="Heading2"/>
        <w:numPr>
          <w:ilvl w:val="1"/>
          <w:numId w:val="12"/>
        </w:numPr>
        <w:tabs>
          <w:tab w:pos="652" w:val="left" w:leader="none"/>
        </w:tabs>
        <w:spacing w:line="278" w:lineRule="auto" w:before="92" w:after="0"/>
        <w:ind w:left="183" w:right="1774" w:firstLine="0"/>
        <w:jc w:val="left"/>
      </w:pPr>
      <w:bookmarkStart w:name="3.4. Action Step 3: Enabling responsive " w:id="143"/>
      <w:bookmarkEnd w:id="143"/>
      <w:r>
        <w:rPr>
          <w:b w:val="0"/>
        </w:rPr>
      </w:r>
      <w:bookmarkStart w:name="_bookmark49" w:id="144"/>
      <w:bookmarkEnd w:id="144"/>
      <w:r>
        <w:rPr>
          <w:b w:val="0"/>
        </w:rPr>
      </w:r>
      <w:bookmarkStart w:name="_bookmark49" w:id="145"/>
      <w:bookmarkEnd w:id="145"/>
      <w:r>
        <w:rPr>
          <w:color w:val="4E81BD"/>
        </w:rPr>
        <w:t>A</w:t>
      </w:r>
      <w:r>
        <w:rPr>
          <w:color w:val="4E81BD"/>
        </w:rPr>
        <w:t>ction Step 3: Enabling responsive institutional governance and</w:t>
      </w:r>
      <w:r>
        <w:rPr>
          <w:color w:val="4E81BD"/>
          <w:spacing w:val="-64"/>
        </w:rPr>
        <w:t> </w:t>
      </w:r>
      <w:r>
        <w:rPr>
          <w:color w:val="4E81BD"/>
        </w:rPr>
        <w:t>management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ind w:left="183"/>
        <w:jc w:val="both"/>
      </w:pPr>
      <w:r>
        <w:rPr/>
        <w:t>The</w:t>
      </w:r>
      <w:r>
        <w:rPr>
          <w:spacing w:val="-5"/>
        </w:rPr>
        <w:t> </w:t>
      </w:r>
      <w:r>
        <w:rPr/>
        <w:t>sections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follow</w:t>
      </w:r>
      <w:r>
        <w:rPr>
          <w:spacing w:val="-5"/>
        </w:rPr>
        <w:t> </w:t>
      </w:r>
      <w:r>
        <w:rPr/>
        <w:t>focus</w:t>
      </w:r>
      <w:r>
        <w:rPr>
          <w:spacing w:val="-3"/>
        </w:rPr>
        <w:t> </w:t>
      </w:r>
      <w:r>
        <w:rPr/>
        <w:t>on: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131" w:after="0"/>
        <w:ind w:left="862" w:right="0" w:hanging="339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current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policy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practice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respect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institutional</w:t>
      </w:r>
      <w:r>
        <w:rPr>
          <w:spacing w:val="-3"/>
          <w:sz w:val="20"/>
        </w:rPr>
        <w:t> </w:t>
      </w:r>
      <w:r>
        <w:rPr>
          <w:sz w:val="20"/>
        </w:rPr>
        <w:t>governance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management,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Challenges</w:t>
      </w:r>
      <w:r>
        <w:rPr>
          <w:spacing w:val="-3"/>
          <w:sz w:val="20"/>
        </w:rPr>
        <w:t> </w:t>
      </w:r>
      <w:r>
        <w:rPr>
          <w:sz w:val="20"/>
        </w:rPr>
        <w:t>limiting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adoption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effective</w:t>
      </w:r>
      <w:r>
        <w:rPr>
          <w:spacing w:val="-5"/>
          <w:sz w:val="20"/>
        </w:rPr>
        <w:t> </w:t>
      </w:r>
      <w:r>
        <w:rPr>
          <w:sz w:val="20"/>
        </w:rPr>
        <w:t>reforms,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5" w:after="0"/>
        <w:ind w:left="862" w:right="0" w:hanging="339"/>
        <w:jc w:val="left"/>
        <w:rPr>
          <w:sz w:val="20"/>
        </w:rPr>
      </w:pPr>
      <w:r>
        <w:rPr>
          <w:sz w:val="20"/>
        </w:rPr>
        <w:t>Relevant</w:t>
      </w:r>
      <w:r>
        <w:rPr>
          <w:spacing w:val="-3"/>
          <w:sz w:val="20"/>
        </w:rPr>
        <w:t> </w:t>
      </w:r>
      <w:r>
        <w:rPr>
          <w:sz w:val="20"/>
        </w:rPr>
        <w:t>international</w:t>
      </w:r>
      <w:r>
        <w:rPr>
          <w:spacing w:val="-4"/>
          <w:sz w:val="20"/>
        </w:rPr>
        <w:t> </w:t>
      </w:r>
      <w:r>
        <w:rPr>
          <w:sz w:val="20"/>
        </w:rPr>
        <w:t>experience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points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possible</w:t>
      </w:r>
      <w:r>
        <w:rPr>
          <w:spacing w:val="-5"/>
          <w:sz w:val="20"/>
        </w:rPr>
        <w:t> </w:t>
      </w:r>
      <w:r>
        <w:rPr>
          <w:sz w:val="20"/>
        </w:rPr>
        <w:t>policy</w:t>
      </w:r>
      <w:r>
        <w:rPr>
          <w:spacing w:val="-8"/>
          <w:sz w:val="20"/>
        </w:rPr>
        <w:t> </w:t>
      </w:r>
      <w:r>
        <w:rPr>
          <w:sz w:val="20"/>
        </w:rPr>
        <w:t>reforms,</w:t>
      </w:r>
      <w:r>
        <w:rPr>
          <w:spacing w:val="-5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76" w:after="0"/>
        <w:ind w:left="862" w:right="0" w:hanging="339"/>
        <w:jc w:val="left"/>
        <w:rPr>
          <w:sz w:val="20"/>
        </w:rPr>
      </w:pPr>
      <w:r>
        <w:rPr>
          <w:sz w:val="20"/>
        </w:rPr>
        <w:t>Concrete</w:t>
      </w:r>
      <w:r>
        <w:rPr>
          <w:spacing w:val="-4"/>
          <w:sz w:val="20"/>
        </w:rPr>
        <w:t> </w:t>
      </w:r>
      <w:r>
        <w:rPr>
          <w:sz w:val="20"/>
        </w:rPr>
        <w:t>policy</w:t>
      </w:r>
      <w:r>
        <w:rPr>
          <w:spacing w:val="-5"/>
          <w:sz w:val="20"/>
        </w:rPr>
        <w:t> </w:t>
      </w:r>
      <w:r>
        <w:rPr>
          <w:sz w:val="20"/>
        </w:rPr>
        <w:t>actions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Slovak</w:t>
      </w:r>
      <w:r>
        <w:rPr>
          <w:spacing w:val="-2"/>
          <w:sz w:val="20"/>
        </w:rPr>
        <w:t> </w:t>
      </w:r>
      <w:r>
        <w:rPr>
          <w:sz w:val="20"/>
        </w:rPr>
        <w:t>government</w:t>
      </w:r>
      <w:r>
        <w:rPr>
          <w:spacing w:val="-4"/>
          <w:sz w:val="20"/>
        </w:rPr>
        <w:t> </w:t>
      </w:r>
      <w:r>
        <w:rPr>
          <w:sz w:val="20"/>
        </w:rPr>
        <w:t>may wish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consider.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</w:pPr>
      <w:bookmarkStart w:name="Current state of policy and practice" w:id="146"/>
      <w:bookmarkEnd w:id="146"/>
      <w:r>
        <w:rPr>
          <w:b w:val="0"/>
          <w:i w:val="0"/>
        </w:rPr>
      </w:r>
      <w:r>
        <w:rPr/>
        <w:t>Current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policy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71" w:lineRule="auto"/>
        <w:ind w:left="183" w:right="298"/>
        <w:jc w:val="both"/>
      </w:pPr>
      <w:r>
        <w:rPr/>
        <w:t>Higher education governance and management are closely connected, but distinct, concepts. In general</w:t>
      </w:r>
      <w:r>
        <w:rPr>
          <w:spacing w:val="1"/>
        </w:rPr>
        <w:t> </w:t>
      </w:r>
      <w:r>
        <w:rPr/>
        <w:t>terms,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governance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HEIs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understood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referring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entities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processes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which</w:t>
      </w:r>
      <w:r>
        <w:rPr>
          <w:spacing w:val="1"/>
        </w:rPr>
        <w:t> </w:t>
      </w:r>
      <w:r>
        <w:rPr/>
        <w:t>the HEI takes the highest level decisions about the HEI’s mission, profile, and overarching priorities and</w:t>
      </w:r>
      <w:r>
        <w:rPr>
          <w:spacing w:val="1"/>
        </w:rPr>
        <w:t> </w:t>
      </w:r>
      <w:r>
        <w:rPr/>
        <w:t>how the institution engages with the wider world. Management in higher education typically describes the</w:t>
      </w:r>
      <w:r>
        <w:rPr>
          <w:spacing w:val="-53"/>
        </w:rPr>
        <w:t> </w:t>
      </w:r>
      <w:r>
        <w:rPr/>
        <w:t>entities and processes through which decisions are made to put a governing vision into practice – most</w:t>
      </w:r>
      <w:r>
        <w:rPr>
          <w:spacing w:val="1"/>
        </w:rPr>
        <w:t> </w:t>
      </w:r>
      <w:r>
        <w:rPr/>
        <w:t>importantly</w:t>
      </w:r>
      <w:r>
        <w:rPr>
          <w:spacing w:val="-9"/>
        </w:rPr>
        <w:t> </w:t>
      </w:r>
      <w:r>
        <w:rPr/>
        <w:t>decisions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allocation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budget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staff.</w:t>
      </w:r>
      <w:r>
        <w:rPr>
          <w:spacing w:val="1"/>
        </w:rPr>
        <w:t> </w:t>
      </w:r>
      <w:r>
        <w:rPr/>
        <w:t>The</w:t>
      </w:r>
      <w:r>
        <w:rPr>
          <w:spacing w:val="-53"/>
        </w:rPr>
        <w:t> </w:t>
      </w:r>
      <w:r>
        <w:rPr/>
        <w:t>section that follows describes key features of institutional governance in Slovakia and their impact on</w:t>
      </w:r>
      <w:r>
        <w:rPr>
          <w:spacing w:val="1"/>
        </w:rPr>
        <w:t> </w:t>
      </w:r>
      <w:r>
        <w:rPr/>
        <w:t>institutional management, and closes with a brief overview of rules structuring the hiring and pay of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staff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aspect</w:t>
      </w:r>
      <w:r>
        <w:rPr>
          <w:spacing w:val="-1"/>
        </w:rPr>
        <w:t> </w:t>
      </w:r>
      <w:r>
        <w:rPr/>
        <w:t>of institutional</w:t>
      </w:r>
      <w:r>
        <w:rPr>
          <w:spacing w:val="-2"/>
        </w:rPr>
        <w:t> </w:t>
      </w:r>
      <w:r>
        <w:rPr/>
        <w:t>management.</w:t>
      </w:r>
    </w:p>
    <w:p>
      <w:pPr>
        <w:pStyle w:val="BodyText"/>
        <w:spacing w:line="271" w:lineRule="auto" w:before="122"/>
        <w:ind w:left="183" w:right="304"/>
        <w:jc w:val="both"/>
      </w:pPr>
      <w:r>
        <w:rPr/>
        <w:t>All</w:t>
      </w:r>
      <w:r>
        <w:rPr>
          <w:spacing w:val="-6"/>
        </w:rPr>
        <w:t> </w:t>
      </w:r>
      <w:r>
        <w:rPr/>
        <w:t>Slovak</w:t>
      </w:r>
      <w:r>
        <w:rPr>
          <w:spacing w:val="-5"/>
        </w:rPr>
        <w:t> </w:t>
      </w:r>
      <w:r>
        <w:rPr/>
        <w:t>HEIs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8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structure,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set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HE</w:t>
      </w:r>
      <w:r>
        <w:rPr>
          <w:spacing w:val="-5"/>
        </w:rPr>
        <w:t> </w:t>
      </w:r>
      <w:r>
        <w:rPr/>
        <w:t>Act.</w:t>
      </w:r>
      <w:r>
        <w:rPr>
          <w:spacing w:val="-10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54"/>
        </w:rPr>
        <w:t> </w:t>
      </w:r>
      <w:r>
        <w:rPr/>
        <w:t>law confers an autonomous status to HEIs and the capacity to set management rules through internal</w:t>
      </w:r>
      <w:r>
        <w:rPr>
          <w:spacing w:val="1"/>
        </w:rPr>
        <w:t> </w:t>
      </w:r>
      <w:r>
        <w:rPr/>
        <w:t>policies, it defines the composition and responsibilities of self-governing bodies of HEIs and the relations</w:t>
      </w:r>
      <w:r>
        <w:rPr>
          <w:spacing w:val="1"/>
        </w:rPr>
        <w:t> </w:t>
      </w:r>
      <w:r>
        <w:rPr/>
        <w:t>between these bodies in a comprehensive and detailed manner. This explains the Slovak Republic’s</w:t>
      </w:r>
      <w:r>
        <w:rPr>
          <w:spacing w:val="1"/>
        </w:rPr>
        <w:t> </w:t>
      </w:r>
      <w:r>
        <w:rPr/>
        <w:t>particularly low level of “organisational autonomy” on the European University Association’s Autonomy</w:t>
      </w:r>
      <w:r>
        <w:rPr>
          <w:spacing w:val="1"/>
        </w:rPr>
        <w:t> </w:t>
      </w:r>
      <w:r>
        <w:rPr/>
        <w:t>Scorecard,</w:t>
      </w:r>
      <w:r>
        <w:rPr>
          <w:spacing w:val="-2"/>
        </w:rPr>
        <w:t> </w:t>
      </w:r>
      <w:r>
        <w:rPr/>
        <w:t>a comparative</w:t>
      </w:r>
      <w:r>
        <w:rPr>
          <w:spacing w:val="-1"/>
        </w:rPr>
        <w:t> </w:t>
      </w:r>
      <w:r>
        <w:rPr/>
        <w:t>tool</w:t>
      </w:r>
      <w:r>
        <w:rPr>
          <w:spacing w:val="-1"/>
        </w:rPr>
        <w:t> </w:t>
      </w:r>
      <w:r>
        <w:rPr/>
        <w:t>published in 2011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2017</w:t>
      </w:r>
      <w:r>
        <w:rPr>
          <w:spacing w:val="-1"/>
        </w:rPr>
        <w:t> </w:t>
      </w:r>
      <w:r>
        <w:rPr/>
        <w:t>(</w:t>
      </w:r>
      <w:hyperlink w:history="true" w:anchor="_bookmark50">
        <w:r>
          <w:rPr/>
          <w:t>Table 3.5.</w:t>
        </w:r>
        <w:r>
          <w:rPr>
            <w:spacing w:val="-1"/>
          </w:rPr>
          <w:t> </w:t>
        </w:r>
      </w:hyperlink>
      <w:r>
        <w:rPr/>
        <w:t>).</w:t>
      </w:r>
    </w:p>
    <w:p>
      <w:pPr>
        <w:pStyle w:val="BodyText"/>
        <w:rPr>
          <w:sz w:val="29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50" w:id="147"/>
      <w:bookmarkEnd w:id="147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3.5.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Institutional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autonomy</w:t>
      </w:r>
      <w:r>
        <w:rPr>
          <w:rFonts w:ascii="Arial"/>
          <w:b/>
          <w:color w:val="4E81BD"/>
          <w:spacing w:val="2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select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European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countries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(2016)</w:t>
      </w:r>
    </w:p>
    <w:p>
      <w:pPr>
        <w:pStyle w:val="Heading6"/>
        <w:spacing w:before="190"/>
        <w:jc w:val="both"/>
      </w:pPr>
      <w:r>
        <w:rPr>
          <w:w w:val="80"/>
        </w:rPr>
        <w:t>Autonomy</w:t>
      </w:r>
      <w:r>
        <w:rPr>
          <w:spacing w:val="12"/>
          <w:w w:val="80"/>
        </w:rPr>
        <w:t> </w:t>
      </w:r>
      <w:r>
        <w:rPr>
          <w:w w:val="80"/>
        </w:rPr>
        <w:t>score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6"/>
          <w:w w:val="80"/>
        </w:rPr>
        <w:t> </w:t>
      </w:r>
      <w:r>
        <w:rPr>
          <w:w w:val="80"/>
        </w:rPr>
        <w:t>%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ranking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parentheses</w:t>
      </w:r>
      <w:r>
        <w:rPr>
          <w:spacing w:val="12"/>
          <w:w w:val="80"/>
        </w:rPr>
        <w:t> </w:t>
      </w:r>
      <w:r>
        <w:rPr>
          <w:w w:val="80"/>
        </w:rPr>
        <w:t>(out</w:t>
      </w:r>
      <w:r>
        <w:rPr>
          <w:spacing w:val="15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29</w:t>
      </w:r>
      <w:r>
        <w:rPr>
          <w:spacing w:val="9"/>
          <w:w w:val="80"/>
        </w:rPr>
        <w:t> </w:t>
      </w:r>
      <w:r>
        <w:rPr>
          <w:w w:val="80"/>
        </w:rPr>
        <w:t>European</w:t>
      </w:r>
      <w:r>
        <w:rPr>
          <w:spacing w:val="10"/>
          <w:w w:val="80"/>
        </w:rPr>
        <w:t> </w:t>
      </w:r>
      <w:r>
        <w:rPr>
          <w:w w:val="80"/>
        </w:rPr>
        <w:t>higher</w:t>
      </w:r>
      <w:r>
        <w:rPr>
          <w:spacing w:val="11"/>
          <w:w w:val="80"/>
        </w:rPr>
        <w:t> </w:t>
      </w:r>
      <w:r>
        <w:rPr>
          <w:w w:val="80"/>
        </w:rPr>
        <w:t>education</w:t>
      </w:r>
      <w:r>
        <w:rPr>
          <w:spacing w:val="9"/>
          <w:w w:val="80"/>
        </w:rPr>
        <w:t> </w:t>
      </w:r>
      <w:r>
        <w:rPr>
          <w:w w:val="80"/>
        </w:rPr>
        <w:t>systems)</w:t>
      </w:r>
    </w:p>
    <w:p>
      <w:pPr>
        <w:pStyle w:val="BodyText"/>
        <w:spacing w:before="3"/>
        <w:rPr>
          <w:rFonts w:ascii="Microsoft Sans Serif"/>
          <w:sz w:val="16"/>
        </w:rPr>
      </w:pPr>
    </w:p>
    <w:tbl>
      <w:tblPr>
        <w:tblW w:w="0" w:type="auto"/>
        <w:jc w:val="left"/>
        <w:tblInd w:w="167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1"/>
        <w:gridCol w:w="1344"/>
        <w:gridCol w:w="720"/>
        <w:gridCol w:w="812"/>
        <w:gridCol w:w="1282"/>
      </w:tblGrid>
      <w:tr>
        <w:trPr>
          <w:trHeight w:val="241" w:hRule="atLeast"/>
        </w:trPr>
        <w:tc>
          <w:tcPr>
            <w:tcW w:w="5151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4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right="12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United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Kingdom</w:t>
            </w:r>
          </w:p>
        </w:tc>
        <w:tc>
          <w:tcPr>
            <w:tcW w:w="72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Finland</w:t>
            </w:r>
          </w:p>
        </w:tc>
        <w:tc>
          <w:tcPr>
            <w:tcW w:w="812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right="11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Portugal</w:t>
            </w:r>
          </w:p>
        </w:tc>
        <w:tc>
          <w:tcPr>
            <w:tcW w:w="1282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2"/>
              <w:ind w:right="9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Slovak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Republic</w:t>
            </w:r>
          </w:p>
        </w:tc>
      </w:tr>
      <w:tr>
        <w:trPr>
          <w:trHeight w:val="220" w:hRule="atLeast"/>
        </w:trPr>
        <w:tc>
          <w:tcPr>
            <w:tcW w:w="5151" w:type="dxa"/>
            <w:tcBorders>
              <w:top w:val="single" w:sz="6" w:space="0" w:color="4E81BD"/>
              <w:left w:val="nil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13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Organisational</w:t>
            </w:r>
            <w:r>
              <w:rPr>
                <w:rFonts w:ascii="Arial"/>
                <w:b/>
                <w:spacing w:val="12"/>
                <w:w w:val="80"/>
                <w:sz w:val="17"/>
              </w:rPr>
              <w:t> </w:t>
            </w:r>
            <w:r>
              <w:rPr>
                <w:rFonts w:ascii="Arial"/>
                <w:b/>
                <w:w w:val="80"/>
                <w:sz w:val="17"/>
              </w:rPr>
              <w:t>autonomy</w:t>
            </w:r>
          </w:p>
        </w:tc>
        <w:tc>
          <w:tcPr>
            <w:tcW w:w="1344" w:type="dxa"/>
            <w:tcBorders>
              <w:top w:val="single" w:sz="6" w:space="0" w:color="4E81BD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100%</w:t>
            </w:r>
          </w:p>
        </w:tc>
        <w:tc>
          <w:tcPr>
            <w:tcW w:w="720" w:type="dxa"/>
            <w:tcBorders>
              <w:top w:val="single" w:sz="6" w:space="0" w:color="4E81BD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93%</w:t>
            </w:r>
          </w:p>
        </w:tc>
        <w:tc>
          <w:tcPr>
            <w:tcW w:w="812" w:type="dxa"/>
            <w:tcBorders>
              <w:top w:val="single" w:sz="6" w:space="0" w:color="4E81BD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80%</w:t>
            </w:r>
          </w:p>
        </w:tc>
        <w:tc>
          <w:tcPr>
            <w:tcW w:w="1282" w:type="dxa"/>
            <w:tcBorders>
              <w:top w:val="single" w:sz="6" w:space="0" w:color="4E81BD"/>
              <w:left w:val="single" w:sz="6" w:space="0" w:color="D2D2D2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right="9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42%</w:t>
            </w:r>
          </w:p>
        </w:tc>
      </w:tr>
      <w:tr>
        <w:trPr>
          <w:trHeight w:val="830" w:hRule="atLeast"/>
        </w:trPr>
        <w:tc>
          <w:tcPr>
            <w:tcW w:w="5151" w:type="dxa"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 w:before="14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Selection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procedure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executive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head;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selection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criteria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executive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head;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dismissal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executive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head;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term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office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executive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head;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inclusion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external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governing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bodies;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capacity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</w:p>
          <w:p>
            <w:pPr>
              <w:pStyle w:val="TableParagraph"/>
              <w:spacing w:before="2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decide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structures;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capacity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create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legal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entities.</w:t>
            </w:r>
          </w:p>
        </w:tc>
        <w:tc>
          <w:tcPr>
            <w:tcW w:w="1344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(1)</w:t>
            </w:r>
          </w:p>
        </w:tc>
        <w:tc>
          <w:tcPr>
            <w:tcW w:w="720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(3)</w:t>
            </w:r>
          </w:p>
        </w:tc>
        <w:tc>
          <w:tcPr>
            <w:tcW w:w="812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(7)</w:t>
            </w:r>
          </w:p>
        </w:tc>
        <w:tc>
          <w:tcPr>
            <w:tcW w:w="1282" w:type="dxa"/>
            <w:tcBorders>
              <w:top w:val="nil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6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(28)</w:t>
            </w:r>
          </w:p>
        </w:tc>
      </w:tr>
      <w:tr>
        <w:trPr>
          <w:trHeight w:val="220" w:hRule="atLeast"/>
        </w:trPr>
        <w:tc>
          <w:tcPr>
            <w:tcW w:w="5151" w:type="dxa"/>
            <w:tcBorders>
              <w:top w:val="single" w:sz="6" w:space="0" w:color="D2D2D2"/>
              <w:left w:val="nil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13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Financial</w:t>
            </w:r>
            <w:r>
              <w:rPr>
                <w:rFonts w:ascii="Arial"/>
                <w:b/>
                <w:spacing w:val="9"/>
                <w:w w:val="80"/>
                <w:sz w:val="17"/>
              </w:rPr>
              <w:t> </w:t>
            </w:r>
            <w:r>
              <w:rPr>
                <w:rFonts w:ascii="Arial"/>
                <w:b/>
                <w:w w:val="80"/>
                <w:sz w:val="17"/>
              </w:rPr>
              <w:t>autonomy</w:t>
            </w:r>
          </w:p>
        </w:tc>
        <w:tc>
          <w:tcPr>
            <w:tcW w:w="1344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89%</w:t>
            </w:r>
          </w:p>
        </w:tc>
        <w:tc>
          <w:tcPr>
            <w:tcW w:w="720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67%</w:t>
            </w:r>
          </w:p>
        </w:tc>
        <w:tc>
          <w:tcPr>
            <w:tcW w:w="812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70%</w:t>
            </w:r>
          </w:p>
        </w:tc>
        <w:tc>
          <w:tcPr>
            <w:tcW w:w="1282" w:type="dxa"/>
            <w:tcBorders>
              <w:top w:val="single" w:sz="6" w:space="0" w:color="D2D2D2"/>
              <w:left w:val="single" w:sz="6" w:space="0" w:color="D2D2D2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right="9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70%</w:t>
            </w:r>
          </w:p>
        </w:tc>
      </w:tr>
      <w:tr>
        <w:trPr>
          <w:trHeight w:val="629" w:hRule="atLeast"/>
        </w:trPr>
        <w:tc>
          <w:tcPr>
            <w:tcW w:w="5151" w:type="dxa"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 w:before="14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Length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type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funding;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capacity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keep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surplus;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capacity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borrow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money;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own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buildings;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charge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tuition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fees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national/EU</w:t>
            </w:r>
          </w:p>
          <w:p>
            <w:pPr>
              <w:pStyle w:val="TableParagraph"/>
              <w:spacing w:before="0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students;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charge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tuition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fees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non-EU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students.</w:t>
            </w:r>
          </w:p>
        </w:tc>
        <w:tc>
          <w:tcPr>
            <w:tcW w:w="1344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(3)</w:t>
            </w:r>
          </w:p>
        </w:tc>
        <w:tc>
          <w:tcPr>
            <w:tcW w:w="720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(11)</w:t>
            </w:r>
          </w:p>
        </w:tc>
        <w:tc>
          <w:tcPr>
            <w:tcW w:w="812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(7)</w:t>
            </w:r>
          </w:p>
        </w:tc>
        <w:tc>
          <w:tcPr>
            <w:tcW w:w="1282" w:type="dxa"/>
            <w:tcBorders>
              <w:top w:val="nil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6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(7)</w:t>
            </w:r>
          </w:p>
        </w:tc>
      </w:tr>
      <w:tr>
        <w:trPr>
          <w:trHeight w:val="220" w:hRule="atLeast"/>
        </w:trPr>
        <w:tc>
          <w:tcPr>
            <w:tcW w:w="5151" w:type="dxa"/>
            <w:tcBorders>
              <w:top w:val="single" w:sz="6" w:space="0" w:color="D2D2D2"/>
              <w:left w:val="nil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13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Staffing</w:t>
            </w:r>
            <w:r>
              <w:rPr>
                <w:rFonts w:ascii="Arial"/>
                <w:b/>
                <w:spacing w:val="11"/>
                <w:w w:val="80"/>
                <w:sz w:val="17"/>
              </w:rPr>
              <w:t> </w:t>
            </w:r>
            <w:r>
              <w:rPr>
                <w:rFonts w:ascii="Arial"/>
                <w:b/>
                <w:w w:val="80"/>
                <w:sz w:val="17"/>
              </w:rPr>
              <w:t>autonomy</w:t>
            </w:r>
          </w:p>
        </w:tc>
        <w:tc>
          <w:tcPr>
            <w:tcW w:w="1344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96%</w:t>
            </w:r>
          </w:p>
        </w:tc>
        <w:tc>
          <w:tcPr>
            <w:tcW w:w="720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92%</w:t>
            </w:r>
          </w:p>
        </w:tc>
        <w:tc>
          <w:tcPr>
            <w:tcW w:w="812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62%</w:t>
            </w:r>
          </w:p>
        </w:tc>
        <w:tc>
          <w:tcPr>
            <w:tcW w:w="1282" w:type="dxa"/>
            <w:tcBorders>
              <w:top w:val="single" w:sz="6" w:space="0" w:color="D2D2D2"/>
              <w:left w:val="single" w:sz="6" w:space="0" w:color="D2D2D2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right="9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61%</w:t>
            </w:r>
          </w:p>
        </w:tc>
      </w:tr>
      <w:tr>
        <w:trPr>
          <w:trHeight w:val="1029" w:hRule="atLeast"/>
        </w:trPr>
        <w:tc>
          <w:tcPr>
            <w:tcW w:w="5151" w:type="dxa"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 w:before="14"/>
              <w:ind w:left="136" w:right="9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recruitment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procedures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(senior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academic/senior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staff);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salaries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(senior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academic/senior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staff);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dismissals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(senior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academic/senior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staff);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promotions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(senior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academic/senior</w:t>
            </w:r>
          </w:p>
          <w:p>
            <w:pPr>
              <w:pStyle w:val="TableParagraph"/>
              <w:spacing w:line="192" w:lineRule="exact" w:before="3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staff).</w:t>
            </w:r>
          </w:p>
        </w:tc>
        <w:tc>
          <w:tcPr>
            <w:tcW w:w="1344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(3)</w:t>
            </w:r>
          </w:p>
        </w:tc>
        <w:tc>
          <w:tcPr>
            <w:tcW w:w="720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(6)</w:t>
            </w:r>
          </w:p>
        </w:tc>
        <w:tc>
          <w:tcPr>
            <w:tcW w:w="812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(18)</w:t>
            </w:r>
          </w:p>
        </w:tc>
        <w:tc>
          <w:tcPr>
            <w:tcW w:w="1282" w:type="dxa"/>
            <w:tcBorders>
              <w:top w:val="nil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6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(19)</w:t>
            </w:r>
          </w:p>
        </w:tc>
      </w:tr>
      <w:tr>
        <w:trPr>
          <w:trHeight w:val="220" w:hRule="atLeast"/>
        </w:trPr>
        <w:tc>
          <w:tcPr>
            <w:tcW w:w="5151" w:type="dxa"/>
            <w:tcBorders>
              <w:top w:val="single" w:sz="6" w:space="0" w:color="D2D2D2"/>
              <w:left w:val="nil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7" w:lineRule="exact" w:before="13"/>
              <w:ind w:left="1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Academic</w:t>
            </w:r>
            <w:r>
              <w:rPr>
                <w:rFonts w:ascii="Arial"/>
                <w:b/>
                <w:spacing w:val="11"/>
                <w:w w:val="80"/>
                <w:sz w:val="17"/>
              </w:rPr>
              <w:t> </w:t>
            </w:r>
            <w:r>
              <w:rPr>
                <w:rFonts w:ascii="Arial"/>
                <w:b/>
                <w:w w:val="80"/>
                <w:sz w:val="17"/>
              </w:rPr>
              <w:t>autonomy</w:t>
            </w:r>
          </w:p>
        </w:tc>
        <w:tc>
          <w:tcPr>
            <w:tcW w:w="1344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89%</w:t>
            </w:r>
          </w:p>
        </w:tc>
        <w:tc>
          <w:tcPr>
            <w:tcW w:w="720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90%</w:t>
            </w:r>
          </w:p>
        </w:tc>
        <w:tc>
          <w:tcPr>
            <w:tcW w:w="812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>
            <w:pPr>
              <w:pStyle w:val="TableParagraph"/>
              <w:spacing w:line="184" w:lineRule="exact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54%</w:t>
            </w:r>
          </w:p>
        </w:tc>
        <w:tc>
          <w:tcPr>
            <w:tcW w:w="1282" w:type="dxa"/>
            <w:tcBorders>
              <w:top w:val="single" w:sz="6" w:space="0" w:color="D2D2D2"/>
              <w:left w:val="single" w:sz="6" w:space="0" w:color="D2D2D2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right="9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56%</w:t>
            </w:r>
          </w:p>
        </w:tc>
      </w:tr>
      <w:tr>
        <w:trPr>
          <w:trHeight w:val="830" w:hRule="atLeast"/>
        </w:trPr>
        <w:tc>
          <w:tcPr>
            <w:tcW w:w="5151" w:type="dxa"/>
            <w:tcBorders>
              <w:top w:val="nil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49" w:lineRule="auto" w:before="14"/>
              <w:ind w:left="136" w:right="114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Capacity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decide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on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overall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student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numbers;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ability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select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students’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ability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 introduce programmes; ability to terminate programmes; ability to choose the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language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instruction;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capacity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to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select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quality</w:t>
            </w:r>
            <w:r>
              <w:rPr>
                <w:rFonts w:ascii="Microsoft Sans Serif" w:hAns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assurance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(QA)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mechanisms</w:t>
            </w:r>
          </w:p>
          <w:p>
            <w:pPr>
              <w:pStyle w:val="TableParagraph"/>
              <w:spacing w:before="2"/>
              <w:ind w:left="136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providers;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ability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design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content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degree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programmes.</w:t>
            </w:r>
          </w:p>
        </w:tc>
        <w:tc>
          <w:tcPr>
            <w:tcW w:w="1344" w:type="dxa"/>
            <w:tcBorders>
              <w:top w:val="nil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(3)</w:t>
            </w:r>
          </w:p>
        </w:tc>
        <w:tc>
          <w:tcPr>
            <w:tcW w:w="720" w:type="dxa"/>
            <w:tcBorders>
              <w:top w:val="nil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(2)</w:t>
            </w:r>
          </w:p>
        </w:tc>
        <w:tc>
          <w:tcPr>
            <w:tcW w:w="812" w:type="dxa"/>
            <w:tcBorders>
              <w:top w:val="nil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(20)</w:t>
            </w:r>
          </w:p>
        </w:tc>
        <w:tc>
          <w:tcPr>
            <w:tcW w:w="1282" w:type="dxa"/>
            <w:tcBorders>
              <w:top w:val="nil"/>
              <w:left w:val="single" w:sz="6" w:space="0" w:color="D2D2D2"/>
              <w:right w:val="nil"/>
            </w:tcBorders>
          </w:tcPr>
          <w:p>
            <w:pPr>
              <w:pStyle w:val="TableParagraph"/>
              <w:spacing w:before="16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(18)</w:t>
            </w:r>
          </w:p>
        </w:tc>
      </w:tr>
    </w:tbl>
    <w:p>
      <w:pPr>
        <w:spacing w:after="0"/>
        <w:jc w:val="right"/>
        <w:rPr>
          <w:rFonts w:ascii="Microsoft Sans Serif"/>
          <w:sz w:val="17"/>
        </w:rPr>
        <w:sectPr>
          <w:pgSz w:w="11910" w:h="15880"/>
          <w:pgMar w:header="734" w:footer="731" w:top="1140" w:bottom="920" w:left="1120" w:right="1000"/>
        </w:sectPr>
      </w:pPr>
    </w:p>
    <w:p>
      <w:pPr>
        <w:spacing w:line="259" w:lineRule="auto" w:before="174"/>
        <w:ind w:left="183" w:right="303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Note: The European University Association (EUA) Autonomy Scorecard offers a methodology to collect, compare and weight data on university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5"/>
          <w:sz w:val="18"/>
        </w:rPr>
        <w:t>autonomy. Ranking on a range of autonomy indicators are compiled based on questionnaires and interviews with HEIs and validation with</w:t>
      </w:r>
      <w:r>
        <w:rPr>
          <w:rFonts w:ascii="Microsoft Sans Serif" w:hAnsi="Microsoft Sans Serif"/>
          <w:spacing w:val="-38"/>
          <w:w w:val="85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national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rectors’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conferences.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score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of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100%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indicates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full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institutional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autonomy;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</w:t>
      </w:r>
      <w:r>
        <w:rPr>
          <w:rFonts w:ascii="Microsoft Sans Serif" w:hAnsi="Microsoft Sans Serif"/>
          <w:spacing w:val="14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score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of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0%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means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that</w:t>
      </w:r>
      <w:r>
        <w:rPr>
          <w:rFonts w:ascii="Microsoft Sans Serif" w:hAnsi="Microsoft Sans Serif"/>
          <w:spacing w:val="1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issue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is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entirely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regulated</w:t>
      </w:r>
      <w:r>
        <w:rPr>
          <w:rFonts w:ascii="Microsoft Sans Serif" w:hAnsi="Microsoft Sans Serif"/>
          <w:spacing w:val="1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by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an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external</w:t>
      </w:r>
      <w:r>
        <w:rPr>
          <w:rFonts w:ascii="Microsoft Sans Serif" w:hAnsi="Microsoft Sans Serif"/>
          <w:spacing w:val="-3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authority.</w:t>
      </w:r>
    </w:p>
    <w:p>
      <w:pPr>
        <w:spacing w:line="259" w:lineRule="auto" w:before="0"/>
        <w:ind w:left="183" w:right="303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90"/>
          <w:position w:val="1"/>
          <w:sz w:val="18"/>
        </w:rPr>
        <w:t>Source: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Pruvot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and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Estermann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(2017</w:t>
      </w:r>
      <w:r>
        <w:rPr>
          <w:rFonts w:ascii="Microsoft Sans Serif"/>
          <w:w w:val="90"/>
          <w:sz w:val="12"/>
        </w:rPr>
        <w:t>[62]</w:t>
      </w:r>
      <w:r>
        <w:rPr>
          <w:rFonts w:ascii="Microsoft Sans Serif"/>
          <w:w w:val="90"/>
          <w:position w:val="1"/>
          <w:sz w:val="18"/>
        </w:rPr>
        <w:t>),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University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Autonomy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in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Europe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III: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The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Scorecard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2017</w:t>
      </w:r>
      <w:r>
        <w:rPr>
          <w:rFonts w:ascii="Microsoft Sans Serif"/>
          <w:w w:val="90"/>
          <w:position w:val="1"/>
          <w:sz w:val="18"/>
        </w:rPr>
        <w:t>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hyperlink r:id="rId151">
        <w:r>
          <w:rPr>
            <w:rFonts w:ascii="Microsoft Sans Serif"/>
            <w:color w:val="0000FF"/>
            <w:w w:val="85"/>
            <w:sz w:val="18"/>
            <w:u w:val="single" w:color="0000FF"/>
          </w:rPr>
          <w:t>https://www.eua.eu/downloads/publications/university%20autonomy%20in%20europe%20iii%20the%20scorecard%202017.pd</w:t>
        </w:r>
        <w:r>
          <w:rPr>
            <w:rFonts w:ascii="Microsoft Sans Serif"/>
            <w:color w:val="0000FF"/>
            <w:w w:val="85"/>
            <w:sz w:val="18"/>
          </w:rPr>
          <w:t>f</w:t>
        </w:r>
        <w:r>
          <w:rPr>
            <w:rFonts w:ascii="Microsoft Sans Serif"/>
            <w:w w:val="85"/>
            <w:sz w:val="18"/>
          </w:rPr>
          <w:t>.</w:t>
        </w:r>
      </w:hyperlink>
    </w:p>
    <w:p>
      <w:pPr>
        <w:pStyle w:val="BodyText"/>
        <w:spacing w:before="10"/>
        <w:rPr>
          <w:rFonts w:ascii="Microsoft Sans Serif"/>
          <w:sz w:val="24"/>
        </w:rPr>
      </w:pPr>
    </w:p>
    <w:p>
      <w:pPr>
        <w:pStyle w:val="BodyText"/>
        <w:spacing w:line="271" w:lineRule="auto" w:before="93"/>
        <w:ind w:left="183" w:right="303"/>
        <w:jc w:val="both"/>
      </w:pPr>
      <w:r>
        <w:rPr/>
        <w:t>The institutional governance of Slovak HEIs, illustrated in </w:t>
      </w:r>
      <w:hyperlink w:history="true" w:anchor="_bookmark51">
        <w:r>
          <w:rPr/>
          <w:t>Figure 3.4. ,</w:t>
        </w:r>
      </w:hyperlink>
      <w:r>
        <w:rPr/>
        <w:t> is characterised by three main</w:t>
      </w:r>
      <w:r>
        <w:rPr>
          <w:spacing w:val="1"/>
        </w:rPr>
        <w:t> </w:t>
      </w:r>
      <w:r>
        <w:rPr/>
        <w:t>features: (i) a two-level governance structure with an important role of faculties; (ii) the large role of</w:t>
      </w:r>
      <w:r>
        <w:rPr>
          <w:spacing w:val="1"/>
        </w:rPr>
        <w:t> </w:t>
      </w:r>
      <w:r>
        <w:rPr/>
        <w:t>academic bodies (academic senates and scientific/art councils), and within them, of academic staff, in</w:t>
      </w:r>
      <w:r>
        <w:rPr>
          <w:spacing w:val="1"/>
        </w:rPr>
        <w:t> </w:t>
      </w:r>
      <w:r>
        <w:rPr/>
        <w:t>institutional management; and (iii) complex lines of accountability of the rector and dean. In addition, new</w:t>
      </w:r>
      <w:r>
        <w:rPr>
          <w:spacing w:val="-53"/>
        </w:rPr>
        <w:t> </w:t>
      </w:r>
      <w:r>
        <w:rPr>
          <w:spacing w:val="-1"/>
        </w:rPr>
        <w:t>internal</w:t>
      </w:r>
      <w:r>
        <w:rPr>
          <w:spacing w:val="-12"/>
        </w:rPr>
        <w:t> </w:t>
      </w:r>
      <w:r>
        <w:rPr>
          <w:spacing w:val="-1"/>
        </w:rPr>
        <w:t>quality</w:t>
      </w:r>
      <w:r>
        <w:rPr>
          <w:spacing w:val="-13"/>
        </w:rPr>
        <w:t> </w:t>
      </w:r>
      <w:r>
        <w:rPr>
          <w:spacing w:val="-1"/>
        </w:rPr>
        <w:t>assurance</w:t>
      </w:r>
      <w:r>
        <w:rPr>
          <w:spacing w:val="-11"/>
        </w:rPr>
        <w:t> </w:t>
      </w:r>
      <w:r>
        <w:rPr>
          <w:spacing w:val="-1"/>
        </w:rPr>
        <w:t>bodies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0"/>
        </w:rPr>
        <w:t> </w:t>
      </w:r>
      <w:r>
        <w:rPr>
          <w:spacing w:val="-1"/>
        </w:rPr>
        <w:t>currently</w:t>
      </w:r>
      <w:r>
        <w:rPr>
          <w:spacing w:val="-13"/>
        </w:rPr>
        <w:t> </w:t>
      </w:r>
      <w:r>
        <w:rPr>
          <w:spacing w:val="-1"/>
        </w:rPr>
        <w:t>being</w:t>
      </w:r>
      <w:r>
        <w:rPr>
          <w:spacing w:val="-10"/>
        </w:rPr>
        <w:t> </w:t>
      </w:r>
      <w:r>
        <w:rPr>
          <w:spacing w:val="-1"/>
        </w:rPr>
        <w:t>implemented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Slovak</w:t>
      </w:r>
      <w:r>
        <w:rPr>
          <w:spacing w:val="-10"/>
        </w:rPr>
        <w:t> </w:t>
      </w:r>
      <w:r>
        <w:rPr/>
        <w:t>HEIs</w:t>
      </w:r>
      <w:r>
        <w:rPr>
          <w:spacing w:val="-9"/>
        </w:rPr>
        <w:t> </w:t>
      </w:r>
      <w:r>
        <w:rPr/>
        <w:t>in</w:t>
      </w:r>
      <w:r>
        <w:rPr>
          <w:spacing w:val="-13"/>
        </w:rPr>
        <w:t> </w:t>
      </w:r>
      <w:r>
        <w:rPr/>
        <w:t>response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-2"/>
        </w:rPr>
        <w:t> </w:t>
      </w:r>
      <w:r>
        <w:rPr/>
        <w:t>reform.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features</w:t>
      </w:r>
      <w:r>
        <w:rPr>
          <w:spacing w:val="3"/>
        </w:rPr>
        <w:t> </w:t>
      </w:r>
      <w:r>
        <w:rPr/>
        <w:t>are discussed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sections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follow.</w:t>
      </w:r>
    </w:p>
    <w:p>
      <w:pPr>
        <w:pStyle w:val="BodyText"/>
        <w:rPr>
          <w:sz w:val="29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51" w:id="148"/>
      <w:bookmarkEnd w:id="148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3.4.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Governing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bodies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Slovak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institutions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976590</wp:posOffset>
            </wp:positionH>
            <wp:positionV relativeFrom="paragraph">
              <wp:posOffset>104220</wp:posOffset>
            </wp:positionV>
            <wp:extent cx="5460230" cy="2200275"/>
            <wp:effectExtent l="0" t="0" r="0" b="0"/>
            <wp:wrapTopAndBottom/>
            <wp:docPr id="2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2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spacing w:before="0"/>
        <w:ind w:left="183" w:right="0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figure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does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not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include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quality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assurance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bodies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established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by</w:t>
      </w:r>
      <w:r>
        <w:rPr>
          <w:rFonts w:ascii="Microsoft Sans Serif"/>
          <w:spacing w:val="12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HEIs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result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ongoing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quality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assurance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reform.</w:t>
      </w:r>
    </w:p>
    <w:p>
      <w:pPr>
        <w:spacing w:line="256" w:lineRule="auto" w:before="11"/>
        <w:ind w:left="183" w:right="307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Source: National Council of the Slovak Republic (2002</w:t>
      </w:r>
      <w:r>
        <w:rPr>
          <w:rFonts w:ascii="Microsoft Sans Serif" w:hAnsi="Microsoft Sans Serif"/>
          <w:w w:val="80"/>
          <w:sz w:val="12"/>
        </w:rPr>
        <w:t>[63]</w:t>
      </w:r>
      <w:r>
        <w:rPr>
          <w:rFonts w:ascii="Microsoft Sans Serif" w:hAnsi="Microsoft Sans Serif"/>
          <w:w w:val="80"/>
          <w:position w:val="1"/>
          <w:sz w:val="18"/>
        </w:rPr>
        <w:t>), </w:t>
      </w:r>
      <w:r>
        <w:rPr>
          <w:rFonts w:ascii="Arial" w:hAnsi="Arial"/>
          <w:i/>
          <w:w w:val="80"/>
          <w:position w:val="1"/>
          <w:sz w:val="18"/>
        </w:rPr>
        <w:t>Zákon č. 131/2002 Z.z. o vysokých školách a zmene a doplnení niektorých zákonov</w:t>
      </w:r>
      <w:r>
        <w:rPr>
          <w:rFonts w:ascii="Arial" w:hAnsi="Arial"/>
          <w:i/>
          <w:spacing w:val="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sz w:val="18"/>
        </w:rPr>
        <w:t>[Act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No.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131/2002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on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higher</w:t>
      </w:r>
      <w:r>
        <w:rPr>
          <w:rFonts w:ascii="Arial" w:hAnsi="Arial"/>
          <w:i/>
          <w:spacing w:val="5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education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and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on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the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change</w:t>
      </w:r>
      <w:r>
        <w:rPr>
          <w:rFonts w:ascii="Arial" w:hAnsi="Arial"/>
          <w:i/>
          <w:spacing w:val="5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and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supplement</w:t>
      </w:r>
      <w:r>
        <w:rPr>
          <w:rFonts w:ascii="Arial" w:hAnsi="Arial"/>
          <w:i/>
          <w:spacing w:val="8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to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some</w:t>
      </w:r>
      <w:r>
        <w:rPr>
          <w:rFonts w:ascii="Arial" w:hAnsi="Arial"/>
          <w:i/>
          <w:spacing w:val="6"/>
          <w:w w:val="80"/>
          <w:sz w:val="18"/>
        </w:rPr>
        <w:t> </w:t>
      </w:r>
      <w:r>
        <w:rPr>
          <w:rFonts w:ascii="Arial" w:hAnsi="Arial"/>
          <w:i/>
          <w:w w:val="80"/>
          <w:sz w:val="18"/>
        </w:rPr>
        <w:t>acts]</w:t>
      </w:r>
      <w:r>
        <w:rPr>
          <w:rFonts w:ascii="Microsoft Sans Serif" w:hAnsi="Microsoft Sans Serif"/>
          <w:w w:val="80"/>
          <w:sz w:val="18"/>
        </w:rPr>
        <w:t>,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hyperlink r:id="rId153">
        <w:r>
          <w:rPr>
            <w:rFonts w:ascii="Microsoft Sans Serif" w:hAnsi="Microsoft Sans Serif"/>
            <w:color w:val="0000FF"/>
            <w:w w:val="80"/>
            <w:sz w:val="18"/>
            <w:u w:val="single" w:color="0000FF"/>
          </w:rPr>
          <w:t>https://www.zakonypreludi.sk/zz/2002-131</w:t>
        </w:r>
        <w:r>
          <w:rPr>
            <w:rFonts w:ascii="Microsoft Sans Serif" w:hAnsi="Microsoft Sans Serif"/>
            <w:w w:val="80"/>
            <w:sz w:val="18"/>
          </w:rPr>
          <w:t>.</w:t>
        </w:r>
      </w:hyperlink>
    </w:p>
    <w:p>
      <w:pPr>
        <w:pStyle w:val="BodyText"/>
        <w:spacing w:before="4"/>
        <w:rPr>
          <w:rFonts w:ascii="Microsoft Sans Serif"/>
          <w:sz w:val="24"/>
        </w:rPr>
      </w:pPr>
    </w:p>
    <w:p>
      <w:pPr>
        <w:pStyle w:val="Heading7"/>
        <w:spacing w:before="94"/>
      </w:pPr>
      <w:bookmarkStart w:name="Two-level governance with an important r" w:id="149"/>
      <w:bookmarkEnd w:id="149"/>
      <w:r>
        <w:rPr>
          <w:i w:val="0"/>
        </w:rPr>
      </w:r>
      <w:r>
        <w:rPr>
          <w:color w:val="616161"/>
        </w:rPr>
        <w:t>Two-level</w:t>
      </w:r>
      <w:r>
        <w:rPr>
          <w:color w:val="616161"/>
          <w:spacing w:val="-4"/>
        </w:rPr>
        <w:t> </w:t>
      </w:r>
      <w:r>
        <w:rPr>
          <w:color w:val="616161"/>
        </w:rPr>
        <w:t>governance</w:t>
      </w:r>
      <w:r>
        <w:rPr>
          <w:color w:val="616161"/>
          <w:spacing w:val="-8"/>
        </w:rPr>
        <w:t> </w:t>
      </w:r>
      <w:r>
        <w:rPr>
          <w:color w:val="616161"/>
        </w:rPr>
        <w:t>with</w:t>
      </w:r>
      <w:r>
        <w:rPr>
          <w:color w:val="616161"/>
          <w:spacing w:val="-3"/>
        </w:rPr>
        <w:t> </w:t>
      </w:r>
      <w:r>
        <w:rPr>
          <w:color w:val="616161"/>
        </w:rPr>
        <w:t>an</w:t>
      </w:r>
      <w:r>
        <w:rPr>
          <w:color w:val="616161"/>
          <w:spacing w:val="-5"/>
        </w:rPr>
        <w:t> </w:t>
      </w:r>
      <w:r>
        <w:rPr>
          <w:color w:val="616161"/>
        </w:rPr>
        <w:t>important</w:t>
      </w:r>
      <w:r>
        <w:rPr>
          <w:color w:val="616161"/>
          <w:spacing w:val="-4"/>
        </w:rPr>
        <w:t> </w:t>
      </w:r>
      <w:r>
        <w:rPr>
          <w:color w:val="616161"/>
        </w:rPr>
        <w:t>role</w:t>
      </w:r>
      <w:r>
        <w:rPr>
          <w:color w:val="616161"/>
          <w:spacing w:val="-3"/>
        </w:rPr>
        <w:t> </w:t>
      </w:r>
      <w:r>
        <w:rPr>
          <w:color w:val="616161"/>
        </w:rPr>
        <w:t>of</w:t>
      </w:r>
      <w:r>
        <w:rPr>
          <w:color w:val="616161"/>
          <w:spacing w:val="-3"/>
        </w:rPr>
        <w:t> </w:t>
      </w:r>
      <w:r>
        <w:rPr>
          <w:color w:val="616161"/>
        </w:rPr>
        <w:t>faculties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0"/>
        <w:jc w:val="both"/>
      </w:pPr>
      <w:r>
        <w:rPr/>
        <w:t>The HE Act establishes the principle of two-level governance, according to which decision making is</w:t>
      </w:r>
      <w:r>
        <w:rPr>
          <w:spacing w:val="1"/>
        </w:rPr>
        <w:t> </w:t>
      </w:r>
      <w:r>
        <w:rPr>
          <w:spacing w:val="-1"/>
        </w:rPr>
        <w:t>divided</w:t>
      </w:r>
      <w:r>
        <w:rPr>
          <w:spacing w:val="-13"/>
        </w:rPr>
        <w:t> </w:t>
      </w:r>
      <w:r>
        <w:rPr>
          <w:spacing w:val="-1"/>
        </w:rPr>
        <w:t>between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institutional</w:t>
      </w:r>
      <w:r>
        <w:rPr>
          <w:spacing w:val="-11"/>
        </w:rPr>
        <w:t> </w:t>
      </w:r>
      <w:r>
        <w:rPr/>
        <w:t>–</w:t>
      </w:r>
      <w:r>
        <w:rPr>
          <w:spacing w:val="-3"/>
        </w:rPr>
        <w:t> </w:t>
      </w:r>
      <w:r>
        <w:rPr/>
        <w:t>also</w:t>
      </w:r>
      <w:r>
        <w:rPr>
          <w:spacing w:val="-13"/>
        </w:rPr>
        <w:t> </w:t>
      </w:r>
      <w:r>
        <w:rPr/>
        <w:t>referred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level</w:t>
      </w:r>
      <w:r>
        <w:rPr>
          <w:spacing w:val="1"/>
        </w:rPr>
        <w:t> </w:t>
      </w:r>
      <w:r>
        <w:rPr/>
        <w:t>–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faculties.</w:t>
      </w:r>
      <w:r>
        <w:rPr>
          <w:spacing w:val="-13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governing</w:t>
      </w:r>
      <w:r>
        <w:rPr>
          <w:spacing w:val="-13"/>
        </w:rPr>
        <w:t> </w:t>
      </w:r>
      <w:r>
        <w:rPr/>
        <w:t>bodies</w:t>
      </w:r>
      <w:r>
        <w:rPr>
          <w:spacing w:val="1"/>
        </w:rPr>
        <w:t> </w:t>
      </w:r>
      <w:r>
        <w:rPr/>
        <w:t>are established at the institutional level and at the faculty level, with the exception of the university-wide</w:t>
      </w:r>
      <w:r>
        <w:rPr>
          <w:spacing w:val="1"/>
        </w:rPr>
        <w:t> </w:t>
      </w:r>
      <w:r>
        <w:rPr/>
        <w:t>board of trustees. The governing bodies of faculties have broad powers in managing the activities of the</w:t>
      </w:r>
      <w:r>
        <w:rPr>
          <w:spacing w:val="1"/>
        </w:rPr>
        <w:t> </w:t>
      </w:r>
      <w:r>
        <w:rPr/>
        <w:t>given faculty. In addition to issues related to study programmes and human resources, they also decide</w:t>
      </w:r>
      <w:r>
        <w:rPr>
          <w:spacing w:val="1"/>
        </w:rPr>
        <w:t> </w:t>
      </w:r>
      <w:r>
        <w:rPr/>
        <w:t>on the management of the funds allocated to their faculty and take part in decisions regarding property</w:t>
      </w:r>
      <w:r>
        <w:rPr>
          <w:spacing w:val="1"/>
        </w:rPr>
        <w:t> </w:t>
      </w:r>
      <w:r>
        <w:rPr/>
        <w:t>(e.g.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property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faculty).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This dual structure creates a system where faculty-level interests are strongly represented. For example,</w:t>
      </w:r>
      <w:r>
        <w:rPr>
          <w:spacing w:val="1"/>
        </w:rPr>
        <w:t> </w:t>
      </w:r>
      <w:r>
        <w:rPr/>
        <w:t>the faculty dean, who is elected by the academic senate of the faculty and appointed by the rector, is</w:t>
      </w:r>
      <w:r>
        <w:rPr>
          <w:spacing w:val="1"/>
        </w:rPr>
        <w:t> </w:t>
      </w:r>
      <w:r>
        <w:rPr/>
        <w:t>accountable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his/her</w:t>
      </w:r>
      <w:r>
        <w:rPr>
          <w:spacing w:val="-8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rector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others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academic</w:t>
      </w:r>
      <w:r>
        <w:rPr>
          <w:spacing w:val="-8"/>
        </w:rPr>
        <w:t> </w:t>
      </w:r>
      <w:r>
        <w:rPr/>
        <w:t>senate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faculty.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structure</w:t>
      </w:r>
      <w:r>
        <w:rPr>
          <w:spacing w:val="-13"/>
        </w:rPr>
        <w:t> </w:t>
      </w:r>
      <w:r>
        <w:rPr>
          <w:spacing w:val="-1"/>
        </w:rPr>
        <w:t>also</w:t>
      </w:r>
      <w:r>
        <w:rPr>
          <w:spacing w:val="-12"/>
        </w:rPr>
        <w:t> </w:t>
      </w:r>
      <w:r>
        <w:rPr>
          <w:spacing w:val="-1"/>
        </w:rPr>
        <w:t>affects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dean’s</w:t>
      </w:r>
      <w:r>
        <w:rPr>
          <w:spacing w:val="-11"/>
        </w:rPr>
        <w:t> </w:t>
      </w:r>
      <w:r>
        <w:rPr>
          <w:spacing w:val="-1"/>
        </w:rPr>
        <w:t>dismissability: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general,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petition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dean’s</w:t>
      </w:r>
      <w:r>
        <w:rPr>
          <w:spacing w:val="-11"/>
        </w:rPr>
        <w:t> </w:t>
      </w:r>
      <w:r>
        <w:rPr/>
        <w:t>dismissal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by the academic senate of the faculty. While there is a possibility of the dean’s dismissal by the rector,</w:t>
      </w:r>
      <w:r>
        <w:rPr>
          <w:spacing w:val="1"/>
        </w:rPr>
        <w:t> </w:t>
      </w:r>
      <w:r>
        <w:rPr/>
        <w:t>such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proposal</w:t>
      </w:r>
      <w:r>
        <w:rPr>
          <w:spacing w:val="10"/>
        </w:rPr>
        <w:t> </w:t>
      </w:r>
      <w:r>
        <w:rPr/>
        <w:t>has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/>
        <w:t>approved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senate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faculty,</w:t>
      </w:r>
      <w:r>
        <w:rPr>
          <w:spacing w:val="10"/>
        </w:rPr>
        <w:t> </w:t>
      </w:r>
      <w:r>
        <w:rPr/>
        <w:t>or,</w:t>
      </w:r>
      <w:r>
        <w:rPr>
          <w:spacing w:val="14"/>
        </w:rPr>
        <w:t> </w:t>
      </w:r>
      <w:r>
        <w:rPr/>
        <w:t>if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latter</w:t>
      </w:r>
      <w:r>
        <w:rPr>
          <w:spacing w:val="14"/>
        </w:rPr>
        <w:t> </w:t>
      </w:r>
      <w:r>
        <w:rPr/>
        <w:t>does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agree,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0"/>
        <w:jc w:val="both"/>
      </w:pPr>
      <w:r>
        <w:rPr/>
        <w:t>senate of the HEI. This process appears rarely used in practice. The composition of the institution-wide</w:t>
      </w:r>
      <w:r>
        <w:rPr>
          <w:spacing w:val="1"/>
        </w:rPr>
        <w:t> </w:t>
      </w:r>
      <w:r>
        <w:rPr/>
        <w:t>academic senate, provides another example: this body is conceived of as representing faculty senates,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principle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faculty</w:t>
      </w:r>
      <w:r>
        <w:rPr>
          <w:spacing w:val="-5"/>
        </w:rPr>
        <w:t> </w:t>
      </w:r>
      <w:r>
        <w:rPr/>
        <w:t>should be</w:t>
      </w:r>
      <w:r>
        <w:rPr>
          <w:spacing w:val="-4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equal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members.</w:t>
      </w:r>
    </w:p>
    <w:p>
      <w:pPr>
        <w:pStyle w:val="BodyText"/>
        <w:spacing w:before="1"/>
      </w:pPr>
    </w:p>
    <w:p>
      <w:pPr>
        <w:pStyle w:val="Heading7"/>
      </w:pPr>
      <w:bookmarkStart w:name="Large role of academic bodies and academ" w:id="150"/>
      <w:bookmarkEnd w:id="150"/>
      <w:r>
        <w:rPr>
          <w:i w:val="0"/>
        </w:rPr>
      </w:r>
      <w:r>
        <w:rPr>
          <w:color w:val="616161"/>
        </w:rPr>
        <w:t>Large</w:t>
      </w:r>
      <w:r>
        <w:rPr>
          <w:color w:val="616161"/>
          <w:spacing w:val="-7"/>
        </w:rPr>
        <w:t> </w:t>
      </w:r>
      <w:r>
        <w:rPr>
          <w:color w:val="616161"/>
        </w:rPr>
        <w:t>role</w:t>
      </w:r>
      <w:r>
        <w:rPr>
          <w:color w:val="616161"/>
          <w:spacing w:val="-4"/>
        </w:rPr>
        <w:t> </w:t>
      </w:r>
      <w:r>
        <w:rPr>
          <w:color w:val="616161"/>
        </w:rPr>
        <w:t>of</w:t>
      </w:r>
      <w:r>
        <w:rPr>
          <w:color w:val="616161"/>
          <w:spacing w:val="-4"/>
        </w:rPr>
        <w:t> </w:t>
      </w:r>
      <w:r>
        <w:rPr>
          <w:color w:val="616161"/>
        </w:rPr>
        <w:t>academic</w:t>
      </w:r>
      <w:r>
        <w:rPr>
          <w:color w:val="616161"/>
          <w:spacing w:val="-4"/>
        </w:rPr>
        <w:t> </w:t>
      </w:r>
      <w:r>
        <w:rPr>
          <w:color w:val="616161"/>
        </w:rPr>
        <w:t>bodies</w:t>
      </w:r>
      <w:r>
        <w:rPr>
          <w:color w:val="616161"/>
          <w:spacing w:val="-4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academic</w:t>
      </w:r>
      <w:r>
        <w:rPr>
          <w:color w:val="616161"/>
          <w:spacing w:val="-3"/>
        </w:rPr>
        <w:t> </w:t>
      </w:r>
      <w:r>
        <w:rPr>
          <w:color w:val="616161"/>
        </w:rPr>
        <w:t>staff</w:t>
      </w:r>
      <w:r>
        <w:rPr>
          <w:color w:val="616161"/>
          <w:spacing w:val="-6"/>
        </w:rPr>
        <w:t> </w:t>
      </w:r>
      <w:r>
        <w:rPr>
          <w:color w:val="616161"/>
        </w:rPr>
        <w:t>in</w:t>
      </w:r>
      <w:r>
        <w:rPr>
          <w:color w:val="616161"/>
          <w:spacing w:val="-4"/>
        </w:rPr>
        <w:t> </w:t>
      </w:r>
      <w:r>
        <w:rPr>
          <w:color w:val="616161"/>
        </w:rPr>
        <w:t>institutional</w:t>
      </w:r>
      <w:r>
        <w:rPr>
          <w:color w:val="616161"/>
          <w:spacing w:val="-5"/>
        </w:rPr>
        <w:t> </w:t>
      </w:r>
      <w:r>
        <w:rPr>
          <w:color w:val="616161"/>
        </w:rPr>
        <w:t>management</w:t>
      </w:r>
    </w:p>
    <w:p>
      <w:pPr>
        <w:pStyle w:val="BodyText"/>
        <w:spacing w:line="271" w:lineRule="auto" w:before="214"/>
        <w:ind w:left="183" w:right="299"/>
        <w:jc w:val="both"/>
      </w:pPr>
      <w:r>
        <w:rPr/>
        <w:t>The law provides academic bodies – the academic senates and scientific/art councils – with relatively</w:t>
      </w:r>
      <w:r>
        <w:rPr>
          <w:spacing w:val="1"/>
        </w:rPr>
        <w:t> </w:t>
      </w:r>
      <w:r>
        <w:rPr/>
        <w:t>broad responsibilities in both academic and management matters. The academic senate at the university</w:t>
      </w:r>
      <w:r>
        <w:rPr>
          <w:spacing w:val="-53"/>
        </w:rPr>
        <w:t> </w:t>
      </w:r>
      <w:r>
        <w:rPr/>
        <w:t>level elects the rector, decides on the existence of individual faculties, on the long-term strategy and</w:t>
      </w:r>
      <w:r>
        <w:rPr>
          <w:spacing w:val="1"/>
        </w:rPr>
        <w:t> </w:t>
      </w:r>
      <w:r>
        <w:rPr/>
        <w:t>important internal regulations of the HEI, and approves the HEI’s budget and annual report. The faculty-</w:t>
      </w:r>
      <w:r>
        <w:rPr>
          <w:spacing w:val="1"/>
        </w:rPr>
        <w:t> </w:t>
      </w:r>
      <w:r>
        <w:rPr/>
        <w:t>level senate elects the dean and approves important faculty-level policies, including the conditions for</w:t>
      </w:r>
      <w:r>
        <w:rPr>
          <w:spacing w:val="1"/>
        </w:rPr>
        <w:t> </w:t>
      </w:r>
      <w:r>
        <w:rPr/>
        <w:t>admission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budgeting.</w:t>
      </w:r>
    </w:p>
    <w:p>
      <w:pPr>
        <w:pStyle w:val="BodyText"/>
        <w:spacing w:line="271" w:lineRule="auto" w:before="121"/>
        <w:ind w:left="183" w:right="300"/>
        <w:jc w:val="both"/>
      </w:pPr>
      <w:r>
        <w:rPr/>
        <w:t>The scientific/art council is another type of academic body. It decides on matters related to pedagogical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research</w:t>
      </w:r>
      <w:r>
        <w:rPr>
          <w:spacing w:val="-9"/>
        </w:rPr>
        <w:t> </w:t>
      </w:r>
      <w:r>
        <w:rPr>
          <w:spacing w:val="-1"/>
        </w:rPr>
        <w:t>activities,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notably</w:t>
      </w:r>
      <w:r>
        <w:rPr>
          <w:spacing w:val="-14"/>
        </w:rPr>
        <w:t> </w:t>
      </w:r>
      <w:r>
        <w:rPr>
          <w:spacing w:val="-1"/>
        </w:rPr>
        <w:t>include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approval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document</w:t>
      </w:r>
      <w:r>
        <w:rPr>
          <w:spacing w:val="-11"/>
        </w:rPr>
        <w:t> </w:t>
      </w:r>
      <w:r>
        <w:rPr/>
        <w:t>stipulating</w:t>
      </w:r>
      <w:r>
        <w:rPr>
          <w:spacing w:val="-8"/>
        </w:rPr>
        <w:t> </w:t>
      </w:r>
      <w:r>
        <w:rPr/>
        <w:t>what</w:t>
      </w:r>
      <w:r>
        <w:rPr>
          <w:spacing w:val="-9"/>
        </w:rPr>
        <w:t> </w:t>
      </w:r>
      <w:r>
        <w:rPr/>
        <w:t>HEI-level</w:t>
      </w:r>
      <w:r>
        <w:rPr>
          <w:spacing w:val="-9"/>
        </w:rPr>
        <w:t> </w:t>
      </w:r>
      <w:r>
        <w:rPr/>
        <w:t>body</w:t>
      </w:r>
      <w:r>
        <w:rPr>
          <w:spacing w:val="1"/>
        </w:rPr>
        <w:t> </w:t>
      </w:r>
      <w:r>
        <w:rPr/>
        <w:t>will decide on the creation and termination of study programmes (this can, but does not have to be, the</w:t>
      </w:r>
      <w:r>
        <w:rPr>
          <w:spacing w:val="1"/>
        </w:rPr>
        <w:t> </w:t>
      </w:r>
      <w:r>
        <w:rPr/>
        <w:t>scientific or art council itself). The scientific/art council also approves the determination of the criteria for</w:t>
      </w:r>
      <w:r>
        <w:rPr>
          <w:spacing w:val="1"/>
        </w:rPr>
        <w:t> </w:t>
      </w:r>
      <w:r>
        <w:rPr/>
        <w:t>the granting of academic titles, as well as the appointment of associate professors and professors.</w:t>
      </w:r>
      <w:r>
        <w:rPr>
          <w:spacing w:val="1"/>
        </w:rPr>
        <w:t> </w:t>
      </w:r>
      <w:r>
        <w:rPr/>
        <w:t>Additionally,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comments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strategic</w:t>
      </w:r>
      <w:r>
        <w:rPr>
          <w:spacing w:val="-2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adopted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senate.</w:t>
      </w:r>
    </w:p>
    <w:p>
      <w:pPr>
        <w:pStyle w:val="BodyText"/>
        <w:spacing w:line="271" w:lineRule="auto" w:before="122"/>
        <w:ind w:left="183" w:right="301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both</w:t>
      </w:r>
      <w:r>
        <w:rPr>
          <w:spacing w:val="-11"/>
        </w:rPr>
        <w:t> </w:t>
      </w:r>
      <w:r>
        <w:rPr>
          <w:spacing w:val="-1"/>
        </w:rPr>
        <w:t>academic</w:t>
      </w:r>
      <w:r>
        <w:rPr>
          <w:spacing w:val="-11"/>
        </w:rPr>
        <w:t> </w:t>
      </w:r>
      <w:r>
        <w:rPr>
          <w:spacing w:val="-1"/>
        </w:rPr>
        <w:t>senates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scientific/art</w:t>
      </w:r>
      <w:r>
        <w:rPr>
          <w:spacing w:val="-12"/>
        </w:rPr>
        <w:t> </w:t>
      </w:r>
      <w:r>
        <w:rPr>
          <w:spacing w:val="-1"/>
        </w:rPr>
        <w:t>councils,</w:t>
      </w:r>
      <w:r>
        <w:rPr>
          <w:spacing w:val="-13"/>
        </w:rPr>
        <w:t> </w:t>
      </w:r>
      <w:r>
        <w:rPr/>
        <w:t>academic</w:t>
      </w:r>
      <w:r>
        <w:rPr>
          <w:spacing w:val="-12"/>
        </w:rPr>
        <w:t> </w:t>
      </w:r>
      <w:r>
        <w:rPr/>
        <w:t>staff</w:t>
      </w:r>
      <w:r>
        <w:rPr>
          <w:spacing w:val="-10"/>
        </w:rPr>
        <w:t> </w:t>
      </w:r>
      <w:r>
        <w:rPr/>
        <w:t>play</w:t>
      </w:r>
      <w:r>
        <w:rPr>
          <w:spacing w:val="-16"/>
        </w:rPr>
        <w:t> </w:t>
      </w:r>
      <w:r>
        <w:rPr/>
        <w:t>a</w:t>
      </w:r>
      <w:r>
        <w:rPr>
          <w:spacing w:val="-11"/>
        </w:rPr>
        <w:t> </w:t>
      </w:r>
      <w:r>
        <w:rPr/>
        <w:t>particularly</w:t>
      </w:r>
      <w:r>
        <w:rPr>
          <w:spacing w:val="-13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role.</w:t>
      </w:r>
      <w:r>
        <w:rPr>
          <w:spacing w:val="-16"/>
        </w:rPr>
        <w:t> </w:t>
      </w:r>
      <w:r>
        <w:rPr/>
        <w:t>While</w:t>
      </w:r>
      <w:r>
        <w:rPr>
          <w:spacing w:val="1"/>
        </w:rPr>
        <w:t> </w:t>
      </w:r>
      <w:r>
        <w:rPr/>
        <w:t>academic senates represent both employees and students, the law specifies that the academic senate</w:t>
      </w:r>
      <w:r>
        <w:rPr>
          <w:spacing w:val="1"/>
        </w:rPr>
        <w:t> </w:t>
      </w:r>
      <w:r>
        <w:rPr/>
        <w:t>must have at least 15 members, of which at least one-third are students (the specific number of members</w:t>
      </w:r>
      <w:r>
        <w:rPr>
          <w:spacing w:val="-54"/>
        </w:rPr>
        <w:t> </w:t>
      </w:r>
      <w:r>
        <w:rPr/>
        <w:t>and the proportion of students is determined by the HEI’s internal regulations). The academic senate of</w:t>
      </w:r>
      <w:r>
        <w:rPr>
          <w:spacing w:val="1"/>
        </w:rPr>
        <w:t> </w:t>
      </w:r>
      <w:r>
        <w:rPr/>
        <w:t>faculties must have at least 11 members, of which at least one-third must consist of students of the given</w:t>
      </w:r>
      <w:r>
        <w:rPr>
          <w:spacing w:val="-53"/>
        </w:rPr>
        <w:t> </w:t>
      </w:r>
      <w:r>
        <w:rPr/>
        <w:t>faculty.</w:t>
      </w:r>
    </w:p>
    <w:p>
      <w:pPr>
        <w:pStyle w:val="BodyText"/>
        <w:spacing w:line="271" w:lineRule="auto" w:before="120"/>
        <w:ind w:left="183" w:right="306"/>
        <w:jc w:val="both"/>
      </w:pPr>
      <w:r>
        <w:rPr/>
        <w:t>Scientific/art councils are composed of experts in the fields in which the HEI carries out its teaching,</w:t>
      </w:r>
      <w:r>
        <w:rPr>
          <w:spacing w:val="1"/>
        </w:rPr>
        <w:t> </w:t>
      </w:r>
      <w:r>
        <w:rPr/>
        <w:t>research, development, artistic and other creative activities. No less than one-quarter and not more than</w:t>
      </w:r>
      <w:r>
        <w:rPr>
          <w:spacing w:val="1"/>
        </w:rPr>
        <w:t> </w:t>
      </w:r>
      <w:r>
        <w:rPr/>
        <w:t>one-third of its members are external, i.e. non-concurrently the members of the academic community of</w:t>
      </w:r>
      <w:r>
        <w:rPr>
          <w:spacing w:val="1"/>
        </w:rPr>
        <w:t> </w:t>
      </w:r>
      <w:r>
        <w:rPr/>
        <w:t>the particular HEI. Members of these councils are appointed by the rector (or the dean at faculty level),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approval by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senate.</w:t>
      </w:r>
    </w:p>
    <w:p>
      <w:pPr>
        <w:pStyle w:val="BodyText"/>
        <w:spacing w:before="3"/>
      </w:pPr>
    </w:p>
    <w:p>
      <w:pPr>
        <w:pStyle w:val="Heading7"/>
      </w:pPr>
      <w:bookmarkStart w:name="Complex lines of accountability of recto" w:id="151"/>
      <w:bookmarkEnd w:id="151"/>
      <w:r>
        <w:rPr>
          <w:i w:val="0"/>
        </w:rPr>
      </w:r>
      <w:r>
        <w:rPr>
          <w:color w:val="616161"/>
        </w:rPr>
        <w:t>Complex</w:t>
      </w:r>
      <w:r>
        <w:rPr>
          <w:color w:val="616161"/>
          <w:spacing w:val="-5"/>
        </w:rPr>
        <w:t> </w:t>
      </w:r>
      <w:r>
        <w:rPr>
          <w:color w:val="616161"/>
        </w:rPr>
        <w:t>lines</w:t>
      </w:r>
      <w:r>
        <w:rPr>
          <w:color w:val="616161"/>
          <w:spacing w:val="-3"/>
        </w:rPr>
        <w:t> </w:t>
      </w:r>
      <w:r>
        <w:rPr>
          <w:color w:val="616161"/>
        </w:rPr>
        <w:t>of</w:t>
      </w:r>
      <w:r>
        <w:rPr>
          <w:color w:val="616161"/>
          <w:spacing w:val="-5"/>
        </w:rPr>
        <w:t> </w:t>
      </w:r>
      <w:r>
        <w:rPr>
          <w:color w:val="616161"/>
        </w:rPr>
        <w:t>accountability</w:t>
      </w:r>
      <w:r>
        <w:rPr>
          <w:color w:val="616161"/>
          <w:spacing w:val="-3"/>
        </w:rPr>
        <w:t> </w:t>
      </w:r>
      <w:r>
        <w:rPr>
          <w:color w:val="616161"/>
        </w:rPr>
        <w:t>of</w:t>
      </w:r>
      <w:r>
        <w:rPr>
          <w:color w:val="616161"/>
          <w:spacing w:val="-5"/>
        </w:rPr>
        <w:t> </w:t>
      </w:r>
      <w:r>
        <w:rPr>
          <w:color w:val="616161"/>
        </w:rPr>
        <w:t>rectors</w:t>
      </w:r>
      <w:r>
        <w:rPr>
          <w:color w:val="616161"/>
          <w:spacing w:val="-3"/>
        </w:rPr>
        <w:t> </w:t>
      </w:r>
      <w:r>
        <w:rPr>
          <w:color w:val="616161"/>
        </w:rPr>
        <w:t>and</w:t>
      </w:r>
      <w:r>
        <w:rPr>
          <w:color w:val="616161"/>
          <w:spacing w:val="-7"/>
        </w:rPr>
        <w:t> </w:t>
      </w:r>
      <w:r>
        <w:rPr>
          <w:color w:val="616161"/>
        </w:rPr>
        <w:t>deans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1"/>
        <w:jc w:val="both"/>
      </w:pPr>
      <w:r>
        <w:rPr/>
        <w:t>The roles of the rector and dean are to oversee the day-to-day management of the institution and of the</w:t>
      </w:r>
      <w:r>
        <w:rPr>
          <w:spacing w:val="1"/>
        </w:rPr>
        <w:t> </w:t>
      </w:r>
      <w:r>
        <w:rPr/>
        <w:t>faculty, including the implementation of strategic directions and the use of funds. Rectors also represent</w:t>
      </w:r>
      <w:r>
        <w:rPr>
          <w:spacing w:val="1"/>
        </w:rPr>
        <w:t> </w:t>
      </w:r>
      <w:r>
        <w:rPr/>
        <w:t>the university externally. However, while rectors and deans develop budget proposals, academic senates</w:t>
      </w:r>
      <w:r>
        <w:rPr>
          <w:spacing w:val="-5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the approval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budget.</w:t>
      </w:r>
    </w:p>
    <w:p>
      <w:pPr>
        <w:pStyle w:val="BodyText"/>
        <w:spacing w:line="271" w:lineRule="auto" w:before="120"/>
        <w:ind w:left="183" w:right="303"/>
        <w:jc w:val="both"/>
      </w:pPr>
      <w:r>
        <w:rPr/>
        <w:t>The rector is elected by the academic senate of the university and is appointed by the president of the</w:t>
      </w:r>
      <w:r>
        <w:rPr>
          <w:spacing w:val="1"/>
        </w:rPr>
        <w:t> </w:t>
      </w:r>
      <w:r>
        <w:rPr/>
        <w:t>Slovak Republic. His or her primary accountability is to the academic senate, which is also the only board</w:t>
      </w:r>
      <w:r>
        <w:rPr>
          <w:spacing w:val="-53"/>
        </w:rPr>
        <w:t> </w:t>
      </w:r>
      <w:r>
        <w:rPr/>
        <w:t>that can propose his or her dismissal to the president. At the same time, the university’s management</w:t>
      </w:r>
      <w:r>
        <w:rPr>
          <w:spacing w:val="1"/>
        </w:rPr>
        <w:t> </w:t>
      </w:r>
      <w:r>
        <w:rPr/>
        <w:t>board (or board of trustees) establishes the performance parameters linked to the rector’s salary. The</w:t>
      </w:r>
      <w:r>
        <w:rPr>
          <w:spacing w:val="1"/>
        </w:rPr>
        <w:t> </w:t>
      </w:r>
      <w:r>
        <w:rPr/>
        <w:t>academic</w:t>
      </w:r>
      <w:r>
        <w:rPr>
          <w:spacing w:val="-8"/>
        </w:rPr>
        <w:t> </w:t>
      </w:r>
      <w:r>
        <w:rPr/>
        <w:t>senate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faculty</w:t>
      </w:r>
      <w:r>
        <w:rPr>
          <w:spacing w:val="-11"/>
        </w:rPr>
        <w:t> </w:t>
      </w:r>
      <w:r>
        <w:rPr/>
        <w:t>elects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dean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petition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his/her</w:t>
      </w:r>
      <w:r>
        <w:rPr>
          <w:spacing w:val="-8"/>
        </w:rPr>
        <w:t> </w:t>
      </w:r>
      <w:r>
        <w:rPr/>
        <w:t>dismissal.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9"/>
        </w:rPr>
        <w:t> </w:t>
      </w:r>
      <w:r>
        <w:rPr/>
        <w:t>time,</w:t>
      </w:r>
      <w:r>
        <w:rPr>
          <w:spacing w:val="-8"/>
        </w:rPr>
        <w:t> </w:t>
      </w:r>
      <w:r>
        <w:rPr/>
        <w:t>the</w:t>
      </w:r>
      <w:r>
        <w:rPr>
          <w:spacing w:val="-54"/>
        </w:rPr>
        <w:t> </w:t>
      </w:r>
      <w:r>
        <w:rPr/>
        <w:t>dean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accountable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some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his/her</w:t>
      </w:r>
      <w:r>
        <w:rPr>
          <w:spacing w:val="-9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rector,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rector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responsible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setting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dean’s salary.</w:t>
      </w:r>
    </w:p>
    <w:p>
      <w:pPr>
        <w:pStyle w:val="BodyText"/>
        <w:spacing w:before="1"/>
      </w:pPr>
    </w:p>
    <w:p>
      <w:pPr>
        <w:pStyle w:val="Heading7"/>
      </w:pPr>
      <w:bookmarkStart w:name="New bodies to meet SAAHE standards" w:id="152"/>
      <w:bookmarkEnd w:id="152"/>
      <w:r>
        <w:rPr>
          <w:i w:val="0"/>
        </w:rPr>
      </w:r>
      <w:r>
        <w:rPr>
          <w:color w:val="616161"/>
        </w:rPr>
        <w:t>New</w:t>
      </w:r>
      <w:r>
        <w:rPr>
          <w:color w:val="616161"/>
          <w:spacing w:val="-2"/>
        </w:rPr>
        <w:t> </w:t>
      </w:r>
      <w:r>
        <w:rPr>
          <w:color w:val="616161"/>
        </w:rPr>
        <w:t>bodies</w:t>
      </w:r>
      <w:r>
        <w:rPr>
          <w:color w:val="616161"/>
          <w:spacing w:val="-5"/>
        </w:rPr>
        <w:t> </w:t>
      </w:r>
      <w:r>
        <w:rPr>
          <w:color w:val="616161"/>
        </w:rPr>
        <w:t>to</w:t>
      </w:r>
      <w:r>
        <w:rPr>
          <w:color w:val="616161"/>
          <w:spacing w:val="-5"/>
        </w:rPr>
        <w:t> </w:t>
      </w:r>
      <w:r>
        <w:rPr>
          <w:color w:val="616161"/>
        </w:rPr>
        <w:t>meet</w:t>
      </w:r>
      <w:r>
        <w:rPr>
          <w:color w:val="616161"/>
          <w:spacing w:val="-2"/>
        </w:rPr>
        <w:t> </w:t>
      </w:r>
      <w:r>
        <w:rPr>
          <w:color w:val="616161"/>
        </w:rPr>
        <w:t>SAAHE</w:t>
      </w:r>
      <w:r>
        <w:rPr>
          <w:color w:val="616161"/>
          <w:spacing w:val="-3"/>
        </w:rPr>
        <w:t> </w:t>
      </w:r>
      <w:r>
        <w:rPr>
          <w:color w:val="616161"/>
        </w:rPr>
        <w:t>standards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1"/>
        <w:jc w:val="both"/>
      </w:pPr>
      <w:r>
        <w:rPr/>
        <w:t>New internal quality assurance bodies are currently being formed in Slovak institutions. This results from</w:t>
      </w:r>
      <w:r>
        <w:rPr>
          <w:spacing w:val="1"/>
        </w:rPr>
        <w:t> </w:t>
      </w:r>
      <w:r>
        <w:rPr/>
        <w:t>the reform of quality assurance, and specifically standards issues by the SAAHE that HEIs must meet by</w:t>
      </w:r>
      <w:r>
        <w:rPr>
          <w:spacing w:val="1"/>
        </w:rPr>
        <w:t> </w:t>
      </w:r>
      <w:r>
        <w:rPr/>
        <w:t>1 September 2022. These standards include the requirement to create internal quality assurance bodies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HEIs</w:t>
      </w:r>
      <w:r>
        <w:rPr>
          <w:spacing w:val="-2"/>
        </w:rPr>
        <w:t> </w:t>
      </w:r>
      <w:r>
        <w:rPr/>
        <w:t>that are</w:t>
      </w:r>
      <w:r>
        <w:rPr>
          <w:spacing w:val="-3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existing</w:t>
      </w:r>
      <w:r>
        <w:rPr>
          <w:spacing w:val="2"/>
        </w:rPr>
        <w:t> </w:t>
      </w:r>
      <w:r>
        <w:rPr/>
        <w:t>governing</w:t>
      </w:r>
      <w:r>
        <w:rPr>
          <w:spacing w:val="-3"/>
        </w:rPr>
        <w:t> </w:t>
      </w:r>
      <w:r>
        <w:rPr/>
        <w:t>structures.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bodies</w:t>
      </w:r>
      <w:r>
        <w:rPr>
          <w:spacing w:val="2"/>
        </w:rPr>
        <w:t> </w:t>
      </w:r>
      <w:r>
        <w:rPr/>
        <w:t>must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representatives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8"/>
        <w:jc w:val="both"/>
      </w:pPr>
      <w:r>
        <w:rPr/>
        <w:t>of students and of the external environment and should be designed to ensure an objective, professional,</w:t>
      </w:r>
      <w:r>
        <w:rPr>
          <w:spacing w:val="-53"/>
        </w:rPr>
        <w:t> </w:t>
      </w:r>
      <w:r>
        <w:rPr/>
        <w:t>transparent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fair</w:t>
      </w:r>
      <w:r>
        <w:rPr>
          <w:spacing w:val="-1"/>
        </w:rPr>
        <w:t> </w:t>
      </w:r>
      <w:r>
        <w:rPr/>
        <w:t>periodic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approval</w:t>
      </w:r>
      <w:r>
        <w:rPr>
          <w:spacing w:val="-3"/>
        </w:rPr>
        <w:t> </w:t>
      </w:r>
      <w:r>
        <w:rPr/>
        <w:t>of all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programmes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each HEI.</w:t>
      </w:r>
    </w:p>
    <w:p>
      <w:pPr>
        <w:pStyle w:val="BodyText"/>
        <w:spacing w:line="271" w:lineRule="auto" w:before="118"/>
        <w:ind w:left="183" w:right="305"/>
        <w:jc w:val="both"/>
      </w:pPr>
      <w:r>
        <w:rPr/>
        <w:t>At the time of writing, the SAAHE indicates that most HEIs have established temporary bodies for this</w:t>
      </w:r>
      <w:r>
        <w:rPr>
          <w:spacing w:val="1"/>
        </w:rPr>
        <w:t> </w:t>
      </w:r>
      <w:r>
        <w:rPr/>
        <w:t>purpose. While no systematic analysis of these bodies has been undertaken to date, the SAAHE noted</w:t>
      </w:r>
      <w:r>
        <w:rPr>
          <w:spacing w:val="1"/>
        </w:rPr>
        <w:t> </w:t>
      </w:r>
      <w:r>
        <w:rPr/>
        <w:t>substantial</w:t>
      </w:r>
      <w:r>
        <w:rPr>
          <w:spacing w:val="-4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among</w:t>
      </w:r>
      <w:r>
        <w:rPr>
          <w:spacing w:val="-5"/>
        </w:rPr>
        <w:t> </w:t>
      </w:r>
      <w:r>
        <w:rPr/>
        <w:t>HEIs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respect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3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instance,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share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 members in these bodies varies, as well as the head of these bodies – the rector of the HEI in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HEIs,</w:t>
      </w:r>
      <w:r>
        <w:rPr>
          <w:spacing w:val="-1"/>
        </w:rPr>
        <w:t> </w:t>
      </w:r>
      <w:r>
        <w:rPr/>
        <w:t>academic staff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representatives from</w:t>
      </w:r>
      <w:r>
        <w:rPr>
          <w:spacing w:val="2"/>
        </w:rPr>
        <w:t> </w:t>
      </w:r>
      <w:r>
        <w:rPr/>
        <w:t>other</w:t>
      </w:r>
      <w:r>
        <w:rPr>
          <w:spacing w:val="-1"/>
        </w:rPr>
        <w:t> </w:t>
      </w:r>
      <w:r>
        <w:rPr/>
        <w:t>HEIs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line="271" w:lineRule="auto" w:before="122"/>
        <w:ind w:left="183" w:right="308"/>
        <w:jc w:val="both"/>
      </w:pPr>
      <w:r>
        <w:rPr/>
        <w:t>The SAAHE further highlighted that it would be placing special emphasis on the independent evaluation</w:t>
      </w:r>
      <w:r>
        <w:rPr>
          <w:spacing w:val="1"/>
        </w:rPr>
        <w:t> </w:t>
      </w:r>
      <w:r>
        <w:rPr/>
        <w:t>and approval of study programmes conducted by these bodies in its review of internal quality assurance</w:t>
      </w:r>
      <w:r>
        <w:rPr>
          <w:spacing w:val="1"/>
        </w:rPr>
        <w:t> </w:t>
      </w:r>
      <w:r>
        <w:rPr/>
        <w:t>processes in HEIs. It noted, however, that a system-wide analysis will only be possible after the deadline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standards,</w:t>
      </w:r>
      <w:r>
        <w:rPr>
          <w:spacing w:val="-2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spacing w:before="1"/>
      </w:pPr>
    </w:p>
    <w:p>
      <w:pPr>
        <w:pStyle w:val="Heading7"/>
      </w:pPr>
      <w:bookmarkStart w:name="Rules governing academic employment" w:id="153"/>
      <w:bookmarkEnd w:id="153"/>
      <w:r>
        <w:rPr>
          <w:i w:val="0"/>
        </w:rPr>
      </w:r>
      <w:r>
        <w:rPr>
          <w:color w:val="616161"/>
        </w:rPr>
        <w:t>Rules</w:t>
      </w:r>
      <w:r>
        <w:rPr>
          <w:color w:val="616161"/>
          <w:spacing w:val="-8"/>
        </w:rPr>
        <w:t> </w:t>
      </w:r>
      <w:r>
        <w:rPr>
          <w:color w:val="616161"/>
        </w:rPr>
        <w:t>governing</w:t>
      </w:r>
      <w:r>
        <w:rPr>
          <w:color w:val="616161"/>
          <w:spacing w:val="-8"/>
        </w:rPr>
        <w:t> </w:t>
      </w:r>
      <w:r>
        <w:rPr>
          <w:color w:val="616161"/>
        </w:rPr>
        <w:t>academic</w:t>
      </w:r>
      <w:r>
        <w:rPr>
          <w:color w:val="616161"/>
          <w:spacing w:val="-7"/>
        </w:rPr>
        <w:t> </w:t>
      </w:r>
      <w:r>
        <w:rPr>
          <w:color w:val="616161"/>
        </w:rPr>
        <w:t>employment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8"/>
        <w:jc w:val="both"/>
      </w:pPr>
      <w:r>
        <w:rPr/>
        <w:t>Several legislative and regulatory provisions structure academic employment in the Slovak Republic</w:t>
      </w:r>
      <w:r>
        <w:rPr>
          <w:spacing w:val="1"/>
        </w:rPr>
        <w:t> </w:t>
      </w:r>
      <w:r>
        <w:rPr>
          <w:position w:val="1"/>
        </w:rPr>
        <w:t>(Eurydice, 2020</w:t>
      </w:r>
      <w:r>
        <w:rPr>
          <w:sz w:val="13"/>
        </w:rPr>
        <w:t>[64]</w:t>
      </w:r>
      <w:r>
        <w:rPr>
          <w:position w:val="1"/>
        </w:rPr>
        <w:t>). A major feature of academic employment resides in the system of “academic titles”:</w:t>
      </w:r>
      <w:r>
        <w:rPr>
          <w:spacing w:val="1"/>
          <w:position w:val="1"/>
        </w:rPr>
        <w:t> </w:t>
      </w:r>
      <w:r>
        <w:rPr/>
        <w:t>individuals who want to teach as professors or associate professors (“docent”) are expected to obtain</w:t>
      </w:r>
      <w:r>
        <w:rPr>
          <w:spacing w:val="1"/>
        </w:rPr>
        <w:t> </w:t>
      </w:r>
      <w:r>
        <w:rPr/>
        <w:t>corresponding academic titles to access these positions in public HEIs. The scientific and artistic titles of</w:t>
      </w:r>
      <w:r>
        <w:rPr>
          <w:spacing w:val="1"/>
        </w:rPr>
        <w:t> </w:t>
      </w:r>
      <w:r>
        <w:rPr/>
        <w:t>“docent“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”professor“,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offer</w:t>
      </w:r>
      <w:r>
        <w:rPr>
          <w:spacing w:val="-4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tenure,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awarded</w:t>
      </w:r>
      <w:r>
        <w:rPr>
          <w:spacing w:val="-5"/>
        </w:rPr>
        <w:t> </w:t>
      </w:r>
      <w:r>
        <w:rPr/>
        <w:t>only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study</w:t>
      </w:r>
      <w:r>
        <w:rPr>
          <w:spacing w:val="-9"/>
        </w:rPr>
        <w:t> </w:t>
      </w:r>
      <w:r>
        <w:rPr/>
        <w:t>that</w:t>
      </w:r>
      <w:r>
        <w:rPr>
          <w:spacing w:val="-4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1"/>
        </w:rPr>
        <w:t> </w:t>
      </w:r>
      <w:r>
        <w:rPr/>
        <w:t>pursued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(master) or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third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(doctoral)</w:t>
      </w:r>
      <w:r>
        <w:rPr>
          <w:spacing w:val="-1"/>
        </w:rPr>
        <w:t> </w:t>
      </w:r>
      <w:r>
        <w:rPr/>
        <w:t>of higher</w:t>
      </w:r>
      <w:r>
        <w:rPr>
          <w:spacing w:val="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study.</w:t>
      </w:r>
    </w:p>
    <w:p>
      <w:pPr>
        <w:pStyle w:val="BodyText"/>
        <w:spacing w:line="271" w:lineRule="auto" w:before="121"/>
        <w:ind w:left="183" w:right="303"/>
        <w:jc w:val="both"/>
      </w:pPr>
      <w:r>
        <w:rPr/>
        <w:t>Obtaining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“docent”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prerequisites such as obtaining a doctoral degree, preparing a habilitation thesis (separate from the</w:t>
      </w:r>
      <w:r>
        <w:rPr>
          <w:spacing w:val="1"/>
        </w:rPr>
        <w:t> </w:t>
      </w:r>
      <w:r>
        <w:rPr/>
        <w:t>doctoral thesis), and successfully completing a habilitation procedure. Individuals must also fulfil three</w:t>
      </w:r>
      <w:r>
        <w:rPr>
          <w:spacing w:val="1"/>
        </w:rPr>
        <w:t> </w:t>
      </w:r>
      <w:r>
        <w:rPr/>
        <w:t>conditions: (i) carry out scientific/artistic activities in the given field of study in the HEI; (ii) create a</w:t>
      </w:r>
      <w:r>
        <w:rPr>
          <w:spacing w:val="1"/>
        </w:rPr>
        <w:t> </w:t>
      </w:r>
      <w:r>
        <w:rPr/>
        <w:t>comprehensive</w:t>
      </w:r>
      <w:r>
        <w:rPr>
          <w:spacing w:val="-6"/>
        </w:rPr>
        <w:t> </w:t>
      </w:r>
      <w:r>
        <w:rPr/>
        <w:t>scientific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artistic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field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study;</w:t>
      </w:r>
      <w:r>
        <w:rPr>
          <w:spacing w:val="-7"/>
        </w:rPr>
        <w:t> </w:t>
      </w:r>
      <w:r>
        <w:rPr/>
        <w:t>(iii)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recognised</w:t>
      </w:r>
      <w:r>
        <w:rPr>
          <w:spacing w:val="-7"/>
        </w:rPr>
        <w:t> </w:t>
      </w:r>
      <w:r>
        <w:rPr/>
        <w:t>scientific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artistic</w:t>
      </w:r>
      <w:r>
        <w:rPr>
          <w:spacing w:val="1"/>
        </w:rPr>
        <w:t> </w:t>
      </w:r>
      <w:r>
        <w:rPr/>
        <w:t>personality in the given field of study. Obtaining the status of ”professor” requires complying with the</w:t>
      </w:r>
      <w:r>
        <w:rPr>
          <w:spacing w:val="1"/>
        </w:rPr>
        <w:t> </w:t>
      </w:r>
      <w:r>
        <w:rPr>
          <w:spacing w:val="-1"/>
        </w:rPr>
        <w:t>requirements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status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”docent“,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well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successfully</w:t>
      </w:r>
      <w:r>
        <w:rPr>
          <w:spacing w:val="-16"/>
        </w:rPr>
        <w:t> </w:t>
      </w:r>
      <w:r>
        <w:rPr>
          <w:spacing w:val="-1"/>
        </w:rPr>
        <w:t>completing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nomination</w:t>
      </w:r>
      <w:r>
        <w:rPr>
          <w:spacing w:val="-14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(National</w:t>
      </w:r>
      <w:r>
        <w:rPr>
          <w:spacing w:val="1"/>
        </w:rPr>
        <w:t> </w:t>
      </w:r>
      <w:r>
        <w:rPr>
          <w:position w:val="1"/>
        </w:rPr>
        <w:t>Council</w:t>
      </w:r>
      <w:r>
        <w:rPr>
          <w:spacing w:val="-3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-1"/>
          <w:position w:val="1"/>
        </w:rPr>
        <w:t> </w:t>
      </w:r>
      <w:r>
        <w:rPr>
          <w:position w:val="1"/>
        </w:rPr>
        <w:t>Slovak</w:t>
      </w:r>
      <w:r>
        <w:rPr>
          <w:spacing w:val="2"/>
          <w:position w:val="1"/>
        </w:rPr>
        <w:t> </w:t>
      </w:r>
      <w:r>
        <w:rPr>
          <w:position w:val="1"/>
        </w:rPr>
        <w:t>Republic, 2002</w:t>
      </w:r>
      <w:r>
        <w:rPr>
          <w:sz w:val="13"/>
        </w:rPr>
        <w:t>[63]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Access to senior teaching positions for individuals without an academic title has improved due to a 2018</w:t>
      </w:r>
      <w:r>
        <w:rPr>
          <w:spacing w:val="1"/>
        </w:rPr>
        <w:t> </w:t>
      </w:r>
      <w:r>
        <w:rPr/>
        <w:t>amendment to the HE Act, although individuals are still required to obtain a title within three years of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employment.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amendment</w:t>
      </w:r>
      <w:r>
        <w:rPr>
          <w:spacing w:val="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opened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professor to applicants from abroad, or to those who have worked in an industry relevant to their chosen</w:t>
      </w:r>
      <w:r>
        <w:rPr>
          <w:spacing w:val="1"/>
        </w:rPr>
        <w:t> </w:t>
      </w:r>
      <w:r>
        <w:rPr>
          <w:position w:val="1"/>
        </w:rPr>
        <w:t>field</w:t>
      </w:r>
      <w:r>
        <w:rPr>
          <w:spacing w:val="-2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teaching (OECD,</w:t>
      </w:r>
      <w:r>
        <w:rPr>
          <w:spacing w:val="-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[65]</w:t>
      </w:r>
      <w:r>
        <w:rPr>
          <w:position w:val="1"/>
        </w:rPr>
        <w:t>).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  <w:spacing w:before="1"/>
      </w:pPr>
      <w:bookmarkStart w:name="Challenges limiting the adoption of effe" w:id="154"/>
      <w:bookmarkEnd w:id="154"/>
      <w:r>
        <w:rPr>
          <w:b w:val="0"/>
          <w:i w:val="0"/>
        </w:rPr>
      </w:r>
      <w:r>
        <w:rPr/>
        <w:t>Challenges</w:t>
      </w:r>
      <w:r>
        <w:rPr>
          <w:spacing w:val="-5"/>
        </w:rPr>
        <w:t> </w:t>
      </w:r>
      <w:r>
        <w:rPr/>
        <w:t>limiting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adoption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reforms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1"/>
        <w:jc w:val="both"/>
      </w:pPr>
      <w:r>
        <w:rPr/>
        <w:t>The post-2002 model of institutional governance described in the preceding section creates three main</w:t>
      </w:r>
      <w:r>
        <w:rPr>
          <w:spacing w:val="1"/>
        </w:rPr>
        <w:t> </w:t>
      </w:r>
      <w:r>
        <w:rPr/>
        <w:t>problems that may hinder the performance of Slovak HEIs: i) a lack of responsiveness to changes in the</w:t>
      </w:r>
      <w:r>
        <w:rPr>
          <w:spacing w:val="1"/>
        </w:rPr>
        <w:t> </w:t>
      </w:r>
      <w:r>
        <w:rPr/>
        <w:t>wider society and to student needs, ii) obstacles to efficient and performance-oriented decision making,</w:t>
      </w:r>
      <w:r>
        <w:rPr>
          <w:spacing w:val="1"/>
        </w:rPr>
        <w:t> </w:t>
      </w:r>
      <w:r>
        <w:rPr/>
        <w:t>and iii) constraints on</w:t>
      </w:r>
      <w:r>
        <w:rPr>
          <w:spacing w:val="2"/>
        </w:rPr>
        <w:t> </w:t>
      </w:r>
      <w:r>
        <w:rPr/>
        <w:t>human</w:t>
      </w:r>
      <w:r>
        <w:rPr>
          <w:spacing w:val="-2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before="1"/>
      </w:pPr>
    </w:p>
    <w:p>
      <w:pPr>
        <w:pStyle w:val="Heading7"/>
        <w:spacing w:before="1"/>
      </w:pPr>
      <w:bookmarkStart w:name="Lack of responsiveness to changes in the" w:id="155"/>
      <w:bookmarkEnd w:id="155"/>
      <w:r>
        <w:rPr>
          <w:i w:val="0"/>
        </w:rPr>
      </w:r>
      <w:r>
        <w:rPr>
          <w:color w:val="616161"/>
        </w:rPr>
        <w:t>Lack</w:t>
      </w:r>
      <w:r>
        <w:rPr>
          <w:color w:val="616161"/>
          <w:spacing w:val="-2"/>
        </w:rPr>
        <w:t> </w:t>
      </w:r>
      <w:r>
        <w:rPr>
          <w:color w:val="616161"/>
        </w:rPr>
        <w:t>of</w:t>
      </w:r>
      <w:r>
        <w:rPr>
          <w:color w:val="616161"/>
          <w:spacing w:val="-3"/>
        </w:rPr>
        <w:t> </w:t>
      </w:r>
      <w:r>
        <w:rPr>
          <w:color w:val="616161"/>
        </w:rPr>
        <w:t>responsiveness</w:t>
      </w:r>
      <w:r>
        <w:rPr>
          <w:color w:val="616161"/>
          <w:spacing w:val="-4"/>
        </w:rPr>
        <w:t> </w:t>
      </w:r>
      <w:r>
        <w:rPr>
          <w:color w:val="616161"/>
        </w:rPr>
        <w:t>to</w:t>
      </w:r>
      <w:r>
        <w:rPr>
          <w:color w:val="616161"/>
          <w:spacing w:val="-1"/>
        </w:rPr>
        <w:t> </w:t>
      </w:r>
      <w:r>
        <w:rPr>
          <w:color w:val="616161"/>
        </w:rPr>
        <w:t>changes</w:t>
      </w:r>
      <w:r>
        <w:rPr>
          <w:color w:val="616161"/>
          <w:spacing w:val="-2"/>
        </w:rPr>
        <w:t> </w:t>
      </w:r>
      <w:r>
        <w:rPr>
          <w:color w:val="616161"/>
        </w:rPr>
        <w:t>in</w:t>
      </w:r>
      <w:r>
        <w:rPr>
          <w:color w:val="616161"/>
          <w:spacing w:val="-4"/>
        </w:rPr>
        <w:t> </w:t>
      </w:r>
      <w:r>
        <w:rPr>
          <w:color w:val="616161"/>
        </w:rPr>
        <w:t>the</w:t>
      </w:r>
      <w:r>
        <w:rPr>
          <w:color w:val="616161"/>
          <w:spacing w:val="-7"/>
        </w:rPr>
        <w:t> </w:t>
      </w:r>
      <w:r>
        <w:rPr>
          <w:color w:val="616161"/>
        </w:rPr>
        <w:t>wider</w:t>
      </w:r>
      <w:r>
        <w:rPr>
          <w:color w:val="616161"/>
          <w:spacing w:val="-1"/>
        </w:rPr>
        <w:t> </w:t>
      </w:r>
      <w:r>
        <w:rPr>
          <w:color w:val="616161"/>
        </w:rPr>
        <w:t>society</w:t>
      </w:r>
      <w:r>
        <w:rPr>
          <w:color w:val="616161"/>
          <w:spacing w:val="-2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to</w:t>
      </w:r>
      <w:r>
        <w:rPr>
          <w:color w:val="616161"/>
          <w:spacing w:val="-4"/>
        </w:rPr>
        <w:t> </w:t>
      </w:r>
      <w:r>
        <w:rPr>
          <w:color w:val="616161"/>
        </w:rPr>
        <w:t>student</w:t>
      </w:r>
      <w:r>
        <w:rPr>
          <w:color w:val="616161"/>
          <w:spacing w:val="-3"/>
        </w:rPr>
        <w:t> </w:t>
      </w:r>
      <w:r>
        <w:rPr>
          <w:color w:val="616161"/>
        </w:rPr>
        <w:t>needs</w:t>
      </w: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pStyle w:val="BodyText"/>
        <w:spacing w:line="271" w:lineRule="auto" w:before="1"/>
        <w:ind w:left="183" w:right="304"/>
        <w:jc w:val="both"/>
      </w:pPr>
      <w:r>
        <w:rPr/>
        <w:t>Over the past two decades, Slovak HEIs have had to respond to profound shifts in their environment.</w:t>
      </w:r>
      <w:r>
        <w:rPr>
          <w:spacing w:val="1"/>
        </w:rPr>
        <w:t> </w:t>
      </w:r>
      <w:r>
        <w:rPr/>
        <w:t>These include a change from a rapidly growing student body to one that is declining steadily, which has</w:t>
      </w:r>
      <w:r>
        <w:rPr>
          <w:spacing w:val="1"/>
        </w:rPr>
        <w:t> </w:t>
      </w:r>
      <w:r>
        <w:rPr/>
        <w:t>exacerbated the competition for students in a global higher education environment marked by strong</w:t>
      </w:r>
      <w:r>
        <w:rPr>
          <w:spacing w:val="1"/>
        </w:rPr>
        <w:t> </w:t>
      </w:r>
      <w:r>
        <w:rPr/>
        <w:t>student</w:t>
      </w:r>
      <w:r>
        <w:rPr>
          <w:spacing w:val="-5"/>
        </w:rPr>
        <w:t> </w:t>
      </w:r>
      <w:r>
        <w:rPr/>
        <w:t>mobility.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6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shift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under-funding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availability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European</w:t>
      </w:r>
      <w:r>
        <w:rPr>
          <w:spacing w:val="-5"/>
        </w:rPr>
        <w:t> </w:t>
      </w:r>
      <w:r>
        <w:rPr/>
        <w:t>funds</w:t>
      </w:r>
      <w:r>
        <w:rPr>
          <w:spacing w:val="1"/>
        </w:rPr>
        <w:t> </w:t>
      </w:r>
      <w:r>
        <w:rPr/>
        <w:t>since the Slovak Republic’s accession to the European Union in 2004. The availability of funds does not</w:t>
      </w:r>
      <w:r>
        <w:rPr>
          <w:spacing w:val="1"/>
        </w:rPr>
        <w:t> </w:t>
      </w:r>
      <w:r>
        <w:rPr/>
        <w:t>automatically</w:t>
      </w:r>
      <w:r>
        <w:rPr>
          <w:spacing w:val="53"/>
        </w:rPr>
        <w:t> </w:t>
      </w:r>
      <w:r>
        <w:rPr/>
        <w:t>translate</w:t>
      </w:r>
      <w:r>
        <w:rPr>
          <w:spacing w:val="3"/>
        </w:rPr>
        <w:t> </w:t>
      </w:r>
      <w:r>
        <w:rPr/>
        <w:t>into</w:t>
      </w:r>
      <w:r>
        <w:rPr>
          <w:spacing w:val="2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resources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HEIs,</w:t>
      </w:r>
      <w:r>
        <w:rPr>
          <w:spacing w:val="3"/>
        </w:rPr>
        <w:t> </w:t>
      </w:r>
      <w:r>
        <w:rPr/>
        <w:t>however,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these</w:t>
      </w:r>
      <w:r>
        <w:rPr>
          <w:spacing w:val="2"/>
        </w:rPr>
        <w:t> </w:t>
      </w:r>
      <w:r>
        <w:rPr/>
        <w:t>funds</w:t>
      </w:r>
      <w:r>
        <w:rPr>
          <w:spacing w:val="3"/>
        </w:rPr>
        <w:t> </w:t>
      </w:r>
      <w:r>
        <w:rPr/>
        <w:t>include</w:t>
      </w:r>
      <w:r>
        <w:rPr>
          <w:spacing w:val="2"/>
        </w:rPr>
        <w:t> </w:t>
      </w:r>
      <w:r>
        <w:rPr/>
        <w:t>certain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14"/>
        <w:jc w:val="both"/>
      </w:pPr>
      <w:r>
        <w:rPr/>
        <w:t>requirements and accessing them require processes in HEIs and government to apply for, secure, and</w:t>
      </w:r>
      <w:r>
        <w:rPr>
          <w:spacing w:val="1"/>
        </w:rPr>
        <w:t> </w:t>
      </w:r>
      <w:r>
        <w:rPr/>
        <w:t>allocate</w:t>
      </w:r>
      <w:r>
        <w:rPr>
          <w:spacing w:val="-3"/>
        </w:rPr>
        <w:t> </w:t>
      </w:r>
      <w:r>
        <w:rPr/>
        <w:t>funding</w:t>
      </w:r>
      <w:r>
        <w:rPr>
          <w:spacing w:val="-1"/>
        </w:rPr>
        <w:t> </w:t>
      </w:r>
      <w:r>
        <w:rPr/>
        <w:t>effectively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transparently.</w:t>
      </w:r>
    </w:p>
    <w:p>
      <w:pPr>
        <w:pStyle w:val="BodyText"/>
        <w:spacing w:line="271" w:lineRule="auto" w:before="118"/>
        <w:ind w:left="183" w:right="303"/>
        <w:jc w:val="both"/>
      </w:pPr>
      <w:r>
        <w:rPr/>
        <w:t>Stakeholder</w:t>
      </w:r>
      <w:r>
        <w:rPr>
          <w:spacing w:val="-6"/>
        </w:rPr>
        <w:t> </w:t>
      </w:r>
      <w:r>
        <w:rPr/>
        <w:t>interviews</w:t>
      </w:r>
      <w:r>
        <w:rPr>
          <w:spacing w:val="-4"/>
        </w:rPr>
        <w:t> </w:t>
      </w:r>
      <w:r>
        <w:rPr/>
        <w:t>led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OECD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country</w:t>
      </w:r>
      <w:r>
        <w:rPr>
          <w:spacing w:val="-10"/>
        </w:rPr>
        <w:t> </w:t>
      </w:r>
      <w:r>
        <w:rPr/>
        <w:t>peer</w:t>
      </w:r>
      <w:r>
        <w:rPr>
          <w:spacing w:val="-5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conducted</w:t>
      </w:r>
      <w:r>
        <w:rPr>
          <w:spacing w:val="-7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2018 European Commission peer counselling exercise suggests that the governance structure of HEIs in</w:t>
      </w:r>
      <w:r>
        <w:rPr>
          <w:spacing w:val="-53"/>
        </w:rPr>
        <w:t> </w:t>
      </w:r>
      <w:r>
        <w:rPr/>
        <w:t>the Slovak Republic hampers their responsiveness to changes in their environment. This is due in part to</w:t>
      </w:r>
      <w:r>
        <w:rPr>
          <w:spacing w:val="-53"/>
        </w:rPr>
        <w:t> </w:t>
      </w:r>
      <w:r>
        <w:rPr/>
        <w:t>the limited representation of individuals external to the university on governing bodies, and in part to the</w:t>
      </w:r>
      <w:r>
        <w:rPr>
          <w:spacing w:val="1"/>
        </w:rPr>
        <w:t> </w:t>
      </w:r>
      <w:r>
        <w:rPr/>
        <w:t>dispersion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balancing</w:t>
      </w:r>
      <w:r>
        <w:rPr>
          <w:spacing w:val="2"/>
        </w:rPr>
        <w:t> </w:t>
      </w:r>
      <w:r>
        <w:rPr/>
        <w:t>of power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parties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spacing w:line="271" w:lineRule="auto" w:before="122"/>
        <w:ind w:left="183" w:right="303"/>
        <w:jc w:val="both"/>
      </w:pPr>
      <w:r>
        <w:rPr/>
        <w:t>Under</w:t>
      </w:r>
      <w:r>
        <w:rPr>
          <w:spacing w:val="1"/>
        </w:rPr>
        <w:t> </w:t>
      </w:r>
      <w:r>
        <w:rPr/>
        <w:t>Slovak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institution-wide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trustees</w:t>
      </w:r>
      <w:r>
        <w:rPr>
          <w:spacing w:val="1"/>
        </w:rPr>
        <w:t> </w:t>
      </w:r>
      <w:r>
        <w:rPr/>
        <w:t>(BoT),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w w:val="95"/>
        </w:rPr>
        <w:t>management</w:t>
      </w:r>
      <w:r>
        <w:rPr>
          <w:spacing w:val="11"/>
          <w:w w:val="95"/>
        </w:rPr>
        <w:t> </w:t>
      </w:r>
      <w:r>
        <w:rPr>
          <w:w w:val="95"/>
        </w:rPr>
        <w:t>board,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principal</w:t>
      </w:r>
      <w:r>
        <w:rPr>
          <w:spacing w:val="10"/>
          <w:w w:val="95"/>
        </w:rPr>
        <w:t> </w:t>
      </w:r>
      <w:r>
        <w:rPr>
          <w:w w:val="95"/>
        </w:rPr>
        <w:t>vehicle</w:t>
      </w:r>
      <w:r>
        <w:rPr>
          <w:spacing w:val="11"/>
          <w:w w:val="95"/>
        </w:rPr>
        <w:t> </w:t>
      </w:r>
      <w:r>
        <w:rPr>
          <w:w w:val="95"/>
        </w:rPr>
        <w:t>through</w:t>
      </w:r>
      <w:r>
        <w:rPr>
          <w:spacing w:val="15"/>
          <w:w w:val="95"/>
        </w:rPr>
        <w:t> </w:t>
      </w:r>
      <w:r>
        <w:rPr>
          <w:w w:val="95"/>
        </w:rPr>
        <w:t>which</w:t>
      </w:r>
      <w:r>
        <w:rPr>
          <w:spacing w:val="11"/>
          <w:w w:val="95"/>
        </w:rPr>
        <w:t> </w:t>
      </w:r>
      <w:r>
        <w:rPr>
          <w:w w:val="95"/>
        </w:rPr>
        <w:t>wider</w:t>
      </w:r>
      <w:r>
        <w:rPr>
          <w:spacing w:val="13"/>
          <w:w w:val="95"/>
        </w:rPr>
        <w:t> </w:t>
      </w:r>
      <w:r>
        <w:rPr>
          <w:w w:val="95"/>
        </w:rPr>
        <w:t>public</w:t>
      </w:r>
      <w:r>
        <w:rPr>
          <w:spacing w:val="13"/>
          <w:w w:val="95"/>
        </w:rPr>
        <w:t> </w:t>
      </w:r>
      <w:r>
        <w:rPr>
          <w:w w:val="95"/>
        </w:rPr>
        <w:t>interests</w:t>
      </w:r>
      <w:r>
        <w:rPr>
          <w:spacing w:val="13"/>
          <w:w w:val="95"/>
        </w:rPr>
        <w:t> </w:t>
      </w:r>
      <w:r>
        <w:rPr>
          <w:w w:val="95"/>
        </w:rPr>
        <w:t>are</w:t>
      </w:r>
      <w:r>
        <w:rPr>
          <w:spacing w:val="11"/>
          <w:w w:val="95"/>
        </w:rPr>
        <w:t> </w:t>
      </w:r>
      <w:r>
        <w:rPr>
          <w:w w:val="95"/>
        </w:rPr>
        <w:t>linked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operations</w:t>
      </w:r>
      <w:r>
        <w:rPr>
          <w:spacing w:val="1"/>
          <w:w w:val="95"/>
        </w:rPr>
        <w:t> </w:t>
      </w:r>
      <w:r>
        <w:rPr/>
        <w:t>of HEIs. The BoT must include 12 external individuals out of 14 members, including representatives from</w:t>
      </w:r>
      <w:r>
        <w:rPr>
          <w:spacing w:val="-53"/>
        </w:rPr>
        <w:t> </w:t>
      </w:r>
      <w:r>
        <w:rPr/>
        <w:t>business, regional self-government and the national government, while the other two represent the</w:t>
      </w:r>
      <w:r>
        <w:rPr>
          <w:spacing w:val="1"/>
        </w:rPr>
        <w:t> </w:t>
      </w:r>
      <w:r>
        <w:rPr>
          <w:spacing w:val="-1"/>
        </w:rPr>
        <w:t>academic</w:t>
      </w:r>
      <w:r>
        <w:rPr>
          <w:spacing w:val="-9"/>
        </w:rPr>
        <w:t> </w:t>
      </w:r>
      <w:r>
        <w:rPr>
          <w:spacing w:val="-1"/>
        </w:rPr>
        <w:t>senate.</w:t>
      </w:r>
      <w:r>
        <w:rPr>
          <w:spacing w:val="-9"/>
        </w:rPr>
        <w:t> </w:t>
      </w:r>
      <w:r>
        <w:rPr>
          <w:spacing w:val="-1"/>
        </w:rPr>
        <w:t>However,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BoT’s</w:t>
      </w:r>
      <w:r>
        <w:rPr>
          <w:spacing w:val="-12"/>
        </w:rPr>
        <w:t> </w:t>
      </w:r>
      <w:r>
        <w:rPr>
          <w:spacing w:val="-1"/>
        </w:rPr>
        <w:t>main</w:t>
      </w:r>
      <w:r>
        <w:rPr>
          <w:spacing w:val="-10"/>
        </w:rPr>
        <w:t> </w:t>
      </w:r>
      <w:r>
        <w:rPr>
          <w:spacing w:val="-1"/>
        </w:rPr>
        <w:t>role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mostly</w:t>
      </w:r>
      <w:r>
        <w:rPr>
          <w:spacing w:val="-14"/>
        </w:rPr>
        <w:t> </w:t>
      </w:r>
      <w:r>
        <w:rPr>
          <w:spacing w:val="-1"/>
        </w:rPr>
        <w:t>supervisory:</w:t>
      </w:r>
      <w:r>
        <w:rPr>
          <w:spacing w:val="-11"/>
        </w:rPr>
        <w:t> </w:t>
      </w:r>
      <w:r>
        <w:rPr/>
        <w:t>created</w:t>
      </w:r>
      <w:r>
        <w:rPr>
          <w:spacing w:val="-10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state</w:t>
      </w:r>
      <w:r>
        <w:rPr>
          <w:spacing w:val="-7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into</w:t>
      </w:r>
      <w:r>
        <w:rPr>
          <w:spacing w:val="-7"/>
        </w:rPr>
        <w:t> </w:t>
      </w:r>
      <w:r>
        <w:rPr/>
        <w:t>public</w:t>
      </w:r>
      <w:r>
        <w:rPr>
          <w:spacing w:val="-4"/>
        </w:rPr>
        <w:t> </w:t>
      </w:r>
      <w:r>
        <w:rPr/>
        <w:t>HEIs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2003,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state</w:t>
      </w:r>
      <w:r>
        <w:rPr>
          <w:spacing w:val="-7"/>
        </w:rPr>
        <w:t> </w:t>
      </w:r>
      <w:r>
        <w:rPr/>
        <w:t>property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transferred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public</w:t>
      </w:r>
      <w:r>
        <w:rPr>
          <w:spacing w:val="-3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BoT</w:t>
      </w:r>
      <w:r>
        <w:rPr>
          <w:spacing w:val="-4"/>
        </w:rPr>
        <w:t> </w:t>
      </w:r>
      <w:r>
        <w:rPr/>
        <w:t>decides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acquisition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approves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budget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HEI</w:t>
      </w:r>
      <w:r>
        <w:rPr>
          <w:spacing w:val="-6"/>
        </w:rPr>
        <w:t> </w:t>
      </w:r>
      <w:r>
        <w:rPr/>
        <w:t>after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adoption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 academic</w:t>
      </w:r>
      <w:r>
        <w:rPr>
          <w:spacing w:val="-1"/>
        </w:rPr>
        <w:t> </w:t>
      </w:r>
      <w:r>
        <w:rPr/>
        <w:t>senate.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decides</w:t>
      </w:r>
      <w:r>
        <w:rPr>
          <w:spacing w:val="2"/>
        </w:rPr>
        <w:t> </w:t>
      </w:r>
      <w:r>
        <w:rPr/>
        <w:t>on the</w:t>
      </w:r>
      <w:r>
        <w:rPr>
          <w:spacing w:val="-2"/>
        </w:rPr>
        <w:t> </w:t>
      </w:r>
      <w:r>
        <w:rPr/>
        <w:t>rector’s salary.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The</w:t>
      </w:r>
      <w:r>
        <w:rPr>
          <w:spacing w:val="-5"/>
        </w:rPr>
        <w:t> </w:t>
      </w:r>
      <w:r>
        <w:rPr/>
        <w:t>remit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BoTs</w:t>
      </w:r>
      <w:r>
        <w:rPr>
          <w:spacing w:val="-3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extend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clear</w:t>
      </w:r>
      <w:r>
        <w:rPr>
          <w:spacing w:val="-3"/>
        </w:rPr>
        <w:t> </w:t>
      </w:r>
      <w:r>
        <w:rPr/>
        <w:t>vision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priorities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HEI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 HEI’s relationships with external actors – whether public authorities at the central or local government</w:t>
      </w:r>
      <w:r>
        <w:rPr>
          <w:spacing w:val="-53"/>
        </w:rPr>
        <w:t> </w:t>
      </w:r>
      <w:r>
        <w:rPr/>
        <w:t>level, employers, or actors in the research and innovation landscape. While the level of involvement of</w:t>
      </w:r>
      <w:r>
        <w:rPr>
          <w:spacing w:val="1"/>
        </w:rPr>
        <w:t> </w:t>
      </w:r>
      <w:r>
        <w:rPr/>
        <w:t>BoTs in strategic matters varies across HEIs, the limited awareness of the activities of BoTs among other</w:t>
      </w:r>
      <w:r>
        <w:rPr>
          <w:spacing w:val="-53"/>
        </w:rPr>
        <w:t> </w:t>
      </w:r>
      <w:r>
        <w:rPr>
          <w:position w:val="1"/>
        </w:rPr>
        <w:t>HEI governing bodies appears to be a frequent problem (MESA10, 2021</w:t>
      </w:r>
      <w:r>
        <w:rPr>
          <w:sz w:val="13"/>
        </w:rPr>
        <w:t>[9]</w:t>
      </w:r>
      <w:r>
        <w:rPr>
          <w:position w:val="1"/>
        </w:rPr>
        <w:t>). This may limit the ability of</w:t>
      </w:r>
      <w:r>
        <w:rPr>
          <w:spacing w:val="1"/>
          <w:position w:val="1"/>
        </w:rPr>
        <w:t> </w:t>
      </w:r>
      <w:r>
        <w:rPr/>
        <w:t>BoTs to shape institutional decisions, and the ability of other members of the HEIs to benefit from the</w:t>
      </w:r>
      <w:r>
        <w:rPr>
          <w:spacing w:val="1"/>
        </w:rPr>
        <w:t> </w:t>
      </w:r>
      <w:r>
        <w:rPr/>
        <w:t>relationships with external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such as</w:t>
      </w:r>
      <w:r>
        <w:rPr>
          <w:spacing w:val="-2"/>
        </w:rPr>
        <w:t> </w:t>
      </w:r>
      <w:r>
        <w:rPr/>
        <w:t>employers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that the BoT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create.</w:t>
      </w:r>
    </w:p>
    <w:p>
      <w:pPr>
        <w:pStyle w:val="BodyText"/>
        <w:spacing w:line="271" w:lineRule="auto" w:before="120"/>
        <w:ind w:left="183" w:right="300"/>
        <w:jc w:val="both"/>
      </w:pPr>
      <w:r>
        <w:rPr/>
        <w:t>Institutional governance arrangements also appear to be weakly responsive to student and graduate</w:t>
      </w:r>
      <w:r>
        <w:rPr>
          <w:spacing w:val="1"/>
        </w:rPr>
        <w:t> </w:t>
      </w:r>
      <w:r>
        <w:rPr/>
        <w:t>needs. This in due, in part, to the limitations of students’ representation on HEI governing bodies.</w:t>
      </w:r>
      <w:r>
        <w:rPr>
          <w:spacing w:val="1"/>
        </w:rPr>
        <w:t> </w:t>
      </w:r>
      <w:r>
        <w:rPr/>
        <w:t>Stakeholders interviewed by the OECD reported that is difficult to find students interested in participating</w:t>
      </w:r>
      <w:r>
        <w:rPr>
          <w:spacing w:val="1"/>
        </w:rPr>
        <w:t> </w:t>
      </w:r>
      <w:r>
        <w:rPr/>
        <w:t>in university governance, which aligns with findings of The Learning Makes Sense (</w:t>
      </w:r>
      <w:r>
        <w:rPr>
          <w:rFonts w:ascii="Arial" w:hAnsi="Arial"/>
          <w:i/>
        </w:rPr>
        <w:t>To dá rozum</w:t>
      </w:r>
      <w:r>
        <w:rPr/>
        <w:t>) project.</w:t>
      </w:r>
      <w:r>
        <w:rPr>
          <w:spacing w:val="-53"/>
        </w:rPr>
        <w:t> </w:t>
      </w:r>
      <w:r>
        <w:rPr/>
        <w:t>This project suggested that students’ low engagement results from their insufficient knowledge of the role</w:t>
      </w:r>
      <w:r>
        <w:rPr>
          <w:spacing w:val="-53"/>
        </w:rPr>
        <w:t> </w:t>
      </w:r>
      <w:r>
        <w:rPr/>
        <w:t>of their representative in the academic senates and low interest for discussions not directly relevant to</w:t>
      </w:r>
      <w:r>
        <w:rPr>
          <w:spacing w:val="1"/>
        </w:rPr>
        <w:t> </w:t>
      </w:r>
      <w:r>
        <w:rPr/>
        <w:t>them (for instance, discussion of property management rather than of the quality of study programmes).</w:t>
      </w:r>
      <w:r>
        <w:rPr>
          <w:spacing w:val="1"/>
        </w:rPr>
        <w:t> </w:t>
      </w:r>
      <w:r>
        <w:rPr/>
        <w:t>The project also noted that students may be concerned about expressing critical opinions, especially in</w:t>
      </w:r>
      <w:r>
        <w:rPr>
          <w:spacing w:val="1"/>
        </w:rPr>
        <w:t> </w:t>
      </w:r>
      <w:r>
        <w:rPr>
          <w:position w:val="1"/>
        </w:rPr>
        <w:t>public HEIs that are viewed as more hierarchical than private and state HEIs (MESA10, 2021</w:t>
      </w:r>
      <w:r>
        <w:rPr>
          <w:sz w:val="13"/>
        </w:rPr>
        <w:t>[9]</w:t>
      </w:r>
      <w:r>
        <w:rPr>
          <w:position w:val="1"/>
        </w:rPr>
        <w:t>). By</w:t>
      </w:r>
      <w:r>
        <w:rPr>
          <w:spacing w:val="1"/>
          <w:position w:val="1"/>
        </w:rPr>
        <w:t> </w:t>
      </w:r>
      <w:r>
        <w:rPr/>
        <w:t>contrast, some academic staff interviewed by the OECD argued that less student representation would in</w:t>
      </w:r>
      <w:r>
        <w:rPr>
          <w:spacing w:val="-53"/>
        </w:rPr>
        <w:t> </w:t>
      </w:r>
      <w:r>
        <w:rPr/>
        <w:t>fact</w:t>
      </w:r>
      <w:r>
        <w:rPr>
          <w:spacing w:val="-2"/>
        </w:rPr>
        <w:t> </w:t>
      </w:r>
      <w:r>
        <w:rPr/>
        <w:t>be warranted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 have a</w:t>
      </w:r>
      <w:r>
        <w:rPr>
          <w:spacing w:val="-2"/>
        </w:rPr>
        <w:t> </w:t>
      </w:r>
      <w:r>
        <w:rPr/>
        <w:t>long-term</w:t>
      </w:r>
      <w:r>
        <w:rPr>
          <w:spacing w:val="3"/>
        </w:rPr>
        <w:t> </w:t>
      </w:r>
      <w:r>
        <w:rPr/>
        <w:t>view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HEIs’</w:t>
      </w:r>
      <w:r>
        <w:rPr>
          <w:spacing w:val="-1"/>
        </w:rPr>
        <w:t> </w:t>
      </w:r>
      <w:r>
        <w:rPr/>
        <w:t>interests.</w:t>
      </w:r>
    </w:p>
    <w:p>
      <w:pPr>
        <w:pStyle w:val="BodyText"/>
        <w:spacing w:before="3"/>
      </w:pPr>
    </w:p>
    <w:p>
      <w:pPr>
        <w:pStyle w:val="Heading7"/>
        <w:spacing w:before="1"/>
      </w:pPr>
      <w:bookmarkStart w:name="Obstacles to efficient and performance-o" w:id="156"/>
      <w:bookmarkEnd w:id="156"/>
      <w:r>
        <w:rPr>
          <w:i w:val="0"/>
        </w:rPr>
      </w:r>
      <w:r>
        <w:rPr>
          <w:color w:val="616161"/>
        </w:rPr>
        <w:t>Obstacles</w:t>
      </w:r>
      <w:r>
        <w:rPr>
          <w:color w:val="616161"/>
          <w:spacing w:val="-6"/>
        </w:rPr>
        <w:t> </w:t>
      </w:r>
      <w:r>
        <w:rPr>
          <w:color w:val="616161"/>
        </w:rPr>
        <w:t>to</w:t>
      </w:r>
      <w:r>
        <w:rPr>
          <w:color w:val="616161"/>
          <w:spacing w:val="-7"/>
        </w:rPr>
        <w:t> </w:t>
      </w:r>
      <w:r>
        <w:rPr>
          <w:color w:val="616161"/>
        </w:rPr>
        <w:t>efficient</w:t>
      </w:r>
      <w:r>
        <w:rPr>
          <w:color w:val="616161"/>
          <w:spacing w:val="-6"/>
        </w:rPr>
        <w:t> </w:t>
      </w:r>
      <w:r>
        <w:rPr>
          <w:color w:val="616161"/>
        </w:rPr>
        <w:t>and</w:t>
      </w:r>
      <w:r>
        <w:rPr>
          <w:color w:val="616161"/>
          <w:spacing w:val="-5"/>
        </w:rPr>
        <w:t> </w:t>
      </w:r>
      <w:r>
        <w:rPr>
          <w:color w:val="616161"/>
        </w:rPr>
        <w:t>performance-oriented</w:t>
      </w:r>
      <w:r>
        <w:rPr>
          <w:color w:val="616161"/>
          <w:spacing w:val="-10"/>
        </w:rPr>
        <w:t> </w:t>
      </w:r>
      <w:r>
        <w:rPr>
          <w:color w:val="616161"/>
        </w:rPr>
        <w:t>decision</w:t>
      </w:r>
      <w:r>
        <w:rPr>
          <w:color w:val="616161"/>
          <w:spacing w:val="-5"/>
        </w:rPr>
        <w:t> </w:t>
      </w:r>
      <w:r>
        <w:rPr>
          <w:color w:val="616161"/>
        </w:rPr>
        <w:t>making</w:t>
      </w:r>
    </w:p>
    <w:p>
      <w:pPr>
        <w:pStyle w:val="BodyText"/>
        <w:spacing w:line="271" w:lineRule="auto" w:before="214"/>
        <w:ind w:left="183" w:right="301"/>
        <w:jc w:val="both"/>
      </w:pPr>
      <w:r>
        <w:rPr/>
        <w:t>Current governance arrangements create three types of problems. A first issue lies in the legislative</w:t>
      </w:r>
      <w:r>
        <w:rPr>
          <w:spacing w:val="1"/>
        </w:rPr>
        <w:t> </w:t>
      </w:r>
      <w:r>
        <w:rPr/>
        <w:t>prescription of the governance structure, which means that these structures apply to all HEIs regardless</w:t>
      </w:r>
      <w:r>
        <w:rPr>
          <w:spacing w:val="1"/>
        </w:rPr>
        <w:t> </w:t>
      </w:r>
      <w:r>
        <w:rPr/>
        <w:t>of their size, location and focus. Given the heterogeneity of the Slovak higher education landscape, this</w:t>
      </w:r>
      <w:r>
        <w:rPr>
          <w:spacing w:val="1"/>
        </w:rPr>
        <w:t> </w:t>
      </w:r>
      <w:r>
        <w:rPr/>
        <w:t>limits the ability of HEIs to adapt their structure to their own needs, for instance, streamlining the number</w:t>
      </w:r>
      <w:r>
        <w:rPr>
          <w:spacing w:val="1"/>
        </w:rPr>
        <w:t> </w:t>
      </w:r>
      <w:r>
        <w:rPr/>
        <w:t>of governing bodies in small HEIs. As noted in the 2018 European Commission’s peer counselling on the</w:t>
      </w:r>
      <w:r>
        <w:rPr>
          <w:spacing w:val="-53"/>
        </w:rPr>
        <w:t> </w:t>
      </w:r>
      <w:r>
        <w:rPr/>
        <w:t>governance of HEIs in the Slovak Republic, when choice is provided, some if not all HEIs may choose to</w:t>
      </w:r>
      <w:r>
        <w:rPr>
          <w:spacing w:val="1"/>
        </w:rPr>
        <w:t> </w:t>
      </w:r>
      <w:r>
        <w:rPr>
          <w:position w:val="1"/>
        </w:rPr>
        <w:t>change their governance arrangements </w:t>
      </w:r>
      <w:r>
        <w:rPr>
          <w:position w:val="1"/>
          <w:shd w:fill="E1E3E6" w:color="auto" w:val="clear"/>
        </w:rPr>
        <w:t>(European Commission, 2018</w:t>
      </w:r>
      <w:r>
        <w:rPr>
          <w:sz w:val="13"/>
          <w:shd w:fill="E1E3E6" w:color="auto" w:val="clear"/>
        </w:rPr>
        <w:t>[8]</w:t>
      </w:r>
      <w:r>
        <w:rPr>
          <w:position w:val="1"/>
          <w:shd w:fill="E1E3E6" w:color="auto" w:val="clear"/>
        </w:rPr>
        <w:t>)</w:t>
      </w:r>
      <w:r>
        <w:rPr>
          <w:position w:val="1"/>
        </w:rPr>
        <w:t>. For example, a 2002 reform</w:t>
      </w:r>
      <w:r>
        <w:rPr>
          <w:spacing w:val="1"/>
          <w:position w:val="1"/>
        </w:rPr>
        <w:t> </w:t>
      </w:r>
      <w:r>
        <w:rPr/>
        <w:t>allowing HEIs in Austria to choose their own governance structure led universities to choose different</w:t>
      </w:r>
      <w:r>
        <w:rPr>
          <w:spacing w:val="1"/>
        </w:rPr>
        <w:t> </w:t>
      </w:r>
      <w:r>
        <w:rPr/>
        <w:t>organisation structures fitting their particular needs. Universities of Applied Sciences (UAS) in Austria are</w:t>
      </w:r>
      <w:r>
        <w:rPr>
          <w:spacing w:val="-53"/>
        </w:rPr>
        <w:t> </w:t>
      </w:r>
      <w:r>
        <w:rPr/>
        <w:t>vocational HEIs that have shown particular flexibility in adapting their governance structure to their</w:t>
      </w:r>
      <w:r>
        <w:rPr>
          <w:spacing w:val="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needs. An example</w:t>
      </w:r>
      <w:r>
        <w:rPr>
          <w:spacing w:val="-1"/>
        </w:rPr>
        <w:t> </w:t>
      </w:r>
      <w:r>
        <w:rPr/>
        <w:t>of such</w:t>
      </w:r>
      <w:r>
        <w:rPr>
          <w:spacing w:val="-2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</w:t>
      </w:r>
      <w:r>
        <w:rPr>
          <w:spacing w:val="7"/>
        </w:rPr>
        <w:t> </w:t>
      </w:r>
      <w:hyperlink w:history="true" w:anchor="_bookmark52">
        <w:r>
          <w:rPr/>
          <w:t>Box</w:t>
        </w:r>
        <w:r>
          <w:rPr>
            <w:spacing w:val="-1"/>
          </w:rPr>
          <w:t> </w:t>
        </w:r>
        <w:r>
          <w:rPr/>
          <w:t>3.6.</w:t>
        </w:r>
      </w:hyperlink>
    </w:p>
    <w:p>
      <w:pPr>
        <w:pStyle w:val="BodyText"/>
        <w:spacing w:line="271" w:lineRule="auto" w:before="123"/>
        <w:ind w:left="183" w:right="303"/>
        <w:jc w:val="both"/>
      </w:pPr>
      <w:r>
        <w:rPr/>
        <w:t>The dual structure of HEI governance, with governing bodies at both university and faculty level, creates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second</w:t>
      </w:r>
      <w:r>
        <w:rPr>
          <w:spacing w:val="-13"/>
        </w:rPr>
        <w:t> </w:t>
      </w:r>
      <w:r>
        <w:rPr>
          <w:spacing w:val="-1"/>
        </w:rPr>
        <w:t>problem.</w:t>
      </w:r>
      <w:r>
        <w:rPr>
          <w:spacing w:val="-13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system</w:t>
      </w:r>
      <w:r>
        <w:rPr>
          <w:spacing w:val="-9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>
          <w:spacing w:val="-1"/>
        </w:rPr>
        <w:t>established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2002</w:t>
      </w:r>
      <w:r>
        <w:rPr>
          <w:spacing w:val="-11"/>
        </w:rPr>
        <w:t> </w:t>
      </w:r>
      <w:r>
        <w:rPr>
          <w:spacing w:val="-1"/>
        </w:rPr>
        <w:t>Act</w:t>
      </w:r>
      <w:r>
        <w:rPr>
          <w:spacing w:val="-13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Education,</w:t>
      </w:r>
      <w:r>
        <w:rPr>
          <w:spacing w:val="-11"/>
        </w:rPr>
        <w:t> </w:t>
      </w:r>
      <w:r>
        <w:rPr/>
        <w:t>which</w:t>
      </w:r>
      <w:r>
        <w:rPr>
          <w:spacing w:val="-13"/>
        </w:rPr>
        <w:t> </w:t>
      </w:r>
      <w:r>
        <w:rPr/>
        <w:t>also</w:t>
      </w:r>
      <w:r>
        <w:rPr>
          <w:spacing w:val="-12"/>
        </w:rPr>
        <w:t> </w:t>
      </w:r>
      <w:r>
        <w:rPr/>
        <w:t>conferred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2"/>
        <w:jc w:val="both"/>
      </w:pPr>
      <w:r>
        <w:rPr/>
        <w:t>the</w:t>
      </w:r>
      <w:r>
        <w:rPr>
          <w:spacing w:val="-4"/>
        </w:rPr>
        <w:t> </w:t>
      </w:r>
      <w:r>
        <w:rPr/>
        <w:t>status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legal</w:t>
      </w:r>
      <w:r>
        <w:rPr>
          <w:spacing w:val="-5"/>
        </w:rPr>
        <w:t> </w:t>
      </w:r>
      <w:r>
        <w:rPr/>
        <w:t>entities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HEIs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ended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faculties.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dual</w:t>
      </w:r>
      <w:r>
        <w:rPr>
          <w:spacing w:val="-5"/>
        </w:rPr>
        <w:t> </w:t>
      </w:r>
      <w:r>
        <w:rPr/>
        <w:t>structure,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viewed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compromise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empowering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central</w:t>
      </w:r>
      <w:r>
        <w:rPr>
          <w:spacing w:val="-5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maintaining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key</w:t>
      </w:r>
      <w:r>
        <w:rPr>
          <w:spacing w:val="-10"/>
        </w:rPr>
        <w:t> </w:t>
      </w:r>
      <w:r>
        <w:rPr/>
        <w:t>role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faculties in steering HEIs, appears to have preserved much of the power vested in faculties and made 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institution-wide</w:t>
      </w:r>
      <w:r>
        <w:rPr>
          <w:spacing w:val="1"/>
        </w:rPr>
        <w:t> </w:t>
      </w:r>
      <w:r>
        <w:rPr/>
        <w:t>priorities.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interviewed by the OECD, the academic senate at university level largely represents the interests of the</w:t>
      </w:r>
      <w:r>
        <w:rPr>
          <w:spacing w:val="1"/>
        </w:rPr>
        <w:t> </w:t>
      </w:r>
      <w:r>
        <w:rPr/>
        <w:t>different faculty senates, resulting in competition between faculties, as well as tensions between the</w:t>
      </w:r>
      <w:r>
        <w:rPr>
          <w:spacing w:val="1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faculty</w:t>
      </w:r>
      <w:r>
        <w:rPr>
          <w:spacing w:val="-5"/>
        </w:rPr>
        <w:t> </w:t>
      </w:r>
      <w:r>
        <w:rPr/>
        <w:t>level</w:t>
      </w:r>
      <w:r>
        <w:rPr>
          <w:spacing w:val="-6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making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managerial</w:t>
      </w:r>
      <w:r>
        <w:rPr>
          <w:spacing w:val="-3"/>
        </w:rPr>
        <w:t> </w:t>
      </w:r>
      <w:r>
        <w:rPr/>
        <w:t>decisions.</w:t>
      </w:r>
    </w:p>
    <w:p>
      <w:pPr>
        <w:pStyle w:val="BodyText"/>
        <w:spacing w:line="271" w:lineRule="auto" w:before="120"/>
        <w:ind w:left="183" w:right="299"/>
        <w:jc w:val="both"/>
      </w:pPr>
      <w:r>
        <w:rPr>
          <w:spacing w:val="-1"/>
        </w:rPr>
        <w:t>Another</w:t>
      </w:r>
      <w:r>
        <w:rPr>
          <w:spacing w:val="-12"/>
        </w:rPr>
        <w:t> </w:t>
      </w:r>
      <w:r>
        <w:rPr>
          <w:spacing w:val="-1"/>
        </w:rPr>
        <w:t>issue</w:t>
      </w:r>
      <w:r>
        <w:rPr>
          <w:spacing w:val="-13"/>
        </w:rPr>
        <w:t> </w:t>
      </w:r>
      <w:r>
        <w:rPr>
          <w:spacing w:val="-1"/>
        </w:rPr>
        <w:t>lies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misallocation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responsibilities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governance,</w:t>
      </w:r>
      <w:r>
        <w:rPr>
          <w:spacing w:val="-15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academic</w:t>
      </w:r>
      <w:r>
        <w:rPr>
          <w:spacing w:val="-11"/>
        </w:rPr>
        <w:t> </w:t>
      </w:r>
      <w:r>
        <w:rPr/>
        <w:t>tasks.</w:t>
      </w:r>
      <w:r>
        <w:rPr>
          <w:spacing w:val="1"/>
        </w:rPr>
        <w:t> </w:t>
      </w:r>
      <w:r>
        <w:rPr/>
        <w:t>In the Slovak Republic, academic bodies such as senates and scientific/art councils play a major role in</w:t>
      </w:r>
      <w:r>
        <w:rPr>
          <w:spacing w:val="1"/>
        </w:rPr>
        <w:t> </w:t>
      </w:r>
      <w:r>
        <w:rPr/>
        <w:t>managerial</w:t>
      </w:r>
      <w:r>
        <w:rPr>
          <w:spacing w:val="-10"/>
        </w:rPr>
        <w:t> </w:t>
      </w:r>
      <w:r>
        <w:rPr/>
        <w:t>decisions.</w:t>
      </w:r>
      <w:r>
        <w:rPr>
          <w:spacing w:val="-11"/>
        </w:rPr>
        <w:t> </w:t>
      </w:r>
      <w:r>
        <w:rPr/>
        <w:t>For</w:t>
      </w:r>
      <w:r>
        <w:rPr>
          <w:spacing w:val="-8"/>
        </w:rPr>
        <w:t> </w:t>
      </w:r>
      <w:r>
        <w:rPr/>
        <w:t>instance,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HEI’s</w:t>
      </w:r>
      <w:r>
        <w:rPr>
          <w:spacing w:val="-10"/>
        </w:rPr>
        <w:t> </w:t>
      </w:r>
      <w:r>
        <w:rPr/>
        <w:t>academic</w:t>
      </w:r>
      <w:r>
        <w:rPr>
          <w:spacing w:val="-10"/>
        </w:rPr>
        <w:t> </w:t>
      </w:r>
      <w:r>
        <w:rPr/>
        <w:t>senate</w:t>
      </w:r>
      <w:r>
        <w:rPr>
          <w:spacing w:val="-11"/>
        </w:rPr>
        <w:t> </w:t>
      </w:r>
      <w:r>
        <w:rPr/>
        <w:t>approves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budget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elects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rector,</w:t>
      </w:r>
      <w:r>
        <w:rPr>
          <w:spacing w:val="1"/>
        </w:rPr>
        <w:t> </w:t>
      </w:r>
      <w:r>
        <w:rPr/>
        <w:t>while the scientific/art councils makes decisions regarding the body approving the creation or termination</w:t>
      </w:r>
      <w:r>
        <w:rPr>
          <w:spacing w:val="1"/>
        </w:rPr>
        <w:t> </w:t>
      </w:r>
      <w:r>
        <w:rPr/>
        <w:t>of study programmes or the appointment of professors and associate professors. In addition to electing</w:t>
      </w:r>
      <w:r>
        <w:rPr>
          <w:spacing w:val="1"/>
        </w:rPr>
        <w:t> </w:t>
      </w:r>
      <w:r>
        <w:rPr/>
        <w:t>and having the power to dismiss rectors and deans, academic senates often approve the nomination of</w:t>
      </w:r>
      <w:r>
        <w:rPr>
          <w:spacing w:val="1"/>
        </w:rPr>
        <w:t> </w:t>
      </w:r>
      <w:r>
        <w:rPr>
          <w:position w:val="1"/>
        </w:rPr>
        <w:t>their</w:t>
      </w:r>
      <w:r>
        <w:rPr>
          <w:spacing w:val="-6"/>
          <w:position w:val="1"/>
        </w:rPr>
        <w:t> </w:t>
      </w:r>
      <w:r>
        <w:rPr>
          <w:position w:val="1"/>
        </w:rPr>
        <w:t>key</w:t>
      </w:r>
      <w:r>
        <w:rPr>
          <w:spacing w:val="-8"/>
          <w:position w:val="1"/>
        </w:rPr>
        <w:t> </w:t>
      </w:r>
      <w:r>
        <w:rPr>
          <w:position w:val="1"/>
        </w:rPr>
        <w:t>staff</w:t>
      </w:r>
      <w:r>
        <w:rPr>
          <w:spacing w:val="-6"/>
          <w:position w:val="1"/>
        </w:rPr>
        <w:t> </w:t>
      </w:r>
      <w:r>
        <w:rPr>
          <w:position w:val="1"/>
        </w:rPr>
        <w:t>members</w:t>
      </w:r>
      <w:r>
        <w:rPr>
          <w:spacing w:val="-5"/>
          <w:position w:val="1"/>
        </w:rPr>
        <w:t> </w:t>
      </w:r>
      <w:r>
        <w:rPr>
          <w:position w:val="1"/>
        </w:rPr>
        <w:t>such</w:t>
      </w:r>
      <w:r>
        <w:rPr>
          <w:spacing w:val="-6"/>
          <w:position w:val="1"/>
        </w:rPr>
        <w:t> </w:t>
      </w:r>
      <w:r>
        <w:rPr>
          <w:position w:val="1"/>
        </w:rPr>
        <w:t>as</w:t>
      </w:r>
      <w:r>
        <w:rPr>
          <w:spacing w:val="-5"/>
          <w:position w:val="1"/>
        </w:rPr>
        <w:t> </w:t>
      </w:r>
      <w:r>
        <w:rPr>
          <w:position w:val="1"/>
        </w:rPr>
        <w:t>vice-rectors</w:t>
      </w:r>
      <w:r>
        <w:rPr>
          <w:spacing w:val="-4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vice-deans</w:t>
      </w:r>
      <w:r>
        <w:rPr>
          <w:spacing w:val="-4"/>
          <w:position w:val="1"/>
        </w:rPr>
        <w:t> </w:t>
      </w:r>
      <w:r>
        <w:rPr>
          <w:position w:val="1"/>
        </w:rPr>
        <w:t>(MESA10,</w:t>
      </w:r>
      <w:r>
        <w:rPr>
          <w:spacing w:val="-5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[9]</w:t>
      </w:r>
      <w:r>
        <w:rPr>
          <w:position w:val="1"/>
        </w:rPr>
        <w:t>).</w:t>
      </w:r>
      <w:r>
        <w:rPr>
          <w:spacing w:val="-5"/>
          <w:position w:val="1"/>
        </w:rPr>
        <w:t> </w:t>
      </w:r>
      <w:r>
        <w:rPr>
          <w:position w:val="1"/>
        </w:rPr>
        <w:t>This</w:t>
      </w:r>
      <w:r>
        <w:rPr>
          <w:spacing w:val="-4"/>
          <w:position w:val="1"/>
        </w:rPr>
        <w:t> </w:t>
      </w:r>
      <w:r>
        <w:rPr>
          <w:position w:val="1"/>
        </w:rPr>
        <w:t>may</w:t>
      </w:r>
      <w:r>
        <w:rPr>
          <w:spacing w:val="-11"/>
          <w:position w:val="1"/>
        </w:rPr>
        <w:t> </w:t>
      </w:r>
      <w:r>
        <w:rPr>
          <w:position w:val="1"/>
        </w:rPr>
        <w:t>have</w:t>
      </w:r>
      <w:r>
        <w:rPr>
          <w:spacing w:val="-4"/>
          <w:position w:val="1"/>
        </w:rPr>
        <w:t> </w:t>
      </w:r>
      <w:r>
        <w:rPr>
          <w:position w:val="1"/>
        </w:rPr>
        <w:t>an</w:t>
      </w:r>
      <w:r>
        <w:rPr>
          <w:spacing w:val="-4"/>
          <w:position w:val="1"/>
        </w:rPr>
        <w:t> </w:t>
      </w:r>
      <w:r>
        <w:rPr>
          <w:position w:val="1"/>
        </w:rPr>
        <w:t>impact</w:t>
      </w:r>
      <w:r>
        <w:rPr>
          <w:spacing w:val="-53"/>
          <w:position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ability</w:t>
      </w:r>
      <w:r>
        <w:rPr>
          <w:spacing w:val="-4"/>
        </w:rPr>
        <w:t> </w:t>
      </w:r>
      <w:r>
        <w:rPr/>
        <w:t>of university</w:t>
      </w:r>
      <w:r>
        <w:rPr>
          <w:spacing w:val="-4"/>
        </w:rPr>
        <w:t> </w:t>
      </w:r>
      <w:r>
        <w:rPr/>
        <w:t>leaders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constitute effective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teams.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In contrast, the actions of rectors and deans are limited in scope (for instance they propose but do not</w:t>
      </w:r>
      <w:r>
        <w:rPr>
          <w:spacing w:val="1"/>
        </w:rPr>
        <w:t> </w:t>
      </w:r>
      <w:r>
        <w:rPr/>
        <w:t>approve budgets) and due to their accountability to academic senates. The latter may limit the ability of</w:t>
      </w:r>
      <w:r>
        <w:rPr>
          <w:spacing w:val="1"/>
        </w:rPr>
        <w:t> </w:t>
      </w:r>
      <w:r>
        <w:rPr/>
        <w:t>rectors in particular to take strategic initiatives not broadly supported by senates, and in turn may</w:t>
      </w:r>
      <w:r>
        <w:rPr>
          <w:spacing w:val="1"/>
        </w:rPr>
        <w:t> </w:t>
      </w:r>
      <w:r>
        <w:rPr>
          <w:spacing w:val="-1"/>
        </w:rPr>
        <w:t>perpetuate</w:t>
      </w:r>
      <w:r>
        <w:rPr>
          <w:spacing w:val="-13"/>
        </w:rPr>
        <w:t> </w:t>
      </w:r>
      <w:r>
        <w:rPr>
          <w:spacing w:val="-1"/>
        </w:rPr>
        <w:t>established</w:t>
      </w:r>
      <w:r>
        <w:rPr>
          <w:spacing w:val="-14"/>
        </w:rPr>
        <w:t> </w:t>
      </w:r>
      <w:r>
        <w:rPr>
          <w:spacing w:val="-1"/>
        </w:rPr>
        <w:t>interests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stifle</w:t>
      </w:r>
      <w:r>
        <w:rPr>
          <w:spacing w:val="-12"/>
        </w:rPr>
        <w:t> </w:t>
      </w:r>
      <w:r>
        <w:rPr>
          <w:spacing w:val="-1"/>
        </w:rPr>
        <w:t>innovation.</w:t>
      </w:r>
      <w:r>
        <w:rPr>
          <w:spacing w:val="-8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/>
        <w:t>situation</w:t>
      </w:r>
      <w:r>
        <w:rPr>
          <w:spacing w:val="-13"/>
        </w:rPr>
        <w:t> </w:t>
      </w:r>
      <w:r>
        <w:rPr/>
        <w:t>may</w:t>
      </w:r>
      <w:r>
        <w:rPr>
          <w:spacing w:val="-19"/>
        </w:rPr>
        <w:t> </w:t>
      </w:r>
      <w:r>
        <w:rPr/>
        <w:t>also</w:t>
      </w:r>
      <w:r>
        <w:rPr>
          <w:spacing w:val="-12"/>
        </w:rPr>
        <w:t> </w:t>
      </w:r>
      <w:r>
        <w:rPr/>
        <w:t>create</w:t>
      </w:r>
      <w:r>
        <w:rPr>
          <w:spacing w:val="-13"/>
        </w:rPr>
        <w:t> </w:t>
      </w:r>
      <w:r>
        <w:rPr/>
        <w:t>problematic</w:t>
      </w:r>
      <w:r>
        <w:rPr>
          <w:spacing w:val="-12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for rectors, who are not encouraged to focus on strategic management or, to the contrary, who may seek</w:t>
      </w:r>
      <w:r>
        <w:rPr>
          <w:spacing w:val="1"/>
        </w:rPr>
        <w:t> </w:t>
      </w:r>
      <w:r>
        <w:rPr/>
        <w:t>alternative approaches to obtain greater flexibility, such as longer mandates. The latter may not be</w:t>
      </w:r>
      <w:r>
        <w:rPr>
          <w:spacing w:val="1"/>
        </w:rPr>
        <w:t> </w:t>
      </w:r>
      <w:r>
        <w:rPr/>
        <w:t>desirable, as it is important that rectors are held to high standards of accountability for the overall</w:t>
      </w:r>
      <w:r>
        <w:rPr>
          <w:spacing w:val="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institution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lead, with</w:t>
      </w:r>
      <w:r>
        <w:rPr>
          <w:spacing w:val="-2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in case</w:t>
      </w:r>
      <w:r>
        <w:rPr>
          <w:spacing w:val="-2"/>
        </w:rPr>
        <w:t> </w:t>
      </w:r>
      <w:r>
        <w:rPr/>
        <w:t>of poor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before="100"/>
        <w:ind w:left="298" w:right="0" w:firstLine="0"/>
        <w:jc w:val="both"/>
        <w:rPr>
          <w:rFonts w:ascii="Arial"/>
          <w:b/>
          <w:sz w:val="24"/>
        </w:rPr>
      </w:pPr>
      <w:r>
        <w:rPr/>
        <w:pict>
          <v:group style="position:absolute;margin-left:63.624001pt;margin-top:-13.50412pt;width:468.1pt;height:320.1pt;mso-position-horizontal-relative:page;mso-position-vertical-relative:paragraph;z-index:-19700224" coordorigin="1272,-270" coordsize="9362,6402">
            <v:rect style="position:absolute;left:1282;top:-261;width:9343;height:6383" filled="true" fillcolor="#eeece1" stroked="false">
              <v:fill type="solid"/>
            </v:rect>
            <v:shape style="position:absolute;left:1272;top:-271;width:9362;height:6402" coordorigin="1272,-270" coordsize="9362,6402" path="m10624,6122l1282,6122,1282,6122,1272,6122,1272,6132,1282,6132,1282,6132,10624,6132,10624,6122xm10624,-270l1282,-270,1282,-270,1272,-270,1272,-260,1272,6122,1282,6122,1282,-260,10624,-260,10624,-270xm10634,6122l10624,6122,10624,6132,10634,6132,10634,6122xm10634,-270l10624,-270,10624,-260,10624,6122,10634,6122,10634,-260,10634,-270xe" filled="true" fillcolor="#4e81bd" stroked="false">
              <v:path arrowok="t"/>
              <v:fill type="solid"/>
            </v:shape>
            <w10:wrap type="none"/>
          </v:group>
        </w:pict>
      </w:r>
      <w:bookmarkStart w:name="_bookmark52" w:id="157"/>
      <w:bookmarkEnd w:id="157"/>
      <w:r>
        <w:rPr/>
      </w:r>
      <w:r>
        <w:rPr>
          <w:rFonts w:ascii="Arial"/>
          <w:b/>
          <w:color w:val="4E81BD"/>
          <w:w w:val="80"/>
          <w:sz w:val="24"/>
        </w:rPr>
        <w:t>Box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3.6.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UAS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Upper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Austria: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example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public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policy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institutional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governance</w:t>
      </w:r>
    </w:p>
    <w:p>
      <w:pPr>
        <w:pStyle w:val="BodyText"/>
        <w:spacing w:line="271" w:lineRule="auto" w:before="213"/>
        <w:ind w:left="298" w:right="424"/>
        <w:jc w:val="both"/>
      </w:pPr>
      <w:r>
        <w:rPr/>
        <w:t>The University of Applied Sciences (UAS) Upper Austria is an example of an institution that has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institutional-level</w:t>
      </w:r>
      <w:r>
        <w:rPr>
          <w:spacing w:val="1"/>
        </w:rPr>
        <w:t> </w:t>
      </w:r>
      <w:r>
        <w:rPr/>
        <w:t>levers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incentivise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individual</w:t>
      </w:r>
      <w:r>
        <w:rPr>
          <w:spacing w:val="-11"/>
        </w:rPr>
        <w:t> </w:t>
      </w:r>
      <w:r>
        <w:rPr/>
        <w:t>faculty</w:t>
      </w:r>
      <w:r>
        <w:rPr>
          <w:spacing w:val="-14"/>
        </w:rPr>
        <w:t> </w:t>
      </w:r>
      <w:r>
        <w:rPr/>
        <w:t>members,</w:t>
      </w:r>
      <w:r>
        <w:rPr>
          <w:spacing w:val="-10"/>
        </w:rPr>
        <w:t> </w:t>
      </w:r>
      <w:r>
        <w:rPr/>
        <w:t>within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policy</w:t>
      </w:r>
      <w:r>
        <w:rPr>
          <w:spacing w:val="-14"/>
        </w:rPr>
        <w:t> </w:t>
      </w:r>
      <w:r>
        <w:rPr/>
        <w:t>framework</w:t>
      </w:r>
      <w:r>
        <w:rPr>
          <w:spacing w:val="-6"/>
        </w:rPr>
        <w:t> </w:t>
      </w:r>
      <w:r>
        <w:rPr/>
        <w:t>that</w:t>
      </w:r>
      <w:r>
        <w:rPr>
          <w:spacing w:val="-10"/>
        </w:rPr>
        <w:t> </w:t>
      </w:r>
      <w:r>
        <w:rPr/>
        <w:t>strongly</w:t>
      </w:r>
      <w:r>
        <w:rPr>
          <w:spacing w:val="-11"/>
        </w:rPr>
        <w:t> </w:t>
      </w:r>
      <w:r>
        <w:rPr/>
        <w:t>promotes</w:t>
      </w:r>
      <w:r>
        <w:rPr>
          <w:spacing w:val="-9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and</w:t>
      </w:r>
      <w:r>
        <w:rPr>
          <w:spacing w:val="-53"/>
        </w:rPr>
        <w:t> </w:t>
      </w:r>
      <w:r>
        <w:rPr/>
        <w:t>relevance.</w:t>
      </w:r>
    </w:p>
    <w:p>
      <w:pPr>
        <w:pStyle w:val="BodyText"/>
        <w:spacing w:line="271" w:lineRule="auto" w:before="119"/>
        <w:ind w:left="298" w:right="414"/>
        <w:jc w:val="both"/>
      </w:pPr>
      <w:r>
        <w:rPr/>
        <w:t>At the policy level, the federal government of Austria provides institutional funding based on approved</w:t>
      </w:r>
      <w:r>
        <w:rPr>
          <w:spacing w:val="1"/>
        </w:rPr>
        <w:t> </w:t>
      </w:r>
      <w:r>
        <w:rPr>
          <w:spacing w:val="-1"/>
        </w:rPr>
        <w:t>places,</w:t>
      </w:r>
      <w:r>
        <w:rPr>
          <w:spacing w:val="-11"/>
        </w:rPr>
        <w:t> </w:t>
      </w:r>
      <w:r>
        <w:rPr>
          <w:spacing w:val="-1"/>
        </w:rPr>
        <w:t>determined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basis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economic</w:t>
      </w:r>
      <w:r>
        <w:rPr>
          <w:spacing w:val="-12"/>
        </w:rPr>
        <w:t> </w:t>
      </w:r>
      <w:r>
        <w:rPr>
          <w:spacing w:val="-1"/>
        </w:rPr>
        <w:t>needs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quality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programme.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obtain</w:t>
      </w:r>
      <w:r>
        <w:rPr>
          <w:spacing w:val="-13"/>
        </w:rPr>
        <w:t> </w:t>
      </w:r>
      <w:r>
        <w:rPr/>
        <w:t>funding,</w:t>
      </w:r>
      <w:r>
        <w:rPr>
          <w:spacing w:val="1"/>
        </w:rPr>
        <w:t> </w:t>
      </w:r>
      <w:r>
        <w:rPr/>
        <w:t>HEIs</w:t>
      </w:r>
      <w:r>
        <w:rPr>
          <w:spacing w:val="-9"/>
        </w:rPr>
        <w:t> </w:t>
      </w:r>
      <w:r>
        <w:rPr/>
        <w:t>must</w:t>
      </w:r>
      <w:r>
        <w:rPr>
          <w:spacing w:val="-10"/>
        </w:rPr>
        <w:t> </w:t>
      </w:r>
      <w:r>
        <w:rPr/>
        <w:t>enrol</w:t>
      </w:r>
      <w:r>
        <w:rPr>
          <w:spacing w:val="-10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approved</w:t>
      </w:r>
      <w:r>
        <w:rPr>
          <w:spacing w:val="-7"/>
        </w:rPr>
        <w:t> </w:t>
      </w:r>
      <w:r>
        <w:rPr/>
        <w:t>places.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federal</w:t>
      </w:r>
      <w:r>
        <w:rPr>
          <w:spacing w:val="-11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funds</w:t>
      </w:r>
      <w:r>
        <w:rPr>
          <w:spacing w:val="-8"/>
        </w:rPr>
        <w:t> </w:t>
      </w:r>
      <w:r>
        <w:rPr/>
        <w:t>fields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study</w:t>
      </w:r>
      <w:r>
        <w:rPr>
          <w:spacing w:val="-10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 in-demand occupations, such as engineering and information and communication technology (ICT),</w:t>
      </w:r>
      <w:r>
        <w:rPr>
          <w:spacing w:val="1"/>
        </w:rPr>
        <w:t> </w:t>
      </w:r>
      <w:r>
        <w:rPr/>
        <w:t>at</w:t>
      </w:r>
      <w:r>
        <w:rPr>
          <w:spacing w:val="-3"/>
        </w:rPr>
        <w:t> </w:t>
      </w:r>
      <w:r>
        <w:rPr/>
        <w:t>higher</w:t>
      </w:r>
      <w:r>
        <w:rPr>
          <w:spacing w:val="-1"/>
        </w:rPr>
        <w:t> </w:t>
      </w:r>
      <w:r>
        <w:rPr/>
        <w:t>rates than other</w:t>
      </w:r>
      <w:r>
        <w:rPr>
          <w:spacing w:val="-1"/>
        </w:rPr>
        <w:t> </w:t>
      </w:r>
      <w:r>
        <w:rPr/>
        <w:t>fields.</w:t>
      </w:r>
    </w:p>
    <w:p>
      <w:pPr>
        <w:pStyle w:val="BodyText"/>
        <w:spacing w:line="271" w:lineRule="auto" w:before="122"/>
        <w:ind w:left="298" w:right="416"/>
        <w:jc w:val="both"/>
      </w:pP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institutional</w:t>
      </w:r>
      <w:r>
        <w:rPr>
          <w:spacing w:val="-10"/>
        </w:rPr>
        <w:t> </w:t>
      </w:r>
      <w:r>
        <w:rPr/>
        <w:t>level,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UAS</w:t>
      </w:r>
      <w:r>
        <w:rPr>
          <w:spacing w:val="-9"/>
        </w:rPr>
        <w:t> </w:t>
      </w:r>
      <w:r>
        <w:rPr/>
        <w:t>Upper</w:t>
      </w:r>
      <w:r>
        <w:rPr>
          <w:spacing w:val="-9"/>
        </w:rPr>
        <w:t> </w:t>
      </w:r>
      <w:r>
        <w:rPr/>
        <w:t>Austria</w:t>
      </w:r>
      <w:r>
        <w:rPr>
          <w:spacing w:val="-9"/>
        </w:rPr>
        <w:t> </w:t>
      </w:r>
      <w:r>
        <w:rPr/>
        <w:t>includes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Board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Management,</w:t>
      </w:r>
      <w:r>
        <w:rPr>
          <w:spacing w:val="-9"/>
        </w:rPr>
        <w:t> </w:t>
      </w:r>
      <w:r>
        <w:rPr/>
        <w:t>an</w:t>
      </w:r>
      <w:r>
        <w:rPr>
          <w:spacing w:val="1"/>
        </w:rPr>
        <w:t> </w:t>
      </w:r>
      <w:r>
        <w:rPr/>
        <w:t>Academic Board, the schools (or faculties) which can be seen as independent “business units” as 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in-resource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below).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agreements include objectives for teaching, research and service. High performance in one area can</w:t>
      </w:r>
      <w:r>
        <w:rPr>
          <w:spacing w:val="1"/>
        </w:rPr>
        <w:t> </w:t>
      </w:r>
      <w:r>
        <w:rPr/>
        <w:t>lead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reduced</w:t>
      </w:r>
      <w:r>
        <w:rPr>
          <w:spacing w:val="-4"/>
        </w:rPr>
        <w:t> </w:t>
      </w:r>
      <w:r>
        <w:rPr/>
        <w:t>workload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areas,</w:t>
      </w:r>
      <w:r>
        <w:rPr>
          <w:spacing w:val="-4"/>
        </w:rPr>
        <w:t> </w:t>
      </w:r>
      <w:r>
        <w:rPr/>
        <w:t>encouraging</w:t>
      </w:r>
      <w:r>
        <w:rPr>
          <w:spacing w:val="-5"/>
        </w:rPr>
        <w:t> </w:t>
      </w:r>
      <w:r>
        <w:rPr/>
        <w:t>staff</w:t>
      </w:r>
      <w:r>
        <w:rPr>
          <w:spacing w:val="-7"/>
        </w:rPr>
        <w:t> </w:t>
      </w:r>
      <w:r>
        <w:rPr/>
        <w:t>members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specialise.</w:t>
      </w:r>
      <w:r>
        <w:rPr>
          <w:spacing w:val="-7"/>
        </w:rPr>
        <w:t> </w:t>
      </w:r>
      <w:r>
        <w:rPr/>
        <w:t>In</w:t>
      </w:r>
      <w:r>
        <w:rPr>
          <w:spacing w:val="3"/>
        </w:rPr>
        <w:t> </w:t>
      </w:r>
      <w:r>
        <w:rPr/>
        <w:t>addition,</w:t>
      </w:r>
      <w:r>
        <w:rPr>
          <w:spacing w:val="-7"/>
        </w:rPr>
        <w:t> </w:t>
      </w:r>
      <w:r>
        <w:rPr/>
        <w:t>faculty</w:t>
      </w:r>
      <w:r>
        <w:rPr>
          <w:spacing w:val="-53"/>
        </w:rPr>
        <w:t> </w:t>
      </w:r>
      <w:r>
        <w:rPr/>
        <w:t>members at the UAS Upper Austria should have spent a significant amount of time in industry before</w:t>
      </w:r>
      <w:r>
        <w:rPr>
          <w:spacing w:val="1"/>
        </w:rPr>
        <w:t> </w:t>
      </w:r>
      <w:r>
        <w:rPr/>
        <w:t>joining the university, helping ensure that staff have up-to-date knowledge and skills. The university</w:t>
      </w:r>
      <w:r>
        <w:rPr>
          <w:spacing w:val="1"/>
        </w:rPr>
        <w:t> </w:t>
      </w:r>
      <w:r>
        <w:rPr/>
        <w:t>fosters partnerships with industry and employers, which often leads to the hiring of students in high-</w:t>
      </w:r>
      <w:r>
        <w:rPr>
          <w:spacing w:val="1"/>
        </w:rPr>
        <w:t> </w:t>
      </w:r>
      <w:r>
        <w:rPr/>
        <w:t>demand</w:t>
      </w:r>
      <w:r>
        <w:rPr>
          <w:spacing w:val="-2"/>
        </w:rPr>
        <w:t> </w:t>
      </w:r>
      <w:r>
        <w:rPr/>
        <w:t>fields</w:t>
      </w:r>
      <w:r>
        <w:rPr>
          <w:spacing w:val="-1"/>
        </w:rPr>
        <w:t> </w:t>
      </w:r>
      <w:r>
        <w:rPr/>
        <w:t>even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1"/>
        </w:rPr>
        <w:t> </w:t>
      </w:r>
      <w:r>
        <w:rPr/>
        <w:t>of their</w:t>
      </w:r>
      <w:r>
        <w:rPr>
          <w:spacing w:val="-1"/>
        </w:rPr>
        <w:t> </w:t>
      </w:r>
      <w:r>
        <w:rPr/>
        <w:t>undergraduate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graduate</w:t>
      </w:r>
      <w:r>
        <w:rPr>
          <w:spacing w:val="-3"/>
        </w:rPr>
        <w:t> </w:t>
      </w:r>
      <w:r>
        <w:rPr/>
        <w:t>studies.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52"/>
      </w:pPr>
      <w:r>
        <w:rPr/>
        <w:pict>
          <v:group style="width:468.1pt;height:413.1pt;mso-position-horizontal-relative:char;mso-position-vertical-relative:line" coordorigin="0,0" coordsize="9362,8262">
            <v:rect style="position:absolute;left:9;top:9;width:9343;height:8243" filled="true" fillcolor="#eeece1" stroked="false">
              <v:fill type="solid"/>
            </v:rect>
            <v:shape style="position:absolute;left:147;top:709;width:9002;height:6700" type="#_x0000_t75" alt="A picture containing diagram  Description automatically generated" stroked="false">
              <v:imagedata r:id="rId154" o:title=""/>
            </v:shape>
            <v:shape style="position:absolute;left:4;top:4;width:9352;height:8253" type="#_x0000_t202" filled="false" stroked="true" strokeweight=".47998pt" strokecolor="#4e81bd">
              <v:textbox inset="0,0,0,0">
                <w:txbxContent>
                  <w:p>
                    <w:pPr>
                      <w:spacing w:before="240"/>
                      <w:ind w:left="136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Governing</w:t>
                    </w:r>
                    <w:r>
                      <w:rPr>
                        <w:rFonts w:ascii="Arial"/>
                        <w:b/>
                        <w:color w:val="4E81BD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structure</w:t>
                    </w:r>
                    <w:r>
                      <w:rPr>
                        <w:rFonts w:ascii="Arial"/>
                        <w:b/>
                        <w:color w:val="4E81BD"/>
                        <w:spacing w:val="17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and</w:t>
                    </w:r>
                    <w:r>
                      <w:rPr>
                        <w:rFonts w:ascii="Arial"/>
                        <w:b/>
                        <w:color w:val="4E81BD"/>
                        <w:spacing w:val="12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corporate</w:t>
                    </w:r>
                    <w:r>
                      <w:rPr>
                        <w:rFonts w:ascii="Arial"/>
                        <w:b/>
                        <w:color w:val="4E81BD"/>
                        <w:spacing w:val="16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funding</w:t>
                    </w:r>
                    <w:r>
                      <w:rPr>
                        <w:rFonts w:ascii="Arial"/>
                        <w:b/>
                        <w:color w:val="4E81BD"/>
                        <w:spacing w:val="16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management</w:t>
                    </w:r>
                    <w:r>
                      <w:rPr>
                        <w:rFonts w:ascii="Arial"/>
                        <w:b/>
                        <w:color w:val="4E81BD"/>
                        <w:spacing w:val="1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of</w:t>
                    </w:r>
                    <w:r>
                      <w:rPr>
                        <w:rFonts w:ascii="Arial"/>
                        <w:b/>
                        <w:color w:val="4E81BD"/>
                        <w:spacing w:val="16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the</w:t>
                    </w:r>
                    <w:r>
                      <w:rPr>
                        <w:rFonts w:ascii="Arial"/>
                        <w:b/>
                        <w:color w:val="4E81BD"/>
                        <w:spacing w:val="16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UAS</w:t>
                    </w:r>
                    <w:r>
                      <w:rPr>
                        <w:rFonts w:ascii="Arial"/>
                        <w:b/>
                        <w:color w:val="4E81BD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Upper</w:t>
                    </w:r>
                    <w:r>
                      <w:rPr>
                        <w:rFonts w:ascii="Arial"/>
                        <w:b/>
                        <w:color w:val="4E81BD"/>
                        <w:spacing w:val="13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4E81BD"/>
                        <w:w w:val="80"/>
                        <w:sz w:val="24"/>
                      </w:rPr>
                      <w:t>Austria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before="251"/>
                      <w:ind w:left="136" w:right="0" w:firstLine="0"/>
                      <w:jc w:val="lef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80"/>
                        <w:position w:val="1"/>
                        <w:sz w:val="18"/>
                      </w:rPr>
                      <w:t>Source:</w:t>
                    </w:r>
                    <w:r>
                      <w:rPr>
                        <w:rFonts w:ascii="Microsoft Sans Serif" w:hAnsi="Microsoft Sans Serif"/>
                        <w:spacing w:val="11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position w:val="1"/>
                        <w:sz w:val="18"/>
                      </w:rPr>
                      <w:t>Zehetner</w:t>
                    </w:r>
                    <w:r>
                      <w:rPr>
                        <w:rFonts w:ascii="Microsoft Sans Serif" w:hAnsi="Microsoft Sans Serif"/>
                        <w:spacing w:val="14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position w:val="1"/>
                        <w:sz w:val="18"/>
                      </w:rPr>
                      <w:t>(2021</w:t>
                    </w:r>
                    <w:r>
                      <w:rPr>
                        <w:rFonts w:ascii="Microsoft Sans Serif" w:hAnsi="Microsoft Sans Serif"/>
                        <w:w w:val="80"/>
                        <w:sz w:val="12"/>
                      </w:rPr>
                      <w:t>[66]</w:t>
                    </w:r>
                    <w:r>
                      <w:rPr>
                        <w:rFonts w:ascii="Microsoft Sans Serif" w:hAnsi="Microsoft Sans Serif"/>
                        <w:w w:val="80"/>
                        <w:position w:val="1"/>
                        <w:sz w:val="18"/>
                      </w:rPr>
                      <w:t>),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Using</w:t>
                    </w:r>
                    <w:r>
                      <w:rPr>
                        <w:rFonts w:ascii="Arial" w:hAnsi="Arial"/>
                        <w:i/>
                        <w:spacing w:val="10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funding</w:t>
                    </w:r>
                    <w:r>
                      <w:rPr>
                        <w:rFonts w:ascii="Arial" w:hAnsi="Arial"/>
                        <w:i/>
                        <w:spacing w:val="10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levers</w:t>
                    </w:r>
                    <w:r>
                      <w:rPr>
                        <w:rFonts w:ascii="Arial" w:hAnsi="Arial"/>
                        <w:i/>
                        <w:spacing w:val="12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to</w:t>
                    </w:r>
                    <w:r>
                      <w:rPr>
                        <w:rFonts w:ascii="Arial" w:hAnsi="Arial"/>
                        <w:i/>
                        <w:spacing w:val="10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promote</w:t>
                    </w:r>
                    <w:r>
                      <w:rPr>
                        <w:rFonts w:ascii="Arial" w:hAnsi="Arial"/>
                        <w:i/>
                        <w:spacing w:val="10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higher</w:t>
                    </w:r>
                    <w:r>
                      <w:rPr>
                        <w:rFonts w:ascii="Arial" w:hAnsi="Arial"/>
                        <w:i/>
                        <w:spacing w:val="9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education</w:t>
                    </w:r>
                    <w:r>
                      <w:rPr>
                        <w:rFonts w:ascii="Arial" w:hAnsi="Arial"/>
                        <w:i/>
                        <w:spacing w:val="10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performance</w:t>
                    </w:r>
                    <w:r>
                      <w:rPr>
                        <w:rFonts w:ascii="Arial" w:hAnsi="Arial"/>
                        <w:i/>
                        <w:spacing w:val="14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spacing w:val="10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An</w:t>
                    </w:r>
                    <w:r>
                      <w:rPr>
                        <w:rFonts w:ascii="Arial" w:hAnsi="Arial"/>
                        <w:i/>
                        <w:spacing w:val="10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institutional</w:t>
                    </w:r>
                    <w:r>
                      <w:rPr>
                        <w:rFonts w:ascii="Arial" w:hAnsi="Arial"/>
                        <w:i/>
                        <w:spacing w:val="11"/>
                        <w:w w:val="8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80"/>
                        <w:position w:val="1"/>
                        <w:sz w:val="18"/>
                      </w:rPr>
                      <w:t>perspective</w:t>
                    </w:r>
                    <w:r>
                      <w:rPr>
                        <w:rFonts w:ascii="Microsoft Sans Serif" w:hAnsi="Microsoft Sans Serif"/>
                        <w:w w:val="80"/>
                        <w:position w:val="1"/>
                        <w:sz w:val="18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/>
        <w:rPr>
          <w:sz w:val="11"/>
        </w:rPr>
      </w:pPr>
    </w:p>
    <w:p>
      <w:pPr>
        <w:pStyle w:val="Heading7"/>
        <w:spacing w:before="94"/>
      </w:pPr>
      <w:bookmarkStart w:name="Constraints on human resource management" w:id="158"/>
      <w:bookmarkEnd w:id="158"/>
      <w:r>
        <w:rPr>
          <w:i w:val="0"/>
        </w:rPr>
      </w:r>
      <w:r>
        <w:rPr>
          <w:color w:val="616161"/>
        </w:rPr>
        <w:t>Constraints</w:t>
      </w:r>
      <w:r>
        <w:rPr>
          <w:color w:val="616161"/>
          <w:spacing w:val="-5"/>
        </w:rPr>
        <w:t> </w:t>
      </w:r>
      <w:r>
        <w:rPr>
          <w:color w:val="616161"/>
        </w:rPr>
        <w:t>on</w:t>
      </w:r>
      <w:r>
        <w:rPr>
          <w:color w:val="616161"/>
          <w:spacing w:val="-3"/>
        </w:rPr>
        <w:t> </w:t>
      </w:r>
      <w:r>
        <w:rPr>
          <w:color w:val="616161"/>
        </w:rPr>
        <w:t>human</w:t>
      </w:r>
      <w:r>
        <w:rPr>
          <w:color w:val="616161"/>
          <w:spacing w:val="-6"/>
        </w:rPr>
        <w:t> </w:t>
      </w:r>
      <w:r>
        <w:rPr>
          <w:color w:val="616161"/>
        </w:rPr>
        <w:t>resource</w:t>
      </w:r>
      <w:r>
        <w:rPr>
          <w:color w:val="616161"/>
          <w:spacing w:val="-5"/>
        </w:rPr>
        <w:t> </w:t>
      </w:r>
      <w:r>
        <w:rPr>
          <w:color w:val="616161"/>
        </w:rPr>
        <w:t>management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2"/>
        <w:jc w:val="both"/>
      </w:pPr>
      <w:r>
        <w:rPr/>
        <w:t>The ability of HEIs to attract sufficient numbers of qualified staff – both academic and professional – is</w:t>
      </w:r>
      <w:r>
        <w:rPr>
          <w:spacing w:val="1"/>
        </w:rPr>
        <w:t> </w:t>
      </w:r>
      <w:r>
        <w:rPr>
          <w:w w:val="95"/>
        </w:rPr>
        <w:t>critical to their performance. Slovak HEIs have maintained a relatively high number of teaching staff despite</w:t>
      </w:r>
      <w:r>
        <w:rPr>
          <w:spacing w:val="1"/>
          <w:w w:val="95"/>
        </w:rPr>
        <w:t> </w:t>
      </w:r>
      <w:r>
        <w:rPr/>
        <w:t>declining student numbers, while the increase of funds available to higher education has generally not</w:t>
      </w:r>
      <w:r>
        <w:rPr>
          <w:spacing w:val="1"/>
        </w:rPr>
        <w:t> </w:t>
      </w:r>
      <w:r>
        <w:rPr>
          <w:spacing w:val="-1"/>
        </w:rPr>
        <w:t>supported</w:t>
      </w:r>
      <w:r>
        <w:rPr>
          <w:spacing w:val="-11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increase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teaching</w:t>
      </w:r>
      <w:r>
        <w:rPr>
          <w:spacing w:val="-12"/>
        </w:rPr>
        <w:t> </w:t>
      </w:r>
      <w:r>
        <w:rPr>
          <w:spacing w:val="-1"/>
        </w:rPr>
        <w:t>staff</w:t>
      </w:r>
      <w:r>
        <w:rPr>
          <w:spacing w:val="-11"/>
        </w:rPr>
        <w:t> </w:t>
      </w:r>
      <w:r>
        <w:rPr>
          <w:spacing w:val="-1"/>
        </w:rPr>
        <w:t>wages,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discussed</w:t>
      </w:r>
      <w:r>
        <w:rPr>
          <w:spacing w:val="-7"/>
        </w:rPr>
        <w:t> </w:t>
      </w:r>
      <w:r>
        <w:rPr>
          <w:spacing w:val="-1"/>
        </w:rPr>
        <w:t>earlier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“Using</w:t>
      </w:r>
      <w:r>
        <w:rPr>
          <w:spacing w:val="-11"/>
        </w:rPr>
        <w:t> </w:t>
      </w:r>
      <w:r>
        <w:rPr/>
        <w:t>funding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 reward higher education performance”. This has thus limited the funding available to HEI leaders to</w:t>
      </w:r>
      <w:r>
        <w:rPr>
          <w:spacing w:val="1"/>
        </w:rPr>
        <w:t> </w:t>
      </w:r>
      <w:r>
        <w:rPr/>
        <w:t>create</w:t>
      </w:r>
      <w:r>
        <w:rPr>
          <w:spacing w:val="-2"/>
        </w:rPr>
        <w:t> </w:t>
      </w:r>
      <w:r>
        <w:rPr/>
        <w:t>attractive working</w:t>
      </w:r>
      <w:r>
        <w:rPr>
          <w:spacing w:val="-2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employees.</w:t>
      </w:r>
    </w:p>
    <w:p>
      <w:pPr>
        <w:pStyle w:val="BodyText"/>
        <w:spacing w:line="271" w:lineRule="auto" w:before="121"/>
        <w:ind w:left="183" w:right="304"/>
        <w:jc w:val="both"/>
      </w:pPr>
      <w:r>
        <w:rPr/>
        <w:t>This challenge was confirmed by higher education stakeholders interviewed by the OECD, who pointed</w:t>
      </w:r>
      <w:r>
        <w:rPr>
          <w:spacing w:val="1"/>
        </w:rPr>
        <w:t> </w:t>
      </w:r>
      <w:r>
        <w:rPr/>
        <w:t>out the difficulty in attracting highly skilled academic and professional staff, especially from outside</w:t>
      </w:r>
      <w:r>
        <w:rPr>
          <w:spacing w:val="1"/>
        </w:rPr>
        <w:t> </w:t>
      </w:r>
      <w:r>
        <w:rPr/>
        <w:t>academia and from abroad. Despite changes in policy described earlier, the number of individuals with</w:t>
      </w:r>
      <w:r>
        <w:rPr>
          <w:spacing w:val="1"/>
        </w:rPr>
        <w:t> </w:t>
      </w:r>
      <w:r>
        <w:rPr/>
        <w:t>such profiles in Slovak HEIs appears to remain low. According to the Ministry of Education, in 2019/20,</w:t>
      </w:r>
      <w:r>
        <w:rPr>
          <w:spacing w:val="1"/>
        </w:rPr>
        <w:t> </w:t>
      </w:r>
      <w:r>
        <w:rPr/>
        <w:t>there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824</w:t>
      </w:r>
      <w:r>
        <w:rPr>
          <w:spacing w:val="-5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14"/>
        </w:rPr>
        <w:t> </w:t>
      </w:r>
      <w:r>
        <w:rPr/>
        <w:t>teachers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abroad,</w:t>
      </w:r>
      <w:r>
        <w:rPr>
          <w:spacing w:val="-11"/>
        </w:rPr>
        <w:t> </w:t>
      </w:r>
      <w:r>
        <w:rPr/>
        <w:t>while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figures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available</w:t>
      </w:r>
      <w:r>
        <w:rPr>
          <w:spacing w:val="-14"/>
        </w:rPr>
        <w:t> </w:t>
      </w:r>
      <w:r>
        <w:rPr/>
        <w:t>regarding</w:t>
      </w:r>
      <w:r>
        <w:rPr>
          <w:spacing w:val="-14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 a professional background. By comparison, and taking into account the Austrian’s higher education</w:t>
      </w:r>
      <w:r>
        <w:rPr>
          <w:spacing w:val="1"/>
        </w:rPr>
        <w:t> </w:t>
      </w:r>
      <w:r>
        <w:rPr/>
        <w:t>system is about 2.5 times larger than the Slovak system in terms of student enrolment, there were more</w:t>
      </w:r>
      <w:r>
        <w:rPr>
          <w:spacing w:val="1"/>
        </w:rPr>
        <w:t> </w:t>
      </w:r>
      <w:r>
        <w:rPr>
          <w:position w:val="1"/>
        </w:rPr>
        <w:t>than 10</w:t>
      </w:r>
      <w:r>
        <w:rPr>
          <w:spacing w:val="1"/>
          <w:position w:val="1"/>
        </w:rPr>
        <w:t> </w:t>
      </w:r>
      <w:r>
        <w:rPr>
          <w:position w:val="1"/>
        </w:rPr>
        <w:t>000</w:t>
      </w:r>
      <w:r>
        <w:rPr>
          <w:spacing w:val="-2"/>
          <w:position w:val="1"/>
        </w:rPr>
        <w:t> </w:t>
      </w:r>
      <w:r>
        <w:rPr>
          <w:position w:val="1"/>
        </w:rPr>
        <w:t>foreign</w:t>
      </w:r>
      <w:r>
        <w:rPr>
          <w:spacing w:val="-2"/>
          <w:position w:val="1"/>
        </w:rPr>
        <w:t> </w:t>
      </w:r>
      <w:r>
        <w:rPr>
          <w:position w:val="1"/>
        </w:rPr>
        <w:t>scholars</w:t>
      </w:r>
      <w:r>
        <w:rPr>
          <w:spacing w:val="-1"/>
          <w:position w:val="1"/>
        </w:rPr>
        <w:t> </w:t>
      </w:r>
      <w:r>
        <w:rPr>
          <w:position w:val="1"/>
        </w:rPr>
        <w:t>in</w:t>
      </w:r>
      <w:r>
        <w:rPr>
          <w:spacing w:val="-1"/>
          <w:position w:val="1"/>
        </w:rPr>
        <w:t> </w:t>
      </w:r>
      <w:r>
        <w:rPr>
          <w:position w:val="1"/>
        </w:rPr>
        <w:t>Austria in</w:t>
      </w:r>
      <w:r>
        <w:rPr>
          <w:spacing w:val="1"/>
          <w:position w:val="1"/>
        </w:rPr>
        <w:t> </w:t>
      </w:r>
      <w:r>
        <w:rPr>
          <w:position w:val="1"/>
        </w:rPr>
        <w:t>2016</w:t>
      </w:r>
      <w:r>
        <w:rPr>
          <w:spacing w:val="2"/>
          <w:position w:val="1"/>
        </w:rPr>
        <w:t> </w:t>
      </w:r>
      <w:r>
        <w:rPr>
          <w:position w:val="1"/>
        </w:rPr>
        <w:t>(ETER,</w:t>
      </w:r>
      <w:r>
        <w:rPr>
          <w:spacing w:val="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[67]</w:t>
      </w:r>
      <w:r>
        <w:rPr>
          <w:position w:val="1"/>
        </w:rPr>
        <w:t>).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3"/>
        <w:jc w:val="both"/>
      </w:pPr>
      <w:r>
        <w:rPr/>
        <w:t>Unattractive salaries are another barrier to hiring and retaining competent staff. MoE publishes payroll</w:t>
      </w:r>
      <w:r>
        <w:rPr>
          <w:spacing w:val="1"/>
        </w:rPr>
        <w:t> </w:t>
      </w:r>
      <w:r>
        <w:rPr/>
        <w:t>tables</w:t>
      </w:r>
      <w:r>
        <w:rPr>
          <w:spacing w:val="-8"/>
        </w:rPr>
        <w:t> </w:t>
      </w:r>
      <w:r>
        <w:rPr/>
        <w:t>annually,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binding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public</w:t>
      </w:r>
      <w:r>
        <w:rPr>
          <w:spacing w:val="-8"/>
        </w:rPr>
        <w:t> </w:t>
      </w:r>
      <w:r>
        <w:rPr/>
        <w:t>HEIs</w:t>
      </w:r>
      <w:r>
        <w:rPr>
          <w:spacing w:val="-5"/>
        </w:rPr>
        <w:t> </w:t>
      </w:r>
      <w:r>
        <w:rPr/>
        <w:t>except</w:t>
      </w:r>
      <w:r>
        <w:rPr>
          <w:spacing w:val="-9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adopt</w:t>
      </w:r>
      <w:r>
        <w:rPr>
          <w:spacing w:val="-9"/>
        </w:rPr>
        <w:t> </w:t>
      </w:r>
      <w:r>
        <w:rPr/>
        <w:t>their</w:t>
      </w:r>
      <w:r>
        <w:rPr>
          <w:spacing w:val="-6"/>
        </w:rPr>
        <w:t> </w:t>
      </w:r>
      <w:r>
        <w:rPr/>
        <w:t>own</w:t>
      </w:r>
      <w:r>
        <w:rPr>
          <w:spacing w:val="-7"/>
        </w:rPr>
        <w:t> </w:t>
      </w:r>
      <w:r>
        <w:rPr/>
        <w:t>table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 teaching staff unions. These tables define the level of higher education teachers’ basic salaries</w:t>
      </w:r>
      <w:r>
        <w:rPr>
          <w:spacing w:val="1"/>
        </w:rPr>
        <w:t> </w:t>
      </w:r>
      <w:r>
        <w:rPr>
          <w:spacing w:val="-1"/>
        </w:rPr>
        <w:t>according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their</w:t>
      </w:r>
      <w:r>
        <w:rPr>
          <w:spacing w:val="-10"/>
        </w:rPr>
        <w:t> </w:t>
      </w:r>
      <w:r>
        <w:rPr>
          <w:spacing w:val="-1"/>
        </w:rPr>
        <w:t>qualification</w:t>
      </w:r>
      <w:r>
        <w:rPr>
          <w:spacing w:val="-14"/>
        </w:rPr>
        <w:t> </w:t>
      </w:r>
      <w:r>
        <w:rPr>
          <w:spacing w:val="-1"/>
        </w:rPr>
        <w:t>level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years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experience.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2020,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range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gross</w:t>
      </w:r>
      <w:r>
        <w:rPr>
          <w:spacing w:val="-12"/>
        </w:rPr>
        <w:t> </w:t>
      </w:r>
      <w:r>
        <w:rPr/>
        <w:t>salary</w:t>
      </w:r>
      <w:r>
        <w:rPr>
          <w:spacing w:val="-16"/>
        </w:rPr>
        <w:t> </w:t>
      </w:r>
      <w:r>
        <w:rPr/>
        <w:t>for</w:t>
      </w:r>
      <w:r>
        <w:rPr>
          <w:spacing w:val="-12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 entry-level qualifications and up to two years of experience started at EUR 807.50 per month and</w:t>
      </w:r>
      <w:r>
        <w:rPr>
          <w:spacing w:val="1"/>
        </w:rPr>
        <w:t> </w:t>
      </w:r>
      <w:r>
        <w:rPr/>
        <w:t>reached EUR 1 706 for those with the highest qualification level and over 40 years of working experience</w:t>
      </w:r>
      <w:r>
        <w:rPr>
          <w:spacing w:val="-53"/>
        </w:rPr>
        <w:t> </w:t>
      </w:r>
      <w:r>
        <w:rPr/>
        <w:t>in the higher education sector. In comparison, the average entry wage of Slovak tertiary education</w:t>
      </w:r>
      <w:r>
        <w:rPr>
          <w:spacing w:val="1"/>
        </w:rPr>
        <w:t> </w:t>
      </w:r>
      <w:r>
        <w:rPr>
          <w:position w:val="1"/>
        </w:rPr>
        <w:t>graduates</w:t>
      </w:r>
      <w:r>
        <w:rPr>
          <w:spacing w:val="-1"/>
          <w:position w:val="1"/>
        </w:rPr>
        <w:t> </w:t>
      </w:r>
      <w:r>
        <w:rPr>
          <w:position w:val="1"/>
        </w:rPr>
        <w:t>in</w:t>
      </w:r>
      <w:r>
        <w:rPr>
          <w:spacing w:val="-1"/>
          <w:position w:val="1"/>
        </w:rPr>
        <w:t> </w:t>
      </w:r>
      <w:r>
        <w:rPr>
          <w:position w:val="1"/>
        </w:rPr>
        <w:t>2019 was EUR</w:t>
      </w:r>
      <w:r>
        <w:rPr>
          <w:spacing w:val="2"/>
          <w:position w:val="1"/>
        </w:rPr>
        <w:t> </w:t>
      </w:r>
      <w:r>
        <w:rPr>
          <w:position w:val="1"/>
        </w:rPr>
        <w:t>1</w:t>
      </w:r>
      <w:r>
        <w:rPr>
          <w:spacing w:val="-2"/>
          <w:position w:val="1"/>
        </w:rPr>
        <w:t> </w:t>
      </w:r>
      <w:r>
        <w:rPr>
          <w:position w:val="1"/>
        </w:rPr>
        <w:t>204</w:t>
      </w:r>
      <w:r>
        <w:rPr>
          <w:spacing w:val="-1"/>
          <w:position w:val="1"/>
        </w:rPr>
        <w:t> </w:t>
      </w:r>
      <w:r>
        <w:rPr>
          <w:position w:val="1"/>
        </w:rPr>
        <w:t>(Uplatnenie,</w:t>
      </w:r>
      <w:r>
        <w:rPr>
          <w:spacing w:val="1"/>
          <w:position w:val="1"/>
        </w:rPr>
        <w:t> </w:t>
      </w:r>
      <w:r>
        <w:rPr>
          <w:position w:val="1"/>
        </w:rPr>
        <w:t>2021</w:t>
      </w:r>
      <w:r>
        <w:rPr>
          <w:sz w:val="13"/>
        </w:rPr>
        <w:t>[68]</w:t>
      </w:r>
      <w:r>
        <w:rPr>
          <w:position w:val="1"/>
        </w:rPr>
        <w:t>).</w:t>
      </w:r>
    </w:p>
    <w:p>
      <w:pPr>
        <w:pStyle w:val="BodyText"/>
        <w:spacing w:line="271" w:lineRule="auto" w:before="119"/>
        <w:ind w:left="183" w:right="299"/>
        <w:jc w:val="both"/>
      </w:pPr>
      <w:r>
        <w:rPr>
          <w:spacing w:val="-1"/>
        </w:rPr>
        <w:t>MoE</w:t>
      </w:r>
      <w:r>
        <w:rPr>
          <w:spacing w:val="-14"/>
        </w:rPr>
        <w:t> </w:t>
      </w:r>
      <w:r>
        <w:rPr>
          <w:spacing w:val="-1"/>
        </w:rPr>
        <w:t>has</w:t>
      </w:r>
      <w:r>
        <w:rPr>
          <w:spacing w:val="-12"/>
        </w:rPr>
        <w:t> </w:t>
      </w:r>
      <w:r>
        <w:rPr>
          <w:spacing w:val="-1"/>
        </w:rPr>
        <w:t>tried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improve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attractiveness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higher</w:t>
      </w:r>
      <w:r>
        <w:rPr>
          <w:spacing w:val="-12"/>
        </w:rPr>
        <w:t> </w:t>
      </w:r>
      <w:r>
        <w:rPr>
          <w:spacing w:val="-1"/>
        </w:rPr>
        <w:t>education</w:t>
      </w:r>
      <w:r>
        <w:rPr>
          <w:spacing w:val="-14"/>
        </w:rPr>
        <w:t> </w:t>
      </w:r>
      <w:r>
        <w:rPr>
          <w:spacing w:val="-1"/>
        </w:rPr>
        <w:t>teaching</w:t>
      </w:r>
      <w:r>
        <w:rPr>
          <w:spacing w:val="-13"/>
        </w:rPr>
        <w:t> </w:t>
      </w:r>
      <w:r>
        <w:rPr/>
        <w:t>by</w:t>
      </w:r>
      <w:r>
        <w:rPr>
          <w:spacing w:val="-19"/>
        </w:rPr>
        <w:t> </w:t>
      </w:r>
      <w:r>
        <w:rPr/>
        <w:t>revising</w:t>
      </w:r>
      <w:r>
        <w:rPr>
          <w:spacing w:val="-13"/>
        </w:rPr>
        <w:t> </w:t>
      </w:r>
      <w:r>
        <w:rPr/>
        <w:t>payroll</w:t>
      </w:r>
      <w:r>
        <w:rPr>
          <w:spacing w:val="-13"/>
        </w:rPr>
        <w:t> </w:t>
      </w:r>
      <w:r>
        <w:rPr/>
        <w:t>tables,</w:t>
      </w:r>
      <w:r>
        <w:rPr>
          <w:spacing w:val="-13"/>
        </w:rPr>
        <w:t> </w:t>
      </w:r>
      <w:r>
        <w:rPr/>
        <w:t>allowing</w:t>
      </w:r>
      <w:r>
        <w:rPr>
          <w:spacing w:val="1"/>
        </w:rPr>
        <w:t> </w:t>
      </w:r>
      <w:r>
        <w:rPr/>
        <w:t>teachers’ real wages to grow since 2012. In addition, HEIs can complement the basic salary set in the</w:t>
      </w:r>
      <w:r>
        <w:rPr>
          <w:spacing w:val="1"/>
        </w:rPr>
        <w:t> </w:t>
      </w:r>
      <w:r>
        <w:rPr/>
        <w:t>payroll table by personal payroll bonuses up to a level doubling the basic salary. As a result, the average</w:t>
      </w:r>
      <w:r>
        <w:rPr>
          <w:spacing w:val="1"/>
        </w:rPr>
        <w:t> </w:t>
      </w:r>
      <w:r>
        <w:rPr/>
        <w:t>gross salary of higher education teachers in 2019 reached EUR 2 520 for professors, EUR 1 929 for</w:t>
      </w:r>
      <w:r>
        <w:rPr>
          <w:spacing w:val="1"/>
        </w:rPr>
        <w:t> </w:t>
      </w:r>
      <w:r>
        <w:rPr/>
        <w:t>doctors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EUR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472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assistant</w:t>
      </w:r>
      <w:r>
        <w:rPr>
          <w:spacing w:val="-4"/>
        </w:rPr>
        <w:t> </w:t>
      </w:r>
      <w:r>
        <w:rPr/>
        <w:t>professors,</w:t>
      </w:r>
      <w:r>
        <w:rPr>
          <w:spacing w:val="-5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MoE.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presents</w:t>
      </w:r>
      <w:r>
        <w:rPr>
          <w:spacing w:val="-3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operational</w:t>
      </w:r>
      <w:r>
        <w:rPr>
          <w:spacing w:val="-12"/>
        </w:rPr>
        <w:t> </w:t>
      </w:r>
      <w:r>
        <w:rPr>
          <w:spacing w:val="-1"/>
        </w:rPr>
        <w:t>human</w:t>
      </w:r>
      <w:r>
        <w:rPr>
          <w:spacing w:val="-13"/>
        </w:rPr>
        <w:t> </w:t>
      </w:r>
      <w:r>
        <w:rPr>
          <w:spacing w:val="-1"/>
        </w:rPr>
        <w:t>resource</w:t>
      </w:r>
      <w:r>
        <w:rPr>
          <w:spacing w:val="-12"/>
        </w:rPr>
        <w:t> </w:t>
      </w:r>
      <w:r>
        <w:rPr>
          <w:spacing w:val="-1"/>
        </w:rPr>
        <w:t>management</w:t>
      </w:r>
      <w:r>
        <w:rPr>
          <w:spacing w:val="-12"/>
        </w:rPr>
        <w:t> </w:t>
      </w:r>
      <w:r>
        <w:rPr>
          <w:spacing w:val="-1"/>
        </w:rPr>
        <w:t>tool,</w:t>
      </w:r>
      <w:r>
        <w:rPr>
          <w:spacing w:val="-10"/>
        </w:rPr>
        <w:t> </w:t>
      </w:r>
      <w:r>
        <w:rPr>
          <w:spacing w:val="-1"/>
        </w:rPr>
        <w:t>provided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surplus</w:t>
      </w:r>
      <w:r>
        <w:rPr>
          <w:spacing w:val="-10"/>
        </w:rPr>
        <w:t> </w:t>
      </w:r>
      <w:r>
        <w:rPr>
          <w:spacing w:val="-1"/>
        </w:rPr>
        <w:t>wage-eligible</w:t>
      </w:r>
      <w:r>
        <w:rPr>
          <w:spacing w:val="-8"/>
        </w:rPr>
        <w:t> </w:t>
      </w:r>
      <w:r>
        <w:rPr/>
        <w:t>funding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management methods are applied to utilise the tool. Since 2017, the allocation by HEIs to their</w:t>
      </w:r>
      <w:r>
        <w:rPr>
          <w:spacing w:val="1"/>
        </w:rPr>
        <w:t> </w:t>
      </w:r>
      <w:r>
        <w:rPr/>
        <w:t>staff of personal payroll bonuses is reported to have increased, although with differences across HEIs,</w:t>
      </w:r>
      <w:r>
        <w:rPr>
          <w:spacing w:val="1"/>
        </w:rPr>
        <w:t> </w:t>
      </w:r>
      <w:r>
        <w:rPr/>
        <w:t>possibly as HEIs responded to the incentive built into the funding formula encouraging high-quality</w:t>
      </w:r>
      <w:r>
        <w:rPr>
          <w:spacing w:val="1"/>
        </w:rPr>
        <w:t> </w:t>
      </w:r>
      <w:r>
        <w:rPr/>
        <w:t>research. Nevertheless, given the level of basic salaries, employment in HEIs remains a less attractive</w:t>
      </w:r>
      <w:r>
        <w:rPr>
          <w:spacing w:val="1"/>
        </w:rPr>
        <w:t> </w:t>
      </w:r>
      <w:r>
        <w:rPr/>
        <w:t>option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many</w:t>
      </w:r>
      <w:r>
        <w:rPr>
          <w:spacing w:val="-2"/>
        </w:rPr>
        <w:t> </w:t>
      </w:r>
      <w:r>
        <w:rPr/>
        <w:t>young</w:t>
      </w:r>
      <w:r>
        <w:rPr>
          <w:spacing w:val="-2"/>
        </w:rPr>
        <w:t> </w:t>
      </w:r>
      <w:r>
        <w:rPr/>
        <w:t>graduates than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sectors.</w:t>
      </w:r>
    </w:p>
    <w:p>
      <w:pPr>
        <w:pStyle w:val="BodyText"/>
        <w:spacing w:line="271" w:lineRule="auto" w:before="123"/>
        <w:ind w:left="183" w:right="301"/>
        <w:jc w:val="both"/>
      </w:pPr>
      <w:r>
        <w:rPr>
          <w:spacing w:val="-1"/>
        </w:rPr>
        <w:t>Low</w:t>
      </w:r>
      <w:r>
        <w:rPr>
          <w:spacing w:val="-13"/>
        </w:rPr>
        <w:t> </w:t>
      </w:r>
      <w:r>
        <w:rPr>
          <w:spacing w:val="-1"/>
        </w:rPr>
        <w:t>levels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remuneration</w:t>
      </w:r>
      <w:r>
        <w:rPr>
          <w:spacing w:val="-12"/>
        </w:rPr>
        <w:t> </w:t>
      </w:r>
      <w:r>
        <w:rPr/>
        <w:t>alongside</w:t>
      </w:r>
      <w:r>
        <w:rPr>
          <w:spacing w:val="-13"/>
        </w:rPr>
        <w:t> </w:t>
      </w:r>
      <w:r>
        <w:rPr/>
        <w:t>short</w:t>
      </w:r>
      <w:r>
        <w:rPr>
          <w:spacing w:val="-11"/>
        </w:rPr>
        <w:t> </w:t>
      </w:r>
      <w:r>
        <w:rPr/>
        <w:t>contracts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create</w:t>
      </w:r>
      <w:r>
        <w:rPr>
          <w:spacing w:val="-14"/>
        </w:rPr>
        <w:t> </w:t>
      </w:r>
      <w:r>
        <w:rPr/>
        <w:t>challenges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those</w:t>
      </w:r>
      <w:r>
        <w:rPr>
          <w:spacing w:val="-13"/>
        </w:rPr>
        <w:t> </w:t>
      </w:r>
      <w:r>
        <w:rPr/>
        <w:t>who</w:t>
      </w:r>
      <w:r>
        <w:rPr>
          <w:spacing w:val="-14"/>
        </w:rPr>
        <w:t> </w:t>
      </w:r>
      <w:r>
        <w:rPr/>
        <w:t>choose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teach</w:t>
      </w:r>
      <w:r>
        <w:rPr>
          <w:spacing w:val="1"/>
        </w:rPr>
        <w:t> </w:t>
      </w:r>
      <w:r>
        <w:rPr/>
        <w:t>in higher education, especially during the first part of their careers. For instance,</w:t>
      </w:r>
      <w:r>
        <w:rPr>
          <w:spacing w:val="1"/>
        </w:rPr>
        <w:t> </w:t>
      </w:r>
      <w:r>
        <w:rPr/>
        <w:t>higher education</w:t>
      </w:r>
      <w:r>
        <w:rPr>
          <w:spacing w:val="1"/>
        </w:rPr>
        <w:t> </w:t>
      </w:r>
      <w:r>
        <w:rPr/>
        <w:t>stakeholders</w:t>
      </w:r>
      <w:r>
        <w:rPr>
          <w:spacing w:val="-9"/>
        </w:rPr>
        <w:t> </w:t>
      </w:r>
      <w:r>
        <w:rPr/>
        <w:t>interviewed</w:t>
      </w:r>
      <w:r>
        <w:rPr>
          <w:spacing w:val="-8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OECD</w:t>
      </w:r>
      <w:r>
        <w:rPr>
          <w:spacing w:val="-9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frequent</w:t>
      </w:r>
      <w:r>
        <w:rPr>
          <w:spacing w:val="-10"/>
        </w:rPr>
        <w:t> </w:t>
      </w:r>
      <w:r>
        <w:rPr/>
        <w:t>cases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employees</w:t>
      </w:r>
      <w:r>
        <w:rPr>
          <w:spacing w:val="-9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jobs.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response,</w:t>
      </w:r>
      <w:r>
        <w:rPr>
          <w:spacing w:val="-7"/>
        </w:rPr>
        <w:t> </w:t>
      </w:r>
      <w:r>
        <w:rPr/>
        <w:t>MoE</w:t>
      </w:r>
      <w:r>
        <w:rPr>
          <w:spacing w:val="-7"/>
        </w:rPr>
        <w:t> </w:t>
      </w:r>
      <w:r>
        <w:rPr/>
        <w:t>introduced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maximum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employment</w:t>
      </w:r>
      <w:r>
        <w:rPr>
          <w:spacing w:val="-7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only</w:t>
      </w:r>
      <w:r>
        <w:rPr>
          <w:spacing w:val="-10"/>
        </w:rPr>
        <w:t> </w:t>
      </w:r>
      <w:r>
        <w:rPr/>
        <w:t>one</w:t>
      </w:r>
      <w:r>
        <w:rPr>
          <w:spacing w:val="-8"/>
        </w:rPr>
        <w:t> </w:t>
      </w:r>
      <w:r>
        <w:rPr/>
        <w:t>full-</w:t>
      </w:r>
      <w:r>
        <w:rPr>
          <w:spacing w:val="-53"/>
        </w:rPr>
        <w:t> </w:t>
      </w:r>
      <w:r>
        <w:rPr/>
        <w:t>time contract – for staff in Slovak public HEIs (Act on HEIs, §74 col. 4). Despite the obligation to keep</w:t>
      </w:r>
      <w:r>
        <w:rPr>
          <w:spacing w:val="1"/>
        </w:rPr>
        <w:t> </w:t>
      </w:r>
      <w:r>
        <w:rPr/>
        <w:t>additional employment contracts part-time, in international comparison, the Slovak Republic ranks among</w:t>
      </w:r>
      <w:r>
        <w:rPr>
          <w:spacing w:val="-54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countries 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3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part-time</w:t>
      </w:r>
      <w:r>
        <w:rPr>
          <w:spacing w:val="-2"/>
        </w:rPr>
        <w:t> </w:t>
      </w:r>
      <w:r>
        <w:rPr/>
        <w:t>contracts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 teachers.</w:t>
      </w:r>
    </w:p>
    <w:p>
      <w:pPr>
        <w:pStyle w:val="BodyText"/>
        <w:spacing w:line="271" w:lineRule="auto" w:before="120"/>
        <w:ind w:left="183" w:right="300"/>
        <w:jc w:val="both"/>
      </w:pPr>
      <w:r>
        <w:rPr/>
        <w:t>Non-teaching staff also face relatively low remuneration levels. In 2019, the average gross salary for non-</w:t>
      </w:r>
      <w:r>
        <w:rPr>
          <w:spacing w:val="-54"/>
        </w:rPr>
        <w:t> </w:t>
      </w:r>
      <w:r>
        <w:rPr/>
        <w:t>teaching staff was EUR 1 060 according to data provided by MoE to the OECD, with differences again</w:t>
      </w:r>
      <w:r>
        <w:rPr>
          <w:spacing w:val="1"/>
        </w:rPr>
        <w:t> </w:t>
      </w:r>
      <w:r>
        <w:rPr/>
        <w:t>across HEIs. While non-teaching staff are also eligible for personal payroll bonuses and are in principle</w:t>
      </w:r>
      <w:r>
        <w:rPr>
          <w:spacing w:val="1"/>
        </w:rPr>
        <w:t> </w:t>
      </w:r>
      <w:r>
        <w:rPr/>
        <w:t>able to combine several jobs to increase their income, some stakeholders reported that bonuses as well</w:t>
      </w:r>
      <w:r>
        <w:rPr>
          <w:spacing w:val="1"/>
        </w:rPr>
        <w:t> </w:t>
      </w:r>
      <w:r>
        <w:rPr/>
        <w:t>as</w:t>
      </w:r>
      <w:r>
        <w:rPr>
          <w:spacing w:val="-6"/>
        </w:rPr>
        <w:t> </w:t>
      </w:r>
      <w:r>
        <w:rPr/>
        <w:t>combining</w:t>
      </w:r>
      <w:r>
        <w:rPr>
          <w:spacing w:val="-6"/>
        </w:rPr>
        <w:t> </w:t>
      </w:r>
      <w:r>
        <w:rPr/>
        <w:t>jobs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6"/>
        </w:rPr>
        <w:t> </w:t>
      </w:r>
      <w:r>
        <w:rPr/>
        <w:t>less</w:t>
      </w:r>
      <w:r>
        <w:rPr>
          <w:spacing w:val="-4"/>
        </w:rPr>
        <w:t> </w:t>
      </w:r>
      <w:r>
        <w:rPr/>
        <w:t>prevalent</w:t>
      </w:r>
      <w:r>
        <w:rPr>
          <w:spacing w:val="-4"/>
        </w:rPr>
        <w:t> </w:t>
      </w:r>
      <w:r>
        <w:rPr/>
        <w:t>among</w:t>
      </w:r>
      <w:r>
        <w:rPr>
          <w:spacing w:val="-6"/>
        </w:rPr>
        <w:t> </w:t>
      </w:r>
      <w:r>
        <w:rPr/>
        <w:t>non-teaching</w:t>
      </w:r>
      <w:r>
        <w:rPr>
          <w:spacing w:val="-7"/>
        </w:rPr>
        <w:t> </w:t>
      </w:r>
      <w:r>
        <w:rPr/>
        <w:t>staff</w:t>
      </w:r>
      <w:r>
        <w:rPr>
          <w:spacing w:val="-3"/>
        </w:rPr>
        <w:t> </w:t>
      </w:r>
      <w:r>
        <w:rPr/>
        <w:t>than</w:t>
      </w:r>
      <w:r>
        <w:rPr>
          <w:spacing w:val="-6"/>
        </w:rPr>
        <w:t> </w:t>
      </w:r>
      <w:r>
        <w:rPr/>
        <w:t>among</w:t>
      </w:r>
      <w:r>
        <w:rPr>
          <w:spacing w:val="-7"/>
        </w:rPr>
        <w:t> </w:t>
      </w:r>
      <w:r>
        <w:rPr/>
        <w:t>staff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teach.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may</w:t>
      </w:r>
      <w:r>
        <w:rPr>
          <w:spacing w:val="-53"/>
        </w:rPr>
        <w:t> </w:t>
      </w:r>
      <w:r>
        <w:rPr/>
        <w:t>create risks for the quality of administrative and professional support in HEIs, contributing to various</w:t>
      </w:r>
      <w:r>
        <w:rPr>
          <w:spacing w:val="1"/>
        </w:rPr>
        <w:t> </w:t>
      </w:r>
      <w:r>
        <w:rPr/>
        <w:t>challenges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Slovak</w:t>
      </w:r>
      <w:r>
        <w:rPr>
          <w:spacing w:val="-4"/>
        </w:rPr>
        <w:t> </w:t>
      </w:r>
      <w:r>
        <w:rPr/>
        <w:t>HEIs,</w:t>
      </w:r>
      <w:r>
        <w:rPr>
          <w:spacing w:val="-6"/>
        </w:rPr>
        <w:t> </w:t>
      </w:r>
      <w:r>
        <w:rPr/>
        <w:t>ranging</w:t>
      </w:r>
      <w:r>
        <w:rPr>
          <w:spacing w:val="-8"/>
        </w:rPr>
        <w:t> </w:t>
      </w:r>
      <w:r>
        <w:rPr/>
        <w:t>from</w:t>
      </w:r>
      <w:r>
        <w:rPr>
          <w:spacing w:val="-2"/>
        </w:rPr>
        <w:t> </w:t>
      </w:r>
      <w:r>
        <w:rPr/>
        <w:t>HEIs’</w:t>
      </w:r>
      <w:r>
        <w:rPr>
          <w:spacing w:val="-6"/>
        </w:rPr>
        <w:t> </w:t>
      </w:r>
      <w:r>
        <w:rPr/>
        <w:t>low</w:t>
      </w:r>
      <w:r>
        <w:rPr>
          <w:spacing w:val="-7"/>
        </w:rPr>
        <w:t> </w:t>
      </w:r>
      <w:r>
        <w:rPr/>
        <w:t>effectiveness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applying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securing</w:t>
      </w:r>
      <w:r>
        <w:rPr>
          <w:spacing w:val="-5"/>
        </w:rPr>
        <w:t> </w:t>
      </w:r>
      <w:r>
        <w:rPr/>
        <w:t>international</w:t>
      </w:r>
      <w:r>
        <w:rPr>
          <w:spacing w:val="1"/>
        </w:rPr>
        <w:t> </w:t>
      </w:r>
      <w:r>
        <w:rPr>
          <w:w w:val="95"/>
        </w:rPr>
        <w:t>funding, to</w:t>
      </w:r>
      <w:r>
        <w:rPr>
          <w:spacing w:val="1"/>
          <w:w w:val="95"/>
        </w:rPr>
        <w:t> </w:t>
      </w:r>
      <w:r>
        <w:rPr>
          <w:w w:val="95"/>
        </w:rPr>
        <w:t>low quality support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50"/>
        </w:rPr>
        <w:t> </w:t>
      </w:r>
      <w:r>
        <w:rPr>
          <w:w w:val="95"/>
        </w:rPr>
        <w:t>the recruitment and</w:t>
      </w:r>
      <w:r>
        <w:rPr>
          <w:spacing w:val="50"/>
        </w:rPr>
        <w:t> </w:t>
      </w:r>
      <w:r>
        <w:rPr>
          <w:w w:val="95"/>
        </w:rPr>
        <w:t>management of</w:t>
      </w:r>
      <w:r>
        <w:rPr>
          <w:spacing w:val="50"/>
        </w:rPr>
        <w:t> </w:t>
      </w:r>
      <w:r>
        <w:rPr>
          <w:w w:val="95"/>
        </w:rPr>
        <w:t>foreign academics</w:t>
      </w:r>
      <w:r>
        <w:rPr>
          <w:spacing w:val="50"/>
        </w:rPr>
        <w:t> </w:t>
      </w:r>
      <w:r>
        <w:rPr>
          <w:w w:val="95"/>
        </w:rPr>
        <w:t>and professionals</w:t>
      </w:r>
      <w:r>
        <w:rPr>
          <w:spacing w:val="-51"/>
          <w:w w:val="95"/>
        </w:rPr>
        <w:t> </w:t>
      </w:r>
      <w:r>
        <w:rPr/>
        <w:t>in Slovak</w:t>
      </w:r>
      <w:r>
        <w:rPr>
          <w:spacing w:val="2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271" w:lineRule="auto" w:before="121"/>
        <w:ind w:left="183" w:right="305"/>
        <w:jc w:val="both"/>
      </w:pPr>
      <w:r>
        <w:rPr>
          <w:w w:val="95"/>
        </w:rPr>
        <w:t>Salaries levels may continue to pose challenges in the Slovak Republic for both teaching and non-teaching</w:t>
      </w:r>
      <w:r>
        <w:rPr>
          <w:spacing w:val="1"/>
          <w:w w:val="95"/>
        </w:rPr>
        <w:t> </w:t>
      </w:r>
      <w:r>
        <w:rPr/>
        <w:t>staff.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noted</w:t>
      </w:r>
      <w:r>
        <w:rPr>
          <w:spacing w:val="-5"/>
        </w:rPr>
        <w:t> </w:t>
      </w:r>
      <w:r>
        <w:rPr/>
        <w:t>previously,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fact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size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public</w:t>
      </w:r>
      <w:r>
        <w:rPr>
          <w:spacing w:val="-4"/>
        </w:rPr>
        <w:t> </w:t>
      </w:r>
      <w:r>
        <w:rPr/>
        <w:t>funding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contributes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salaries is tied to the total number of students through the funding formula – and student numbers are</w:t>
      </w:r>
      <w:r>
        <w:rPr>
          <w:spacing w:val="1"/>
        </w:rPr>
        <w:t> </w:t>
      </w:r>
      <w:r>
        <w:rPr/>
        <w:t>declining – and because the increase in EU structural funds has mainly resulted in increases in capital</w:t>
      </w:r>
      <w:r>
        <w:rPr>
          <w:spacing w:val="1"/>
        </w:rPr>
        <w:t> </w:t>
      </w:r>
      <w:r>
        <w:rPr/>
        <w:t>spending.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</w:pPr>
      <w:bookmarkStart w:name="Relevant international experience" w:id="159"/>
      <w:bookmarkEnd w:id="159"/>
      <w:r>
        <w:rPr>
          <w:b w:val="0"/>
          <w:i w:val="0"/>
        </w:rPr>
      </w:r>
      <w:r>
        <w:rPr/>
        <w:t>Relevant</w:t>
      </w:r>
      <w:r>
        <w:rPr>
          <w:spacing w:val="-8"/>
        </w:rPr>
        <w:t> </w:t>
      </w:r>
      <w:r>
        <w:rPr/>
        <w:t>international</w:t>
      </w:r>
      <w:r>
        <w:rPr>
          <w:spacing w:val="-10"/>
        </w:rPr>
        <w:t> </w:t>
      </w:r>
      <w:r>
        <w:rPr/>
        <w:t>experience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71" w:lineRule="auto"/>
        <w:ind w:left="183" w:right="312"/>
        <w:jc w:val="both"/>
      </w:pPr>
      <w:r>
        <w:rPr/>
        <w:t>The internal governance of HEIs varies greatly across OECD countries, as a result of different traditions</w:t>
      </w:r>
      <w:r>
        <w:rPr>
          <w:spacing w:val="1"/>
        </w:rPr>
        <w:t> </w:t>
      </w:r>
      <w:r>
        <w:rPr/>
        <w:t>reflected in national legislative frameworks. The analysis of institutional governance over the past four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nonetheless</w:t>
      </w:r>
      <w:r>
        <w:rPr>
          <w:spacing w:val="-1"/>
        </w:rPr>
        <w:t> </w:t>
      </w:r>
      <w:r>
        <w:rPr/>
        <w:t>reveals</w:t>
      </w:r>
      <w:r>
        <w:rPr>
          <w:spacing w:val="-1"/>
        </w:rPr>
        <w:t> </w:t>
      </w:r>
      <w:r>
        <w:rPr/>
        <w:t>common</w:t>
      </w:r>
      <w:r>
        <w:rPr>
          <w:spacing w:val="-3"/>
        </w:rPr>
        <w:t> </w:t>
      </w:r>
      <w:r>
        <w:rPr/>
        <w:t>patterns across</w:t>
      </w:r>
      <w:r>
        <w:rPr>
          <w:spacing w:val="-1"/>
        </w:rPr>
        <w:t> </w:t>
      </w:r>
      <w:r>
        <w:rPr/>
        <w:t>OECD</w:t>
      </w:r>
      <w:r>
        <w:rPr>
          <w:spacing w:val="-2"/>
        </w:rPr>
        <w:t> </w:t>
      </w:r>
      <w:r>
        <w:rPr/>
        <w:t>countries.</w:t>
      </w:r>
    </w:p>
    <w:p>
      <w:pPr>
        <w:pStyle w:val="BodyText"/>
        <w:spacing w:line="273" w:lineRule="auto" w:before="120"/>
        <w:ind w:left="183" w:right="301"/>
        <w:jc w:val="both"/>
      </w:pPr>
      <w:r>
        <w:rPr/>
        <w:t>These include a trend in public steering and institutional governance in which government have extended</w:t>
      </w:r>
      <w:r>
        <w:rPr>
          <w:spacing w:val="-53"/>
        </w:rPr>
        <w:t> </w:t>
      </w:r>
      <w:r>
        <w:rPr/>
        <w:t>wider</w:t>
      </w:r>
      <w:r>
        <w:rPr>
          <w:spacing w:val="-6"/>
        </w:rPr>
        <w:t> </w:t>
      </w:r>
      <w:r>
        <w:rPr/>
        <w:t>managerial</w:t>
      </w:r>
      <w:r>
        <w:rPr>
          <w:spacing w:val="-8"/>
        </w:rPr>
        <w:t> </w:t>
      </w:r>
      <w:r>
        <w:rPr/>
        <w:t>autonomy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HEIs,</w:t>
      </w:r>
      <w:r>
        <w:rPr>
          <w:spacing w:val="-4"/>
        </w:rPr>
        <w:t> </w:t>
      </w:r>
      <w:r>
        <w:rPr/>
        <w:t>while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seeking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institutions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strategically</w:t>
      </w:r>
    </w:p>
    <w:p>
      <w:pPr>
        <w:spacing w:after="0" w:line="273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9"/>
        <w:jc w:val="both"/>
      </w:pPr>
      <w:r>
        <w:rPr/>
        <w:t>led to better exercise this wider autonomy and more responsive to their external environment. In many</w:t>
      </w:r>
      <w:r>
        <w:rPr>
          <w:spacing w:val="1"/>
        </w:rPr>
        <w:t> </w:t>
      </w:r>
      <w:r>
        <w:rPr/>
        <w:t>higher education systems, HEI governance and management responsibilities have typically shifted from</w:t>
      </w:r>
      <w:r>
        <w:rPr>
          <w:spacing w:val="1"/>
        </w:rPr>
        <w:t> </w:t>
      </w:r>
      <w:r>
        <w:rPr/>
        <w:t>collegial bodies representing the HEI’s academic staff and students to executive bodies open to external</w:t>
      </w:r>
      <w:r>
        <w:rPr>
          <w:spacing w:val="1"/>
        </w:rPr>
        <w:t> </w:t>
      </w:r>
      <w:r>
        <w:rPr>
          <w:position w:val="1"/>
        </w:rPr>
        <w:t>members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supported</w:t>
      </w:r>
      <w:r>
        <w:rPr>
          <w:spacing w:val="-1"/>
          <w:position w:val="1"/>
        </w:rPr>
        <w:t> </w:t>
      </w:r>
      <w:r>
        <w:rPr>
          <w:position w:val="1"/>
        </w:rPr>
        <w:t>by</w:t>
      </w:r>
      <w:r>
        <w:rPr>
          <w:spacing w:val="-4"/>
          <w:position w:val="1"/>
        </w:rPr>
        <w:t> </w:t>
      </w:r>
      <w:r>
        <w:rPr>
          <w:position w:val="1"/>
        </w:rPr>
        <w:t>professional</w:t>
      </w:r>
      <w:r>
        <w:rPr>
          <w:spacing w:val="-4"/>
          <w:position w:val="1"/>
        </w:rPr>
        <w:t> </w:t>
      </w:r>
      <w:r>
        <w:rPr>
          <w:position w:val="1"/>
        </w:rPr>
        <w:t>teams</w:t>
      </w:r>
      <w:r>
        <w:rPr>
          <w:spacing w:val="2"/>
          <w:position w:val="1"/>
        </w:rPr>
        <w:t> </w:t>
      </w:r>
      <w:r>
        <w:rPr>
          <w:position w:val="1"/>
        </w:rPr>
        <w:t>(OECD,</w:t>
      </w:r>
      <w:r>
        <w:rPr>
          <w:spacing w:val="-3"/>
          <w:position w:val="1"/>
        </w:rPr>
        <w:t> </w:t>
      </w:r>
      <w:r>
        <w:rPr>
          <w:position w:val="1"/>
        </w:rPr>
        <w:t>2003</w:t>
      </w:r>
      <w:r>
        <w:rPr>
          <w:sz w:val="13"/>
        </w:rPr>
        <w:t>[69]</w:t>
      </w:r>
      <w:r>
        <w:rPr>
          <w:position w:val="1"/>
        </w:rPr>
        <w:t>;</w:t>
      </w:r>
      <w:r>
        <w:rPr>
          <w:spacing w:val="-3"/>
          <w:position w:val="1"/>
        </w:rPr>
        <w:t> </w:t>
      </w:r>
      <w:r>
        <w:rPr>
          <w:position w:val="1"/>
        </w:rPr>
        <w:t>OECD,</w:t>
      </w:r>
      <w:r>
        <w:rPr>
          <w:spacing w:val="-2"/>
          <w:position w:val="1"/>
        </w:rPr>
        <w:t> </w:t>
      </w:r>
      <w:r>
        <w:rPr>
          <w:position w:val="1"/>
        </w:rPr>
        <w:t>2008</w:t>
      </w:r>
      <w:r>
        <w:rPr>
          <w:sz w:val="13"/>
        </w:rPr>
        <w:t>[70]</w:t>
      </w:r>
      <w:r>
        <w:rPr>
          <w:position w:val="1"/>
        </w:rPr>
        <w:t>;</w:t>
      </w:r>
      <w:r>
        <w:rPr>
          <w:spacing w:val="1"/>
          <w:position w:val="1"/>
        </w:rPr>
        <w:t> </w:t>
      </w:r>
      <w:r>
        <w:rPr>
          <w:position w:val="1"/>
        </w:rPr>
        <w:t>OECD,</w:t>
      </w:r>
      <w:r>
        <w:rPr>
          <w:spacing w:val="-3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[48]</w:t>
      </w:r>
      <w:r>
        <w:rPr>
          <w:position w:val="1"/>
        </w:rPr>
        <w:t>).</w:t>
      </w:r>
    </w:p>
    <w:p>
      <w:pPr>
        <w:pStyle w:val="BodyText"/>
        <w:spacing w:line="271" w:lineRule="auto" w:before="119"/>
        <w:ind w:left="183" w:right="305"/>
        <w:jc w:val="both"/>
      </w:pPr>
      <w:r>
        <w:rPr/>
        <w:t>At the same time, there has been recognition of the part of policymakers that institutional differentiation</w:t>
      </w:r>
      <w:r>
        <w:rPr>
          <w:spacing w:val="1"/>
        </w:rPr>
        <w:t> </w:t>
      </w:r>
      <w:r>
        <w:rPr/>
        <w:t>within higher education systems, including differentiation in the governance and management of higher</w:t>
      </w:r>
      <w:r>
        <w:rPr>
          <w:spacing w:val="1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institutions,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beneficial,</w:t>
      </w:r>
      <w:r>
        <w:rPr>
          <w:spacing w:val="-10"/>
        </w:rPr>
        <w:t> </w:t>
      </w:r>
      <w:r>
        <w:rPr/>
        <w:t>permitting</w:t>
      </w:r>
      <w:r>
        <w:rPr>
          <w:spacing w:val="-10"/>
        </w:rPr>
        <w:t> </w:t>
      </w:r>
      <w:r>
        <w:rPr/>
        <w:t>institutions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adopt</w:t>
      </w:r>
      <w:r>
        <w:rPr>
          <w:spacing w:val="-8"/>
        </w:rPr>
        <w:t> </w:t>
      </w:r>
      <w:r>
        <w:rPr/>
        <w:t>arrangement</w:t>
      </w:r>
      <w:r>
        <w:rPr>
          <w:spacing w:val="-10"/>
        </w:rPr>
        <w:t> </w:t>
      </w:r>
      <w:r>
        <w:rPr/>
        <w:t>best</w:t>
      </w:r>
      <w:r>
        <w:rPr>
          <w:spacing w:val="-10"/>
        </w:rPr>
        <w:t> </w:t>
      </w:r>
      <w:r>
        <w:rPr/>
        <w:t>fitted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mission.</w:t>
      </w:r>
    </w:p>
    <w:p>
      <w:pPr>
        <w:pStyle w:val="BodyText"/>
        <w:spacing w:line="271" w:lineRule="auto" w:before="121"/>
        <w:ind w:left="183" w:right="299"/>
        <w:jc w:val="both"/>
      </w:pPr>
      <w:r>
        <w:rPr/>
        <w:t>Policy in the Slovak Republic has run counter to these two trends, creating an undifferentiated framework</w:t>
      </w:r>
      <w:r>
        <w:rPr>
          <w:spacing w:val="-53"/>
        </w:rPr>
        <w:t> </w:t>
      </w:r>
      <w:r>
        <w:rPr>
          <w:w w:val="95"/>
        </w:rPr>
        <w:t>of governance for all HEIs, in which many strategic management responsibilities rest with inwardly-focused</w:t>
      </w:r>
      <w:r>
        <w:rPr>
          <w:spacing w:val="1"/>
          <w:w w:val="95"/>
        </w:rPr>
        <w:t> </w:t>
      </w:r>
      <w:r>
        <w:rPr/>
        <w:t>collegial bodies. As the Slovak Republic works to increase the strategic management capacity and</w:t>
      </w:r>
      <w:r>
        <w:rPr>
          <w:spacing w:val="1"/>
        </w:rPr>
        <w:t> </w:t>
      </w:r>
      <w:r>
        <w:rPr/>
        <w:t>openness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HEIs</w:t>
      </w:r>
      <w:r>
        <w:rPr>
          <w:spacing w:val="-10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wider</w:t>
      </w:r>
      <w:r>
        <w:rPr>
          <w:spacing w:val="-11"/>
        </w:rPr>
        <w:t> </w:t>
      </w:r>
      <w:r>
        <w:rPr/>
        <w:t>world,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needs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ensure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shift</w:t>
      </w:r>
      <w:r>
        <w:rPr>
          <w:spacing w:val="-14"/>
        </w:rPr>
        <w:t> </w:t>
      </w:r>
      <w:r>
        <w:rPr/>
        <w:t>does</w:t>
      </w:r>
      <w:r>
        <w:rPr>
          <w:spacing w:val="-13"/>
        </w:rPr>
        <w:t> </w:t>
      </w:r>
      <w:r>
        <w:rPr/>
        <w:t>not</w:t>
      </w:r>
      <w:r>
        <w:rPr>
          <w:spacing w:val="-11"/>
        </w:rPr>
        <w:t> </w:t>
      </w:r>
      <w:r>
        <w:rPr/>
        <w:t>lead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9"/>
        </w:rPr>
        <w:t> </w:t>
      </w:r>
      <w:r>
        <w:rPr/>
        <w:t>decrease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autonomy. This is particularly important as the Slovak Republic already faces lower autonomy than most</w:t>
      </w:r>
      <w:r>
        <w:rPr>
          <w:spacing w:val="1"/>
        </w:rPr>
        <w:t> </w:t>
      </w:r>
      <w:r>
        <w:rPr/>
        <w:t>other EU countries on three out of four dimensions of autonomy (organisational, staffing and academic),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 </w:t>
      </w:r>
      <w:hyperlink w:history="true" w:anchor="_bookmark50">
        <w:r>
          <w:rPr/>
          <w:t>Table</w:t>
        </w:r>
        <w:r>
          <w:rPr>
            <w:spacing w:val="-1"/>
          </w:rPr>
          <w:t> </w:t>
        </w:r>
        <w:r>
          <w:rPr/>
          <w:t>3.5.</w:t>
        </w:r>
        <w:r>
          <w:rPr>
            <w:spacing w:val="-1"/>
          </w:rPr>
          <w:t> </w:t>
        </w:r>
        <w:r>
          <w:rPr/>
          <w:t>.</w:t>
        </w:r>
      </w:hyperlink>
    </w:p>
    <w:p>
      <w:pPr>
        <w:pStyle w:val="BodyText"/>
        <w:spacing w:line="271" w:lineRule="auto" w:before="120"/>
        <w:ind w:left="183" w:right="302"/>
        <w:jc w:val="both"/>
      </w:pPr>
      <w:r>
        <w:rPr/>
        <w:t>In the following sections, we describe the examples of Finland and Portugal: both countries undertook</w:t>
      </w:r>
      <w:r>
        <w:rPr>
          <w:spacing w:val="1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reforms</w:t>
      </w:r>
      <w:r>
        <w:rPr>
          <w:spacing w:val="-10"/>
        </w:rPr>
        <w:t> </w:t>
      </w:r>
      <w:r>
        <w:rPr/>
        <w:t>focusing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institutional</w:t>
      </w:r>
      <w:r>
        <w:rPr>
          <w:spacing w:val="-10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reform,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aim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 the performance of their HEIs in an increasingly competitive environment. Because these</w:t>
      </w:r>
      <w:r>
        <w:rPr>
          <w:spacing w:val="1"/>
        </w:rPr>
        <w:t> </w:t>
      </w:r>
      <w:r>
        <w:rPr/>
        <w:t>countries undertook these reforms more than a decade ago, they also offer reflections on the reforms’</w:t>
      </w:r>
      <w:r>
        <w:rPr>
          <w:spacing w:val="1"/>
        </w:rPr>
        <w:t> </w:t>
      </w:r>
      <w:r>
        <w:rPr/>
        <w:t>impact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limitations.</w:t>
      </w:r>
    </w:p>
    <w:p>
      <w:pPr>
        <w:pStyle w:val="BodyText"/>
        <w:spacing w:line="271" w:lineRule="auto" w:before="122"/>
        <w:ind w:left="183" w:right="306"/>
        <w:jc w:val="both"/>
      </w:pPr>
      <w:r>
        <w:rPr/>
        <w:t>The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Finland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modernising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preserving and increasing institutional autonomy. It also shows that the change in the balance of powers</w:t>
      </w:r>
      <w:r>
        <w:rPr>
          <w:spacing w:val="1"/>
        </w:rPr>
        <w:t> </w:t>
      </w:r>
      <w:r>
        <w:rPr/>
        <w:t>between higher education stakeholders – increasing the role of professional staff and of individuals who</w:t>
      </w:r>
      <w:r>
        <w:rPr>
          <w:spacing w:val="1"/>
        </w:rPr>
        <w:t> </w:t>
      </w:r>
      <w:r>
        <w:rPr/>
        <w:t>are external to HEIs – can generate concerns among the academic community, who see their role</w:t>
      </w:r>
      <w:r>
        <w:rPr>
          <w:spacing w:val="1"/>
        </w:rPr>
        <w:t> </w:t>
      </w:r>
      <w:r>
        <w:rPr/>
        <w:t>redefined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perceive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reduced.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experience</w:t>
      </w:r>
      <w:r>
        <w:rPr>
          <w:spacing w:val="-10"/>
        </w:rPr>
        <w:t> </w:t>
      </w:r>
      <w:r>
        <w:rPr/>
        <w:t>of</w:t>
      </w:r>
      <w:r>
        <w:rPr>
          <w:spacing w:val="-1"/>
        </w:rPr>
        <w:t> </w:t>
      </w:r>
      <w:r>
        <w:rPr/>
        <w:t>Portugal</w:t>
      </w:r>
      <w:r>
        <w:rPr>
          <w:spacing w:val="-11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pursuing</w:t>
      </w:r>
      <w:r>
        <w:rPr>
          <w:spacing w:val="-9"/>
        </w:rPr>
        <w:t> </w:t>
      </w:r>
      <w:r>
        <w:rPr/>
        <w:t>legislative</w:t>
      </w:r>
      <w:r>
        <w:rPr>
          <w:spacing w:val="-10"/>
        </w:rPr>
        <w:t> </w:t>
      </w:r>
      <w:r>
        <w:rPr/>
        <w:t>reform</w:t>
      </w:r>
      <w:r>
        <w:rPr>
          <w:spacing w:val="-5"/>
        </w:rPr>
        <w:t> </w:t>
      </w:r>
      <w:r>
        <w:rPr/>
        <w:t>of</w:t>
      </w:r>
      <w:r>
        <w:rPr>
          <w:spacing w:val="-53"/>
        </w:rPr>
        <w:t> </w:t>
      </w:r>
      <w:r>
        <w:rPr/>
        <w:t>institutional governance without support from the academic community can limit the impact of the reform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institutional practices</w:t>
      </w:r>
      <w:r>
        <w:rPr>
          <w:spacing w:val="-1"/>
        </w:rPr>
        <w:t> </w:t>
      </w:r>
      <w:r>
        <w:rPr/>
        <w:t>change</w:t>
      </w:r>
      <w:r>
        <w:rPr>
          <w:spacing w:val="1"/>
        </w:rPr>
        <w:t> </w:t>
      </w:r>
      <w:r>
        <w:rPr/>
        <w:t>less than</w:t>
      </w:r>
      <w:r>
        <w:rPr>
          <w:spacing w:val="-1"/>
        </w:rPr>
        <w:t> </w:t>
      </w:r>
      <w:r>
        <w:rPr/>
        <w:t>intended.</w:t>
      </w:r>
    </w:p>
    <w:p>
      <w:pPr>
        <w:pStyle w:val="BodyText"/>
        <w:spacing w:line="273" w:lineRule="auto" w:before="120"/>
        <w:ind w:left="183" w:right="304"/>
        <w:jc w:val="both"/>
      </w:pPr>
      <w:r>
        <w:rPr/>
        <w:t>In addition to the brief examples presented below, in-depth case studies of these countries are provided</w:t>
      </w:r>
      <w:r>
        <w:rPr>
          <w:spacing w:val="1"/>
        </w:rPr>
        <w:t> </w:t>
      </w:r>
      <w:r>
        <w:rPr/>
        <w:t>in Annex A.</w:t>
      </w:r>
    </w:p>
    <w:p>
      <w:pPr>
        <w:pStyle w:val="BodyText"/>
        <w:spacing w:before="9"/>
        <w:rPr>
          <w:sz w:val="19"/>
        </w:rPr>
      </w:pPr>
    </w:p>
    <w:p>
      <w:pPr>
        <w:pStyle w:val="Heading7"/>
        <w:spacing w:line="266" w:lineRule="auto"/>
        <w:ind w:right="1320"/>
      </w:pPr>
      <w:bookmarkStart w:name="Finland: Applying a negotiated and incen" w:id="160"/>
      <w:bookmarkEnd w:id="160"/>
      <w:r>
        <w:rPr>
          <w:i w:val="0"/>
        </w:rPr>
      </w:r>
      <w:r>
        <w:rPr>
          <w:color w:val="616161"/>
        </w:rPr>
        <w:t>Finland: Applying a negotiated and incentive-based approach to system-wide and</w:t>
      </w:r>
      <w:r>
        <w:rPr>
          <w:color w:val="616161"/>
          <w:spacing w:val="-59"/>
        </w:rPr>
        <w:t> </w:t>
      </w:r>
      <w:r>
        <w:rPr>
          <w:color w:val="616161"/>
        </w:rPr>
        <w:t>institutional</w:t>
      </w:r>
      <w:r>
        <w:rPr>
          <w:color w:val="616161"/>
          <w:spacing w:val="-2"/>
        </w:rPr>
        <w:t> </w:t>
      </w:r>
      <w:r>
        <w:rPr>
          <w:color w:val="616161"/>
        </w:rPr>
        <w:t>governance</w:t>
      </w:r>
      <w:r>
        <w:rPr>
          <w:color w:val="616161"/>
          <w:spacing w:val="-2"/>
        </w:rPr>
        <w:t> </w:t>
      </w:r>
      <w:r>
        <w:rPr>
          <w:color w:val="616161"/>
        </w:rPr>
        <w:t>reform</w:t>
      </w:r>
    </w:p>
    <w:p>
      <w:pPr>
        <w:pStyle w:val="BodyText"/>
        <w:spacing w:line="271" w:lineRule="auto" w:before="187"/>
        <w:ind w:left="183" w:right="300"/>
        <w:jc w:val="both"/>
      </w:pPr>
      <w:r>
        <w:rPr/>
        <w:t>Finland provides an example of a multi-year higher education reform</w:t>
      </w:r>
      <w:r>
        <w:rPr>
          <w:spacing w:val="1"/>
        </w:rPr>
        <w:t> </w:t>
      </w:r>
      <w:r>
        <w:rPr/>
        <w:t>that arguably resulted in the</w:t>
      </w:r>
      <w:r>
        <w:rPr>
          <w:spacing w:val="1"/>
        </w:rPr>
        <w:t> </w:t>
      </w:r>
      <w:r>
        <w:rPr/>
        <w:t>modification of underlying social and governmental expectations of the role of HEIs – a shift of the scale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envisioning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government strategic</w:t>
      </w:r>
      <w:r>
        <w:rPr>
          <w:spacing w:val="1"/>
        </w:rPr>
        <w:t> </w:t>
      </w:r>
      <w:r>
        <w:rPr/>
        <w:t>documents. This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undertaking legal changes. These debates included the commissioning of two key reports that helped</w:t>
      </w:r>
      <w:r>
        <w:rPr>
          <w:spacing w:val="1"/>
        </w:rPr>
        <w:t> </w:t>
      </w:r>
      <w:r>
        <w:rPr/>
        <w:t>guide new policy and legislation reform in the higher education sector, based on clear desired outcomes:</w:t>
      </w:r>
      <w:r>
        <w:rPr>
          <w:spacing w:val="1"/>
        </w:rPr>
        <w:t> </w:t>
      </w:r>
      <w:r>
        <w:rPr/>
        <w:t>improving efficiencies of the sector, increasing the visibility and impact of national research, driving HEI-</w:t>
      </w:r>
      <w:r>
        <w:rPr>
          <w:spacing w:val="1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collaboration,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striving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 development</w:t>
      </w:r>
      <w:r>
        <w:rPr>
          <w:spacing w:val="-3"/>
        </w:rPr>
        <w:t> </w:t>
      </w:r>
      <w:r>
        <w:rPr/>
        <w:t>of globally</w:t>
      </w:r>
      <w:r>
        <w:rPr>
          <w:spacing w:val="-5"/>
        </w:rPr>
        <w:t> </w:t>
      </w:r>
      <w:r>
        <w:rPr/>
        <w:t>recognised</w:t>
      </w:r>
      <w:r>
        <w:rPr>
          <w:spacing w:val="-1"/>
        </w:rPr>
        <w:t> </w:t>
      </w:r>
      <w:r>
        <w:rPr/>
        <w:t>institutions.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In 2005, the government officially called for large-scale reforms of what was termed the “innovation</w:t>
      </w:r>
      <w:r>
        <w:rPr>
          <w:spacing w:val="1"/>
        </w:rPr>
        <w:t> </w:t>
      </w:r>
      <w:r>
        <w:rPr/>
        <w:t>system”, which included the higher education sector and the public research system (driven primarily</w:t>
      </w:r>
      <w:r>
        <w:rPr>
          <w:spacing w:val="1"/>
        </w:rPr>
        <w:t> </w:t>
      </w:r>
      <w:r>
        <w:rPr/>
        <w:t>through universities). The approach of the Finnish government was to promote the rationalisation of the</w:t>
      </w:r>
      <w:r>
        <w:rPr>
          <w:spacing w:val="1"/>
        </w:rPr>
        <w:t> </w:t>
      </w:r>
      <w:r>
        <w:rPr>
          <w:spacing w:val="-1"/>
        </w:rPr>
        <w:t>system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providing</w:t>
      </w:r>
      <w:r>
        <w:rPr>
          <w:spacing w:val="-11"/>
        </w:rPr>
        <w:t> </w:t>
      </w:r>
      <w:r>
        <w:rPr>
          <w:spacing w:val="-1"/>
        </w:rPr>
        <w:t>funding</w:t>
      </w:r>
      <w:r>
        <w:rPr>
          <w:spacing w:val="-9"/>
        </w:rPr>
        <w:t> </w:t>
      </w:r>
      <w:r>
        <w:rPr>
          <w:spacing w:val="-1"/>
        </w:rPr>
        <w:t>incentives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encourage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/>
        <w:t>bottom-up</w:t>
      </w:r>
      <w:r>
        <w:rPr>
          <w:spacing w:val="-14"/>
        </w:rPr>
        <w:t> </w:t>
      </w:r>
      <w:r>
        <w:rPr/>
        <w:t>movement</w:t>
      </w:r>
      <w:r>
        <w:rPr>
          <w:spacing w:val="-11"/>
        </w:rPr>
        <w:t> </w:t>
      </w:r>
      <w:r>
        <w:rPr/>
        <w:t>towards</w:t>
      </w:r>
      <w:r>
        <w:rPr>
          <w:spacing w:val="-9"/>
        </w:rPr>
        <w:t> </w:t>
      </w:r>
      <w:r>
        <w:rPr/>
        <w:t>institutional</w:t>
      </w:r>
      <w:r>
        <w:rPr>
          <w:spacing w:val="-11"/>
        </w:rPr>
        <w:t> </w:t>
      </w:r>
      <w:r>
        <w:rPr/>
        <w:t>mergers.</w:t>
      </w:r>
      <w:r>
        <w:rPr>
          <w:spacing w:val="1"/>
        </w:rPr>
        <w:t> </w:t>
      </w:r>
      <w:r>
        <w:rPr/>
        <w:t>The aim was to ensure that the institutions themselves collaborated and drove the mergers, creating buy-</w:t>
      </w:r>
      <w:r>
        <w:rPr>
          <w:spacing w:val="-53"/>
        </w:rPr>
        <w:t> </w:t>
      </w:r>
      <w:r>
        <w:rPr/>
        <w:t>in and a level of institutional autonomy in the process. Some mergers were geared toward providing a</w:t>
      </w:r>
      <w:r>
        <w:rPr>
          <w:spacing w:val="1"/>
        </w:rPr>
        <w:t> </w:t>
      </w:r>
      <w:r>
        <w:rPr/>
        <w:t>consolidated</w:t>
      </w:r>
      <w:r>
        <w:rPr>
          <w:spacing w:val="-9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offering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region,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efficiencies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financial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93"/>
        <w:ind w:left="183"/>
        <w:jc w:val="both"/>
      </w:pPr>
      <w:r>
        <w:rPr/>
        <w:t>stability</w:t>
      </w:r>
      <w:r>
        <w:rPr>
          <w:spacing w:val="20"/>
        </w:rPr>
        <w:t> </w:t>
      </w:r>
      <w:r>
        <w:rPr/>
        <w:t>(e.g.</w:t>
      </w:r>
      <w:r>
        <w:rPr>
          <w:spacing w:val="-3"/>
        </w:rPr>
        <w:t> </w:t>
      </w:r>
      <w:r>
        <w:rPr/>
        <w:t>University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Eastern</w:t>
      </w:r>
      <w:r>
        <w:rPr>
          <w:spacing w:val="24"/>
        </w:rPr>
        <w:t> </w:t>
      </w:r>
      <w:r>
        <w:rPr/>
        <w:t>Finland),</w:t>
      </w:r>
      <w:r>
        <w:rPr>
          <w:spacing w:val="27"/>
        </w:rPr>
        <w:t> </w:t>
      </w:r>
      <w:r>
        <w:rPr/>
        <w:t>while</w:t>
      </w:r>
      <w:r>
        <w:rPr>
          <w:spacing w:val="24"/>
        </w:rPr>
        <w:t> </w:t>
      </w:r>
      <w:r>
        <w:rPr/>
        <w:t>other</w:t>
      </w:r>
      <w:r>
        <w:rPr>
          <w:spacing w:val="22"/>
        </w:rPr>
        <w:t> </w:t>
      </w:r>
      <w:r>
        <w:rPr/>
        <w:t>merger</w:t>
      </w:r>
      <w:r>
        <w:rPr>
          <w:spacing w:val="25"/>
        </w:rPr>
        <w:t> </w:t>
      </w:r>
      <w:r>
        <w:rPr/>
        <w:t>projects</w:t>
      </w:r>
      <w:r>
        <w:rPr>
          <w:spacing w:val="24"/>
        </w:rPr>
        <w:t> </w:t>
      </w:r>
      <w:r>
        <w:rPr/>
        <w:t>sought</w:t>
      </w:r>
      <w:r>
        <w:rPr>
          <w:spacing w:val="26"/>
        </w:rPr>
        <w:t> </w:t>
      </w:r>
      <w:r>
        <w:rPr/>
        <w:t>to</w:t>
      </w:r>
      <w:r>
        <w:rPr>
          <w:spacing w:val="23"/>
        </w:rPr>
        <w:t> </w:t>
      </w:r>
      <w:r>
        <w:rPr/>
        <w:t>represent</w:t>
      </w:r>
      <w:r>
        <w:rPr>
          <w:spacing w:val="24"/>
        </w:rPr>
        <w:t> </w:t>
      </w:r>
      <w:r>
        <w:rPr/>
        <w:t>Finland’s</w:t>
      </w:r>
    </w:p>
    <w:p>
      <w:pPr>
        <w:pStyle w:val="BodyText"/>
        <w:spacing w:before="29"/>
        <w:ind w:left="183"/>
        <w:jc w:val="both"/>
      </w:pPr>
      <w:r>
        <w:rPr/>
        <w:t>international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R&amp;D</w:t>
      </w:r>
      <w:r>
        <w:rPr>
          <w:spacing w:val="-2"/>
        </w:rPr>
        <w:t> </w:t>
      </w:r>
      <w:r>
        <w:rPr/>
        <w:t>ambitions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higher</w:t>
      </w:r>
      <w:r>
        <w:rPr>
          <w:spacing w:val="-5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sector</w:t>
      </w:r>
      <w:r>
        <w:rPr>
          <w:spacing w:val="-5"/>
        </w:rPr>
        <w:t> </w:t>
      </w:r>
      <w:r>
        <w:rPr/>
        <w:t>(e.g.</w:t>
      </w:r>
      <w:r>
        <w:rPr>
          <w:spacing w:val="-1"/>
        </w:rPr>
        <w:t> </w:t>
      </w:r>
      <w:r>
        <w:rPr/>
        <w:t>Aalto</w:t>
      </w:r>
      <w:r>
        <w:rPr>
          <w:spacing w:val="-5"/>
        </w:rPr>
        <w:t> </w:t>
      </w:r>
      <w:r>
        <w:rPr/>
        <w:t>University).</w:t>
      </w:r>
    </w:p>
    <w:p>
      <w:pPr>
        <w:pStyle w:val="BodyText"/>
        <w:spacing w:line="271" w:lineRule="auto" w:before="149"/>
        <w:ind w:left="183" w:right="304"/>
        <w:jc w:val="both"/>
      </w:pPr>
      <w:r>
        <w:rPr/>
        <w:t>Beginning in parallel, and continuing on through the merger process, the Finnish MoE also used financial</w:t>
      </w:r>
      <w:r>
        <w:rPr>
          <w:spacing w:val="-53"/>
        </w:rPr>
        <w:t> </w:t>
      </w:r>
      <w:r>
        <w:rPr/>
        <w:t>incentives to push institutions to specialise in specific research areas and subjects, becoming “centres of</w:t>
      </w:r>
      <w:r>
        <w:rPr>
          <w:spacing w:val="1"/>
        </w:rPr>
        <w:t> </w:t>
      </w:r>
      <w:r>
        <w:rPr/>
        <w:t>excellence”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co-operation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mergers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recognition and research output. A further tool to facilitate specialisation and the creation of “centres of</w:t>
      </w:r>
      <w:r>
        <w:rPr>
          <w:spacing w:val="1"/>
        </w:rPr>
        <w:t> </w:t>
      </w:r>
      <w:r>
        <w:rPr/>
        <w:t>excellence”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universities differ in that their board is made up entirely of members external to the university itself,</w:t>
      </w:r>
      <w:r>
        <w:rPr>
          <w:spacing w:val="1"/>
        </w:rPr>
        <w:t> </w:t>
      </w:r>
      <w:r>
        <w:rPr/>
        <w:t>representing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wider</w:t>
      </w:r>
      <w:r>
        <w:rPr>
          <w:spacing w:val="-1"/>
        </w:rPr>
        <w:t> </w:t>
      </w:r>
      <w:r>
        <w:rPr/>
        <w:t>civic</w:t>
      </w:r>
      <w:r>
        <w:rPr>
          <w:spacing w:val="6"/>
        </w:rPr>
        <w:t> </w:t>
      </w:r>
      <w:r>
        <w:rPr/>
        <w:t>and business community.</w:t>
      </w:r>
    </w:p>
    <w:p>
      <w:pPr>
        <w:pStyle w:val="BodyText"/>
        <w:spacing w:line="271" w:lineRule="auto" w:before="123"/>
        <w:ind w:left="183" w:right="303"/>
        <w:jc w:val="both"/>
      </w:pPr>
      <w:r>
        <w:rPr/>
        <w:t>The government also pursued the reform of institutional governance across the higher education system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making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universities</w:t>
      </w:r>
      <w:r>
        <w:rPr>
          <w:spacing w:val="-10"/>
        </w:rPr>
        <w:t> </w:t>
      </w:r>
      <w:r>
        <w:rPr>
          <w:spacing w:val="-1"/>
        </w:rPr>
        <w:t>separate</w:t>
      </w:r>
      <w:r>
        <w:rPr>
          <w:spacing w:val="-11"/>
        </w:rPr>
        <w:t> </w:t>
      </w:r>
      <w:r>
        <w:rPr>
          <w:spacing w:val="-1"/>
        </w:rPr>
        <w:t>legal</w:t>
      </w:r>
      <w:r>
        <w:rPr>
          <w:spacing w:val="-12"/>
        </w:rPr>
        <w:t> </w:t>
      </w:r>
      <w:r>
        <w:rPr>
          <w:spacing w:val="-1"/>
        </w:rPr>
        <w:t>persons</w:t>
      </w:r>
      <w:r>
        <w:rPr>
          <w:spacing w:val="-12"/>
        </w:rPr>
        <w:t> </w:t>
      </w:r>
      <w:r>
        <w:rPr>
          <w:spacing w:val="-1"/>
        </w:rPr>
        <w:t>through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new</w:t>
      </w:r>
      <w:r>
        <w:rPr>
          <w:spacing w:val="-13"/>
        </w:rPr>
        <w:t> </w:t>
      </w:r>
      <w:r>
        <w:rPr/>
        <w:t>Universities</w:t>
      </w:r>
      <w:r>
        <w:rPr>
          <w:spacing w:val="-10"/>
        </w:rPr>
        <w:t> </w:t>
      </w:r>
      <w:r>
        <w:rPr/>
        <w:t>Act,</w:t>
      </w:r>
      <w:r>
        <w:rPr>
          <w:spacing w:val="-9"/>
        </w:rPr>
        <w:t> </w:t>
      </w:r>
      <w:r>
        <w:rPr/>
        <w:t>while</w:t>
      </w:r>
      <w:r>
        <w:rPr>
          <w:spacing w:val="-11"/>
        </w:rPr>
        <w:t> </w:t>
      </w:r>
      <w:r>
        <w:rPr/>
        <w:t>maintaining</w:t>
      </w:r>
      <w:r>
        <w:rPr>
          <w:spacing w:val="-11"/>
        </w:rPr>
        <w:t> </w:t>
      </w:r>
      <w:r>
        <w:rPr/>
        <w:t>public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53">
        <w:r>
          <w:rPr/>
          <w:t>Table 3.6.</w:t>
        </w:r>
        <w:r>
          <w:rPr>
            <w:spacing w:val="1"/>
          </w:rPr>
          <w:t> </w:t>
        </w:r>
        <w:r>
          <w:rPr/>
          <w:t>,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strengthened the relationship of universities with their external environment by requiring the governing</w:t>
      </w:r>
      <w:r>
        <w:rPr>
          <w:spacing w:val="1"/>
        </w:rPr>
        <w:t> </w:t>
      </w:r>
      <w:r>
        <w:rPr/>
        <w:t>body of HEIs to include 40% of members external to the university. It also strengthened their autonomy</w:t>
      </w:r>
      <w:r>
        <w:rPr>
          <w:spacing w:val="1"/>
        </w:rPr>
        <w:t> </w:t>
      </w:r>
      <w:r>
        <w:rPr/>
        <w:t>from government in several ways, by providing them with greater financial flexibility, the ability to set up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</w:t>
      </w:r>
      <w:r>
        <w:rPr>
          <w:spacing w:val="-2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establish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-4"/>
        </w:rPr>
        <w:t> </w:t>
      </w:r>
      <w:r>
        <w:rPr/>
        <w:t>recruitment/human</w:t>
      </w:r>
      <w:r>
        <w:rPr>
          <w:spacing w:val="-5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policies.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53" w:id="161"/>
      <w:bookmarkEnd w:id="161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3.6.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University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governance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bodies</w:t>
      </w:r>
      <w:r>
        <w:rPr>
          <w:rFonts w:ascii="Arial"/>
          <w:b/>
          <w:color w:val="4E81BD"/>
          <w:spacing w:val="20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pre-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post-Universities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Act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Finland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(2009)</w:t>
      </w:r>
    </w:p>
    <w:p>
      <w:pPr>
        <w:pStyle w:val="BodyText"/>
        <w:spacing w:after="1"/>
        <w:rPr>
          <w:rFonts w:ascii="Arial"/>
          <w:b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4"/>
        <w:gridCol w:w="4650"/>
      </w:tblGrid>
      <w:tr>
        <w:trPr>
          <w:trHeight w:val="239" w:hRule="atLeast"/>
        </w:trPr>
        <w:tc>
          <w:tcPr>
            <w:tcW w:w="4664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92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Pre-Universities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(Universities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Act,</w:t>
            </w:r>
            <w:r>
              <w:rPr>
                <w:rFonts w:ascii="Microsoft Sans Serif"/>
                <w:spacing w:val="1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1997)</w:t>
            </w:r>
          </w:p>
        </w:tc>
        <w:tc>
          <w:tcPr>
            <w:tcW w:w="4650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0"/>
              <w:ind w:left="1640" w:right="162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Post-Universities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</w:t>
            </w:r>
          </w:p>
        </w:tc>
      </w:tr>
      <w:tr>
        <w:trPr>
          <w:trHeight w:val="1830" w:hRule="atLeast"/>
        </w:trPr>
        <w:tc>
          <w:tcPr>
            <w:tcW w:w="4664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/>
              <w:ind w:left="136" w:right="86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University Senate: The size is determined by the standing orders of the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university, but must contain representatives from the faculty, other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 and research staff and the student body. The senate is the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supreme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executive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body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university.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senate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is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presided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over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by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the</w:t>
            </w:r>
            <w:r>
              <w:rPr>
                <w:rFonts w:ascii="Microsoft Sans Serif"/>
                <w:spacing w:val="-2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rector.</w:t>
            </w:r>
          </w:p>
        </w:tc>
        <w:tc>
          <w:tcPr>
            <w:tcW w:w="465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91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pacing w:val="-2"/>
                <w:w w:val="85"/>
                <w:sz w:val="17"/>
              </w:rPr>
              <w:t>University</w:t>
            </w:r>
            <w:r>
              <w:rPr>
                <w:rFonts w:ascii="Microsoft Sans Serif"/>
                <w:spacing w:val="-1"/>
                <w:w w:val="85"/>
                <w:sz w:val="17"/>
              </w:rPr>
              <w:t> Board: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7 members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for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foundation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universities,</w:t>
            </w:r>
            <w:r>
              <w:rPr>
                <w:rFonts w:ascii="Microsoft Sans Serif"/>
                <w:spacing w:val="29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and</w:t>
            </w:r>
            <w:r>
              <w:rPr>
                <w:rFonts w:ascii="Microsoft Sans Serif"/>
                <w:spacing w:val="30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7</w:t>
            </w:r>
            <w:r>
              <w:rPr>
                <w:rFonts w:ascii="Microsoft Sans Serif"/>
                <w:spacing w:val="29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or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9-14 members for public universities. Boards in foundation universities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spacing w:val="-1"/>
                <w:w w:val="90"/>
                <w:sz w:val="17"/>
              </w:rPr>
              <w:t>are elected by the multi-member administrative body. </w:t>
            </w:r>
            <w:r>
              <w:rPr>
                <w:rFonts w:ascii="Microsoft Sans Serif"/>
                <w:w w:val="90"/>
                <w:sz w:val="17"/>
              </w:rPr>
              <w:t>In public</w:t>
            </w:r>
            <w:r>
              <w:rPr>
                <w:rFonts w:ascii="Microsoft Sans Serif"/>
                <w:spacing w:val="1"/>
                <w:w w:val="9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universities,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board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is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selected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by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combination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university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community groups and the university collegium. Foundation universities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 a board whose members are 100% external to the university. Public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 boards are 40%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external (the remaining 60%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 members are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combination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representatives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from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faculty,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other</w:t>
            </w:r>
            <w:r>
              <w:rPr>
                <w:rFonts w:asci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</w:p>
          <w:p>
            <w:pPr>
              <w:pStyle w:val="TableParagraph"/>
              <w:spacing w:before="1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body).</w:t>
            </w:r>
          </w:p>
        </w:tc>
      </w:tr>
      <w:tr>
        <w:trPr>
          <w:trHeight w:val="429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8"/>
              <w:ind w:left="136" w:right="8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pacing w:val="-1"/>
                <w:w w:val="85"/>
                <w:sz w:val="17"/>
              </w:rPr>
              <w:t>Multi-member</w:t>
            </w:r>
            <w:r>
              <w:rPr>
                <w:rFonts w:asci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administrative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bodies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represent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individual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faculties.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senate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division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faculties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other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departments.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Multi-member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bodies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represent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individual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faculties.</w:t>
            </w:r>
          </w:p>
        </w:tc>
      </w:tr>
      <w:tr>
        <w:trPr>
          <w:trHeight w:val="431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8"/>
              <w:ind w:left="136" w:right="8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Universities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chancellor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if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they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wish,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with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their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tasks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laid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in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university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acts</w:t>
            </w:r>
            <w:r>
              <w:rPr>
                <w:rFonts w:asci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and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decrees.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00" w:lineRule="atLeast" w:before="8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Universities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chancellor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if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wish;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their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tasks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are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laid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university</w:t>
            </w:r>
            <w:r>
              <w:rPr>
                <w:rFonts w:asci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acts</w:t>
            </w:r>
            <w:r>
              <w:rPr>
                <w:rFonts w:asci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and</w:t>
            </w:r>
            <w:r>
              <w:rPr>
                <w:rFonts w:asci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decrees.</w:t>
            </w:r>
          </w:p>
        </w:tc>
      </w:tr>
      <w:tr>
        <w:trPr>
          <w:trHeight w:val="630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electoral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college;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universities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one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more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vice-rectors,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senate.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9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board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both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foundation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universities.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Foundation</w:t>
            </w:r>
            <w:r>
              <w:rPr>
                <w:rFonts w:ascii="Microsoft Sans Serif"/>
                <w:spacing w:val="2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universities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may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replace</w:t>
            </w:r>
            <w:r>
              <w:rPr>
                <w:rFonts w:ascii="Microsoft Sans Serif"/>
                <w:spacing w:val="2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rector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with</w:t>
            </w:r>
            <w:r>
              <w:rPr>
                <w:rFonts w:ascii="Microsoft Sans Serif"/>
                <w:spacing w:val="2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position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</w:p>
          <w:p>
            <w:pPr>
              <w:pStyle w:val="TableParagraph"/>
              <w:spacing w:before="1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president.</w:t>
            </w:r>
          </w:p>
        </w:tc>
      </w:tr>
      <w:tr>
        <w:trPr>
          <w:trHeight w:val="1429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 w:before="13"/>
              <w:ind w:left="136" w:right="86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5"/>
                <w:sz w:val="17"/>
              </w:rPr>
              <w:t>The electoral college must be composed of representatives of the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professors, teaching and research staff, other </w:t>
            </w:r>
            <w:r>
              <w:rPr>
                <w:rFonts w:ascii="Microsoft Sans Serif" w:hAnsi="Microsoft Sans Serif"/>
                <w:w w:val="85"/>
                <w:sz w:val="17"/>
              </w:rPr>
              <w:t>personnel and students.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Provisions pertaining to the membership and election of the electoral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college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is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laid</w:t>
            </w:r>
            <w:r>
              <w:rPr>
                <w:rFonts w:ascii="Microsoft Sans Serif" w:hAns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out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university’s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standing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orders.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 w:before="13"/>
              <w:ind w:left="114" w:right="92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For public universities, the university collegium consists of 50 members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representing both the faculty, other teaching and research staff and the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student body – no one group may represent more than half the total.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Foundation universities have a joint multi-member </w:t>
            </w:r>
            <w:r>
              <w:rPr>
                <w:rFonts w:ascii="Microsoft Sans Serif" w:hAnsi="Microsoft Sans Serif"/>
                <w:w w:val="85"/>
                <w:sz w:val="17"/>
              </w:rPr>
              <w:t>administrative body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with a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maximum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 50 members,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representing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both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 faculty,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other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teaching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research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staff</w:t>
            </w:r>
            <w:r>
              <w:rPr>
                <w:rFonts w:ascii="Microsoft Sans Serif" w:hAns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the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student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body</w:t>
            </w:r>
            <w:r>
              <w:rPr>
                <w:rFonts w:ascii="Microsoft Sans Serif" w:hAns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–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no</w:t>
            </w:r>
            <w:r>
              <w:rPr>
                <w:rFonts w:ascii="Microsoft Sans Serif" w:hAns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one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group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may</w:t>
            </w:r>
          </w:p>
          <w:p>
            <w:pPr>
              <w:pStyle w:val="TableParagraph"/>
              <w:spacing w:before="2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represent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more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than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half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total.</w:t>
            </w:r>
          </w:p>
        </w:tc>
      </w:tr>
      <w:tr>
        <w:trPr>
          <w:trHeight w:val="630" w:hRule="atLeast"/>
        </w:trPr>
        <w:tc>
          <w:tcPr>
            <w:tcW w:w="4664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52" w:lineRule="auto" w:before="13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Faculties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are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directed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by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dean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or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other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director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along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with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collegial</w:t>
            </w:r>
            <w:r>
              <w:rPr>
                <w:rFonts w:ascii="Microsoft Sans Serif"/>
                <w:spacing w:val="-35"/>
                <w:w w:val="85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governance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practices.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 w:before="13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faculty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corresponding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unit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has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multi-member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chaired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director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unit.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must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include</w:t>
            </w:r>
          </w:p>
          <w:p>
            <w:pPr>
              <w:pStyle w:val="TableParagraph"/>
              <w:spacing w:before="4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representation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from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community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groups.</w:t>
            </w:r>
          </w:p>
        </w:tc>
      </w:tr>
    </w:tbl>
    <w:p>
      <w:pPr>
        <w:spacing w:line="254" w:lineRule="auto" w:before="128"/>
        <w:ind w:left="183" w:right="302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90"/>
          <w:position w:val="1"/>
          <w:sz w:val="18"/>
        </w:rPr>
        <w:t>Sources: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Finnish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Ministry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of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Education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and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Culture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(1997</w:t>
      </w:r>
      <w:r>
        <w:rPr>
          <w:rFonts w:ascii="Microsoft Sans Serif"/>
          <w:w w:val="90"/>
          <w:sz w:val="12"/>
        </w:rPr>
        <w:t>[71]</w:t>
      </w:r>
      <w:r>
        <w:rPr>
          <w:rFonts w:ascii="Microsoft Sans Serif"/>
          <w:w w:val="90"/>
          <w:position w:val="1"/>
          <w:sz w:val="18"/>
        </w:rPr>
        <w:t>)),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Universities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Act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645/1997</w:t>
      </w:r>
      <w:r>
        <w:rPr>
          <w:rFonts w:ascii="Microsoft Sans Serif"/>
          <w:w w:val="90"/>
          <w:position w:val="1"/>
          <w:sz w:val="18"/>
        </w:rPr>
        <w:t>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hyperlink r:id="rId155">
        <w:r>
          <w:rPr>
            <w:rFonts w:ascii="Microsoft Sans Serif"/>
            <w:color w:val="0000FF"/>
            <w:spacing w:val="-1"/>
            <w:w w:val="85"/>
            <w:position w:val="1"/>
            <w:sz w:val="18"/>
            <w:u w:val="single" w:color="0000FF"/>
          </w:rPr>
          <w:t>https://finlex.fi/fi/laki/kaannokset/1997/en19970645_20061453.pdf</w:t>
        </w:r>
        <w:r>
          <w:rPr>
            <w:rFonts w:ascii="Microsoft Sans Serif"/>
            <w:spacing w:val="-1"/>
            <w:w w:val="85"/>
            <w:position w:val="1"/>
            <w:sz w:val="18"/>
          </w:rPr>
          <w:t>;</w:t>
        </w:r>
      </w:hyperlink>
      <w:r>
        <w:rPr>
          <w:rFonts w:ascii="Microsoft Sans Serif"/>
          <w:spacing w:val="-1"/>
          <w:w w:val="85"/>
          <w:position w:val="1"/>
          <w:sz w:val="18"/>
        </w:rPr>
        <w:t> </w:t>
      </w:r>
      <w:r>
        <w:rPr>
          <w:rFonts w:ascii="Microsoft Sans Serif"/>
          <w:w w:val="85"/>
          <w:position w:val="1"/>
          <w:sz w:val="18"/>
        </w:rPr>
        <w:t>Finnish Ministry of Education and Culture (2009</w:t>
      </w:r>
      <w:r>
        <w:rPr>
          <w:rFonts w:ascii="Microsoft Sans Serif"/>
          <w:w w:val="85"/>
          <w:sz w:val="12"/>
        </w:rPr>
        <w:t>[72]</w:t>
      </w:r>
      <w:r>
        <w:rPr>
          <w:rFonts w:ascii="Microsoft Sans Serif"/>
          <w:w w:val="85"/>
          <w:position w:val="1"/>
          <w:sz w:val="18"/>
        </w:rPr>
        <w:t>), </w:t>
      </w:r>
      <w:r>
        <w:rPr>
          <w:rFonts w:ascii="Arial"/>
          <w:i/>
          <w:w w:val="85"/>
          <w:position w:val="1"/>
          <w:sz w:val="18"/>
        </w:rPr>
        <w:t>Universities Act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90"/>
          <w:sz w:val="18"/>
        </w:rPr>
        <w:t>558/2009</w:t>
      </w:r>
      <w:r>
        <w:rPr>
          <w:rFonts w:ascii="Microsoft Sans Serif"/>
          <w:w w:val="90"/>
          <w:sz w:val="18"/>
        </w:rPr>
        <w:t>,</w:t>
      </w:r>
      <w:r>
        <w:rPr>
          <w:rFonts w:ascii="Microsoft Sans Serif"/>
          <w:spacing w:val="-8"/>
          <w:w w:val="90"/>
          <w:sz w:val="18"/>
        </w:rPr>
        <w:t> </w:t>
      </w:r>
      <w:hyperlink r:id="rId156">
        <w:r>
          <w:rPr>
            <w:rFonts w:ascii="Microsoft Sans Serif"/>
            <w:color w:val="0000FF"/>
            <w:w w:val="90"/>
            <w:sz w:val="18"/>
            <w:u w:val="single" w:color="0000FF"/>
          </w:rPr>
          <w:t>https://www.finlex.fi/en/laki/kaannokset/2009/en20090558.pdf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pStyle w:val="BodyText"/>
        <w:spacing w:line="271" w:lineRule="auto" w:before="93"/>
        <w:ind w:left="183" w:right="307"/>
        <w:jc w:val="both"/>
      </w:pPr>
      <w:r>
        <w:rPr>
          <w:spacing w:val="-1"/>
        </w:rPr>
        <w:t>Recent</w:t>
      </w:r>
      <w:r>
        <w:rPr>
          <w:spacing w:val="-13"/>
        </w:rPr>
        <w:t> </w:t>
      </w:r>
      <w:r>
        <w:rPr>
          <w:spacing w:val="-1"/>
        </w:rPr>
        <w:t>evaluation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reform</w:t>
      </w:r>
      <w:r>
        <w:rPr>
          <w:spacing w:val="-10"/>
        </w:rPr>
        <w:t> </w:t>
      </w:r>
      <w:r>
        <w:rPr>
          <w:spacing w:val="-1"/>
        </w:rPr>
        <w:t>suggests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institutional</w:t>
      </w:r>
      <w:r>
        <w:rPr>
          <w:spacing w:val="-14"/>
        </w:rPr>
        <w:t> </w:t>
      </w:r>
      <w:r>
        <w:rPr>
          <w:spacing w:val="-1"/>
        </w:rPr>
        <w:t>autonomy</w:t>
      </w:r>
      <w:r>
        <w:rPr>
          <w:spacing w:val="-19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1"/>
        </w:rPr>
        <w:t> </w:t>
      </w:r>
      <w:r>
        <w:rPr/>
        <w:t>preserved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viewed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Finland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strengthening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institutional</w:t>
      </w:r>
      <w:r>
        <w:rPr>
          <w:spacing w:val="-10"/>
        </w:rPr>
        <w:t> </w:t>
      </w:r>
      <w:r>
        <w:rPr/>
        <w:t>culture</w:t>
      </w:r>
      <w:r>
        <w:rPr>
          <w:spacing w:val="-10"/>
        </w:rPr>
        <w:t> </w:t>
      </w:r>
      <w:r>
        <w:rPr/>
        <w:t>focused</w:t>
      </w:r>
      <w:r>
        <w:rPr>
          <w:spacing w:val="-1"/>
        </w:rPr>
        <w:t> </w:t>
      </w:r>
      <w:r>
        <w:rPr/>
        <w:t>on</w:t>
      </w:r>
      <w:r>
        <w:rPr>
          <w:spacing w:val="-9"/>
        </w:rPr>
        <w:t> </w:t>
      </w:r>
      <w:r>
        <w:rPr/>
        <w:t>effective</w:t>
      </w:r>
      <w:r>
        <w:rPr>
          <w:spacing w:val="-9"/>
        </w:rPr>
        <w:t> </w:t>
      </w:r>
      <w:r>
        <w:rPr/>
        <w:t>decision</w:t>
      </w:r>
      <w:r>
        <w:rPr>
          <w:spacing w:val="-10"/>
        </w:rPr>
        <w:t> </w:t>
      </w:r>
      <w:r>
        <w:rPr/>
        <w:t>making</w:t>
      </w:r>
      <w:r>
        <w:rPr>
          <w:spacing w:val="-9"/>
        </w:rPr>
        <w:t> </w:t>
      </w:r>
      <w:r>
        <w:rPr/>
        <w:t>and</w:t>
      </w:r>
      <w:r>
        <w:rPr>
          <w:spacing w:val="-53"/>
        </w:rPr>
        <w:t> </w:t>
      </w:r>
      <w:r>
        <w:rPr/>
        <w:t>continuous improvement. In terms of system rationalisation, the operational goals of the structural reform</w:t>
      </w:r>
      <w:r>
        <w:rPr>
          <w:spacing w:val="-53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achieved,</w:t>
      </w:r>
      <w:r>
        <w:rPr>
          <w:spacing w:val="-5"/>
        </w:rPr>
        <w:t> </w:t>
      </w:r>
      <w:r>
        <w:rPr/>
        <w:t>though</w:t>
      </w:r>
      <w:r>
        <w:rPr>
          <w:spacing w:val="-8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wider</w:t>
      </w:r>
      <w:r>
        <w:rPr>
          <w:spacing w:val="-4"/>
        </w:rPr>
        <w:t> </w:t>
      </w:r>
      <w:r>
        <w:rPr/>
        <w:t>outcomes</w:t>
      </w:r>
      <w:r>
        <w:rPr>
          <w:spacing w:val="-6"/>
        </w:rPr>
        <w:t> </w:t>
      </w:r>
      <w:r>
        <w:rPr/>
        <w:t>(such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increases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specialisation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15"/>
        <w:jc w:val="both"/>
      </w:pPr>
      <w:r>
        <w:rPr/>
        <w:t>and position of Finnish HEIs in international rankings) remain areas for ongoing policy adaptation and</w:t>
      </w:r>
      <w:r>
        <w:rPr>
          <w:spacing w:val="1"/>
        </w:rPr>
        <w:t> </w:t>
      </w:r>
      <w:r>
        <w:rPr/>
        <w:t>improvement.</w:t>
      </w:r>
    </w:p>
    <w:p>
      <w:pPr>
        <w:pStyle w:val="BodyText"/>
        <w:spacing w:before="10"/>
        <w:rPr>
          <w:sz w:val="19"/>
        </w:rPr>
      </w:pPr>
    </w:p>
    <w:p>
      <w:pPr>
        <w:pStyle w:val="Heading7"/>
        <w:spacing w:before="1"/>
      </w:pPr>
      <w:bookmarkStart w:name="Portugal: Implementing government-driven" w:id="162"/>
      <w:bookmarkEnd w:id="162"/>
      <w:r>
        <w:rPr>
          <w:i w:val="0"/>
        </w:rPr>
      </w:r>
      <w:r>
        <w:rPr>
          <w:color w:val="616161"/>
        </w:rPr>
        <w:t>Portugal:</w:t>
      </w:r>
      <w:r>
        <w:rPr>
          <w:color w:val="616161"/>
          <w:spacing w:val="-8"/>
        </w:rPr>
        <w:t> </w:t>
      </w:r>
      <w:r>
        <w:rPr>
          <w:color w:val="616161"/>
        </w:rPr>
        <w:t>Implementing</w:t>
      </w:r>
      <w:r>
        <w:rPr>
          <w:color w:val="616161"/>
          <w:spacing w:val="-7"/>
        </w:rPr>
        <w:t> </w:t>
      </w:r>
      <w:r>
        <w:rPr>
          <w:color w:val="616161"/>
        </w:rPr>
        <w:t>government-driven</w:t>
      </w:r>
      <w:r>
        <w:rPr>
          <w:color w:val="616161"/>
          <w:spacing w:val="-7"/>
        </w:rPr>
        <w:t> </w:t>
      </w:r>
      <w:r>
        <w:rPr>
          <w:color w:val="616161"/>
        </w:rPr>
        <w:t>institutional</w:t>
      </w:r>
      <w:r>
        <w:rPr>
          <w:color w:val="616161"/>
          <w:spacing w:val="-8"/>
        </w:rPr>
        <w:t> </w:t>
      </w:r>
      <w:r>
        <w:rPr>
          <w:color w:val="616161"/>
        </w:rPr>
        <w:t>governance</w:t>
      </w:r>
      <w:r>
        <w:rPr>
          <w:color w:val="616161"/>
          <w:spacing w:val="-8"/>
        </w:rPr>
        <w:t> </w:t>
      </w:r>
      <w:r>
        <w:rPr>
          <w:color w:val="616161"/>
        </w:rPr>
        <w:t>reform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line="259" w:lineRule="auto" w:before="1"/>
        <w:ind w:left="183" w:right="304"/>
        <w:jc w:val="both"/>
      </w:pPr>
      <w:r>
        <w:rPr>
          <w:spacing w:val="-1"/>
        </w:rPr>
        <w:t>The</w:t>
      </w:r>
      <w:r>
        <w:rPr>
          <w:spacing w:val="56"/>
        </w:rPr>
        <w:t> </w:t>
      </w:r>
      <w:r>
        <w:rPr>
          <w:spacing w:val="-1"/>
        </w:rPr>
        <w:t>Legal</w:t>
      </w:r>
      <w:r>
        <w:rPr>
          <w:spacing w:val="57"/>
        </w:rPr>
        <w:t> </w:t>
      </w:r>
      <w:r>
        <w:rPr>
          <w:spacing w:val="-1"/>
        </w:rPr>
        <w:t>Regime</w:t>
      </w:r>
      <w:r>
        <w:rPr>
          <w:spacing w:val="58"/>
        </w:rPr>
        <w:t> </w:t>
      </w:r>
      <w:r>
        <w:rPr>
          <w:spacing w:val="-1"/>
        </w:rPr>
        <w:t>of</w:t>
      </w:r>
      <w:r>
        <w:rPr>
          <w:spacing w:val="60"/>
        </w:rPr>
        <w:t> </w:t>
      </w:r>
      <w:r>
        <w:rPr>
          <w:spacing w:val="-1"/>
        </w:rPr>
        <w:t>Institutions</w:t>
      </w:r>
      <w:r>
        <w:rPr>
          <w:spacing w:val="59"/>
        </w:rPr>
        <w:t> </w:t>
      </w:r>
      <w:r>
        <w:rPr>
          <w:spacing w:val="-1"/>
        </w:rPr>
        <w:t>of</w:t>
      </w:r>
      <w:r>
        <w:rPr>
          <w:spacing w:val="59"/>
        </w:rPr>
        <w:t> </w:t>
      </w:r>
      <w:r>
        <w:rPr>
          <w:spacing w:val="-1"/>
        </w:rPr>
        <w:t>Higher</w:t>
      </w:r>
      <w:r>
        <w:rPr>
          <w:spacing w:val="59"/>
        </w:rPr>
        <w:t> </w:t>
      </w:r>
      <w:r>
        <w:rPr>
          <w:spacing w:val="-1"/>
        </w:rPr>
        <w:t>Education</w:t>
      </w:r>
      <w:r>
        <w:rPr>
          <w:spacing w:val="57"/>
        </w:rPr>
        <w:t> </w:t>
      </w:r>
      <w:r>
        <w:rPr>
          <w:spacing w:val="-1"/>
        </w:rPr>
        <w:t>(Regime</w:t>
      </w:r>
      <w:r>
        <w:rPr>
          <w:spacing w:val="58"/>
        </w:rPr>
        <w:t> </w:t>
      </w:r>
      <w:r>
        <w:rPr/>
        <w:t>Juri</w:t>
      </w:r>
      <w:r>
        <w:rPr>
          <w:position w:val="-2"/>
        </w:rPr>
        <w:t>́</w:t>
      </w:r>
      <w:r>
        <w:rPr/>
        <w:t>dico</w:t>
      </w:r>
      <w:r>
        <w:rPr>
          <w:spacing w:val="58"/>
        </w:rPr>
        <w:t> </w:t>
      </w:r>
      <w:r>
        <w:rPr/>
        <w:t>das</w:t>
      </w:r>
      <w:r>
        <w:rPr>
          <w:spacing w:val="57"/>
        </w:rPr>
        <w:t> </w:t>
      </w:r>
      <w:r>
        <w:rPr/>
        <w:t>Instituiç</w:t>
      </w:r>
      <w:r>
        <w:rPr>
          <w:spacing w:val="-6"/>
        </w:rPr>
        <w:t> </w:t>
      </w:r>
      <w:r>
        <w:rPr/>
        <w:t>o</w:t>
      </w:r>
      <w:r>
        <w:rPr>
          <w:position w:val="-2"/>
        </w:rPr>
        <w:t>̃</w:t>
      </w:r>
      <w:r>
        <w:rPr/>
        <w:t>es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92"/>
        </w:rPr>
        <w:t>Ensino</w:t>
      </w:r>
      <w:r>
        <w:rPr>
          <w:spacing w:val="1"/>
        </w:rPr>
        <w:t> </w:t>
      </w:r>
      <w:r>
        <w:rPr>
          <w:spacing w:val="-1"/>
        </w:rPr>
        <w:t>Superior,</w:t>
      </w:r>
      <w:r>
        <w:rPr/>
        <w:t> </w:t>
      </w:r>
      <w:r>
        <w:rPr>
          <w:spacing w:val="-1"/>
        </w:rPr>
        <w:t>RJIES)</w:t>
      </w:r>
      <w:r>
        <w:rPr/>
        <w:t> </w:t>
      </w:r>
      <w:r>
        <w:rPr>
          <w:spacing w:val="-1"/>
        </w:rPr>
        <w:t>reform</w:t>
      </w:r>
      <w:r>
        <w:rPr/>
        <w:t> </w:t>
      </w:r>
      <w:r>
        <w:rPr>
          <w:spacing w:val="-1"/>
        </w:rPr>
        <w:t>carried</w:t>
      </w:r>
      <w:r>
        <w:rPr>
          <w:spacing w:val="53"/>
        </w:rPr>
        <w:t> </w:t>
      </w:r>
      <w:r>
        <w:rPr>
          <w:spacing w:val="-1"/>
        </w:rPr>
        <w:t>out</w:t>
      </w:r>
      <w:r>
        <w:rPr>
          <w:spacing w:val="54"/>
        </w:rPr>
        <w:t> </w:t>
      </w:r>
      <w:r>
        <w:rPr>
          <w:spacing w:val="-1"/>
        </w:rPr>
        <w:t>in</w:t>
      </w:r>
      <w:r>
        <w:rPr>
          <w:spacing w:val="54"/>
        </w:rPr>
        <w:t> </w:t>
      </w:r>
      <w:r>
        <w:rPr>
          <w:spacing w:val="-1"/>
        </w:rPr>
        <w:t>Portugal offers</w:t>
      </w:r>
      <w:r>
        <w:rPr>
          <w:spacing w:val="53"/>
        </w:rPr>
        <w:t> </w:t>
      </w:r>
      <w:r>
        <w:rPr>
          <w:spacing w:val="-1"/>
        </w:rPr>
        <w:t>an example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governance and funding</w:t>
      </w:r>
      <w:r>
        <w:rPr>
          <w:spacing w:val="1"/>
        </w:rPr>
        <w:t> </w:t>
      </w:r>
      <w:r>
        <w:rPr/>
        <w:t>changes implemented to increase HEIs’ institutional autonomy by allowing them to manage their</w:t>
      </w:r>
      <w:r>
        <w:rPr>
          <w:spacing w:val="1"/>
        </w:rPr>
        <w:t> </w:t>
      </w:r>
      <w:r>
        <w:rPr>
          <w:spacing w:val="-1"/>
        </w:rPr>
        <w:t>resources and more quickly respond to changes in their environment. </w:t>
      </w:r>
      <w:r>
        <w:rPr/>
        <w:t>Portugal’s movement toward</w:t>
      </w:r>
      <w:r>
        <w:rPr>
          <w:spacing w:val="1"/>
        </w:rPr>
        <w:t> </w:t>
      </w:r>
      <w:r>
        <w:rPr/>
        <w:t>institutional</w:t>
      </w:r>
      <w:r>
        <w:rPr>
          <w:spacing w:val="-12"/>
        </w:rPr>
        <w:t> </w:t>
      </w:r>
      <w:r>
        <w:rPr/>
        <w:t>autonomy,</w:t>
      </w:r>
    </w:p>
    <w:p>
      <w:pPr>
        <w:pStyle w:val="BodyText"/>
        <w:spacing w:line="271" w:lineRule="auto" w:before="13"/>
        <w:ind w:left="183" w:right="312"/>
        <w:jc w:val="both"/>
      </w:pPr>
      <w:r>
        <w:rPr/>
        <w:t>governance reform and greater accountability in the 2000s occurred alongside related developments in</w:t>
      </w:r>
      <w:r>
        <w:rPr>
          <w:spacing w:val="1"/>
        </w:rPr>
        <w:t> </w:t>
      </w:r>
      <w:r>
        <w:rPr/>
        <w:t>quality assurance. This included the inauguration of the country’s quality assurance agency, A3ES, first</w:t>
      </w:r>
      <w:r>
        <w:rPr>
          <w:spacing w:val="1"/>
        </w:rPr>
        <w:t> </w:t>
      </w:r>
      <w:r>
        <w:rPr/>
        <w:t>operational in 2009, which placed external programme quality validation alongside new autonomy and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measures for</w:t>
      </w:r>
      <w:r>
        <w:rPr>
          <w:spacing w:val="-1"/>
        </w:rPr>
        <w:t> </w:t>
      </w:r>
      <w:r>
        <w:rPr/>
        <w:t>institutions.</w:t>
      </w:r>
    </w:p>
    <w:p>
      <w:pPr>
        <w:pStyle w:val="BodyText"/>
        <w:spacing w:line="271" w:lineRule="auto" w:before="123"/>
        <w:ind w:left="183" w:right="308"/>
        <w:jc w:val="both"/>
      </w:pPr>
      <w:r>
        <w:rPr>
          <w:spacing w:val="-1"/>
        </w:rPr>
        <w:t>RJIES</w:t>
      </w:r>
      <w:r>
        <w:rPr>
          <w:spacing w:val="-12"/>
        </w:rPr>
        <w:t> </w:t>
      </w:r>
      <w:r>
        <w:rPr>
          <w:spacing w:val="-1"/>
        </w:rPr>
        <w:t>resulted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institutional</w:t>
      </w:r>
      <w:r>
        <w:rPr>
          <w:spacing w:val="-13"/>
        </w:rPr>
        <w:t> </w:t>
      </w:r>
      <w:r>
        <w:rPr>
          <w:spacing w:val="-1"/>
        </w:rPr>
        <w:t>governance</w:t>
      </w:r>
      <w:r>
        <w:rPr>
          <w:spacing w:val="-12"/>
        </w:rPr>
        <w:t> </w:t>
      </w:r>
      <w:r>
        <w:rPr>
          <w:spacing w:val="-1"/>
        </w:rPr>
        <w:t>changes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0"/>
        </w:rPr>
        <w:t> </w:t>
      </w:r>
      <w:r>
        <w:rPr/>
        <w:t>HEIs,</w:t>
      </w:r>
      <w:r>
        <w:rPr>
          <w:spacing w:val="-9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reform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elected</w:t>
      </w:r>
      <w:r>
        <w:rPr>
          <w:spacing w:val="-12"/>
        </w:rPr>
        <w:t> </w:t>
      </w:r>
      <w:r>
        <w:rPr/>
        <w:t>governance</w:t>
      </w:r>
      <w:r>
        <w:rPr>
          <w:spacing w:val="1"/>
        </w:rPr>
        <w:t> </w:t>
      </w:r>
      <w:r>
        <w:rPr>
          <w:spacing w:val="-1"/>
        </w:rPr>
        <w:t>bodies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selection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rectors,</w:t>
      </w:r>
      <w:r>
        <w:rPr>
          <w:spacing w:val="-14"/>
        </w:rPr>
        <w:t> </w:t>
      </w:r>
      <w:r>
        <w:rPr/>
        <w:t>or</w:t>
      </w:r>
      <w:r>
        <w:rPr>
          <w:spacing w:val="-12"/>
        </w:rPr>
        <w:t> </w:t>
      </w:r>
      <w:r>
        <w:rPr/>
        <w:t>presidents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case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polytechnic</w:t>
      </w:r>
      <w:r>
        <w:rPr>
          <w:spacing w:val="-12"/>
        </w:rPr>
        <w:t> </w:t>
      </w:r>
      <w:r>
        <w:rPr/>
        <w:t>HEIs.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functions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former</w:t>
      </w:r>
      <w:r>
        <w:rPr>
          <w:spacing w:val="1"/>
        </w:rPr>
        <w:t> </w:t>
      </w:r>
      <w:r>
        <w:rPr/>
        <w:t>HEI assemblies and senates that could cumulatively have hundreds of members were replaced with</w:t>
      </w:r>
      <w:r>
        <w:rPr>
          <w:spacing w:val="1"/>
        </w:rPr>
        <w:t> </w:t>
      </w:r>
      <w:r>
        <w:rPr/>
        <w:t>unicameral general councils as the highest decision making body. Under the legislation, general councils</w:t>
      </w:r>
      <w:r>
        <w:rPr>
          <w:spacing w:val="-53"/>
        </w:rPr>
        <w:t> </w:t>
      </w:r>
      <w:r>
        <w:rPr/>
        <w:t>are</w:t>
      </w:r>
      <w:r>
        <w:rPr>
          <w:spacing w:val="-3"/>
        </w:rPr>
        <w:t> </w:t>
      </w:r>
      <w:r>
        <w:rPr/>
        <w:t>composed</w:t>
      </w:r>
      <w:r>
        <w:rPr>
          <w:spacing w:val="-3"/>
        </w:rPr>
        <w:t> </w:t>
      </w:r>
      <w:r>
        <w:rPr/>
        <w:t>of 15-35</w:t>
      </w:r>
      <w:r>
        <w:rPr>
          <w:spacing w:val="-2"/>
        </w:rPr>
        <w:t> </w:t>
      </w:r>
      <w:r>
        <w:rPr/>
        <w:t>members,</w:t>
      </w:r>
      <w:r>
        <w:rPr>
          <w:spacing w:val="-3"/>
        </w:rPr>
        <w:t> </w:t>
      </w:r>
      <w:r>
        <w:rPr/>
        <w:t>depending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size and</w:t>
      </w:r>
      <w:r>
        <w:rPr>
          <w:spacing w:val="-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the HEI (</w:t>
      </w:r>
      <w:hyperlink w:history="true" w:anchor="_bookmark54">
        <w:r>
          <w:rPr/>
          <w:t>Table</w:t>
        </w:r>
        <w:r>
          <w:rPr>
            <w:spacing w:val="-2"/>
          </w:rPr>
          <w:t> </w:t>
        </w:r>
        <w:r>
          <w:rPr/>
          <w:t>3.7. </w:t>
        </w:r>
      </w:hyperlink>
      <w:r>
        <w:rPr/>
        <w:t>).</w:t>
      </w:r>
    </w:p>
    <w:p>
      <w:pPr>
        <w:pStyle w:val="BodyText"/>
        <w:spacing w:before="8"/>
        <w:rPr>
          <w:sz w:val="28"/>
        </w:rPr>
      </w:pPr>
    </w:p>
    <w:p>
      <w:pPr>
        <w:spacing w:before="1"/>
        <w:ind w:left="183" w:right="0" w:firstLine="0"/>
        <w:jc w:val="both"/>
        <w:rPr>
          <w:rFonts w:ascii="Arial"/>
          <w:b/>
          <w:sz w:val="24"/>
        </w:rPr>
      </w:pPr>
      <w:bookmarkStart w:name="_bookmark54" w:id="163"/>
      <w:bookmarkEnd w:id="163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3.7.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University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governance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bodies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pre-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post-RJIES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Portugal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(2007)</w:t>
      </w:r>
    </w:p>
    <w:p>
      <w:pPr>
        <w:pStyle w:val="BodyText"/>
        <w:rPr>
          <w:rFonts w:ascii="Arial"/>
          <w:b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3"/>
        <w:gridCol w:w="4607"/>
      </w:tblGrid>
      <w:tr>
        <w:trPr>
          <w:trHeight w:val="241" w:hRule="atLeast"/>
        </w:trPr>
        <w:tc>
          <w:tcPr>
            <w:tcW w:w="4623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1930" w:right="188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Pre-RJIES</w:t>
            </w:r>
          </w:p>
        </w:tc>
        <w:tc>
          <w:tcPr>
            <w:tcW w:w="4607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2"/>
              <w:ind w:left="1871" w:right="185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Post-RJIES</w:t>
            </w:r>
          </w:p>
        </w:tc>
      </w:tr>
      <w:tr>
        <w:trPr>
          <w:trHeight w:val="1069" w:hRule="atLeast"/>
        </w:trPr>
        <w:tc>
          <w:tcPr>
            <w:tcW w:w="4623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 w:before="13"/>
              <w:ind w:left="136" w:right="4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assembly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(64-331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14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largest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universities):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(primary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governance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body)</w:t>
            </w:r>
          </w:p>
        </w:tc>
        <w:tc>
          <w:tcPr>
            <w:tcW w:w="460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General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council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composed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15-35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0" w:lineRule="atLeast" w:before="0"/>
              <w:ind w:left="114" w:right="91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In the case of foundation status institutions, board of trustees (5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members) sits above general council. It is appointed by the government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upon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recommendation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general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council.</w:t>
            </w:r>
          </w:p>
        </w:tc>
      </w:tr>
      <w:tr>
        <w:trPr>
          <w:trHeight w:val="429" w:hRule="atLeast"/>
        </w:trPr>
        <w:tc>
          <w:tcPr>
            <w:tcW w:w="4623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assembly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00" w:lineRule="atLeast" w:before="5"/>
              <w:ind w:left="114" w:right="8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general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council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(ratified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board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trustees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case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foundation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institutions).</w:t>
            </w:r>
          </w:p>
        </w:tc>
      </w:tr>
      <w:tr>
        <w:trPr>
          <w:trHeight w:val="431" w:hRule="atLeast"/>
        </w:trPr>
        <w:tc>
          <w:tcPr>
            <w:tcW w:w="4623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8"/>
              <w:ind w:left="136" w:right="4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1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assembly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contains</w:t>
            </w:r>
            <w:r>
              <w:rPr>
                <w:rFonts w:ascii="Microsoft Sans Serif"/>
                <w:spacing w:val="1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40%</w:t>
            </w:r>
            <w:r>
              <w:rPr>
                <w:rFonts w:ascii="Microsoft Sans Serif"/>
                <w:spacing w:val="2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staff,</w:t>
            </w:r>
            <w:r>
              <w:rPr>
                <w:rFonts w:ascii="Microsoft Sans Serif"/>
                <w:spacing w:val="1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40%</w:t>
            </w:r>
            <w:r>
              <w:rPr>
                <w:rFonts w:ascii="Microsoft Sans Serif"/>
                <w:spacing w:val="2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students,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20%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other</w:t>
            </w:r>
            <w:r>
              <w:rPr>
                <w:rFonts w:ascii="Microsoft Sans Serif"/>
                <w:spacing w:val="-2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staff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00" w:lineRule="atLeast" w:before="8"/>
              <w:ind w:left="114" w:right="8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pacing w:val="-1"/>
                <w:w w:val="85"/>
                <w:sz w:val="17"/>
              </w:rPr>
              <w:t>General council must have a majority </w:t>
            </w:r>
            <w:r>
              <w:rPr>
                <w:rFonts w:ascii="Microsoft Sans Serif"/>
                <w:w w:val="85"/>
                <w:sz w:val="17"/>
              </w:rPr>
              <w:t>of academic staff, 30% external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15%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students.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Internal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external.</w:t>
            </w:r>
          </w:p>
        </w:tc>
      </w:tr>
      <w:tr>
        <w:trPr>
          <w:trHeight w:val="1468" w:hRule="atLeast"/>
        </w:trPr>
        <w:tc>
          <w:tcPr>
            <w:tcW w:w="4623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 w:before="13"/>
              <w:ind w:left="136" w:right="85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Academic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senate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(36-179 members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14 largest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universities)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with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managerial authorities (e.g. budget proposals and annual accounts) –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could include up to 15% external members. Senates could include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faculty</w:t>
            </w:r>
            <w:r>
              <w:rPr>
                <w:rFonts w:ascii="Microsoft Sans Serif" w:hAns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representation.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136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council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responsible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current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financial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administration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 w:before="13"/>
              <w:ind w:left="114" w:right="91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Management council (maximum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five members, chaired</w:t>
            </w:r>
            <w:r>
              <w:rPr>
                <w:rFonts w:ascii="Microsoft Sans Serif" w:hAnsi="Microsoft Sans Serif"/>
                <w:spacing w:val="27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27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appointed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by rector) holds authorities with respect to administration, finances,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90"/>
                <w:sz w:val="17"/>
              </w:rPr>
              <w:t>assets and human resources. </w:t>
            </w:r>
            <w:r>
              <w:rPr>
                <w:rFonts w:ascii="Microsoft Sans Serif" w:hAnsi="Microsoft Sans Serif"/>
                <w:w w:val="90"/>
                <w:sz w:val="17"/>
              </w:rPr>
              <w:t>In the case of foundation status</w:t>
            </w:r>
            <w:r>
              <w:rPr>
                <w:rFonts w:ascii="Microsoft Sans Serif" w:hAnsi="Microsoft Sans Serif"/>
                <w:spacing w:val="1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institutions, the board of trustees approves the </w:t>
            </w:r>
            <w:r>
              <w:rPr>
                <w:rFonts w:ascii="Microsoft Sans Serif" w:hAnsi="Microsoft Sans Serif"/>
                <w:w w:val="85"/>
                <w:sz w:val="17"/>
              </w:rPr>
              <w:t>rector’s recommended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appointments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to the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management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council.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92" w:lineRule="exact" w:before="0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senates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established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consultative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body.</w:t>
            </w:r>
          </w:p>
        </w:tc>
      </w:tr>
      <w:tr>
        <w:trPr>
          <w:trHeight w:val="2272" w:hRule="atLeast"/>
        </w:trPr>
        <w:tc>
          <w:tcPr>
            <w:tcW w:w="4623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 w:right="8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Collegiate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governance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bodies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were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mandated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at</w:t>
            </w:r>
            <w:r>
              <w:rPr>
                <w:rFonts w:ascii="Microsoft Sans Serif"/>
                <w:spacing w:val="7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7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faculty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level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by</w:t>
            </w:r>
            <w:r>
              <w:rPr>
                <w:rFonts w:ascii="Microsoft Sans Serif"/>
                <w:spacing w:val="-35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legislation,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held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managerial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authorities,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their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leadership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91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Academic structures are decided by universities within their statutes.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 and research units must have a single-member executive.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They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may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have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representative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collegiate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body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(they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have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generally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chosen to do so), which has the function of selecting the executive. If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there is a representative collegiate body, it must have 15 members or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less, have at least 60% teacher and researcher members, and include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students,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non-academic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external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representatives.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14" w:right="92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Scientific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technical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councils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pedagogical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councils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with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membership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specified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RJIES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play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guidance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advisory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roles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at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</w:p>
          <w:p>
            <w:pPr>
              <w:pStyle w:val="TableParagraph"/>
              <w:spacing w:before="3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teaching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unit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level.</w:t>
            </w:r>
          </w:p>
        </w:tc>
      </w:tr>
    </w:tbl>
    <w:p>
      <w:pPr>
        <w:spacing w:before="128"/>
        <w:ind w:left="183" w:right="0" w:firstLine="0"/>
        <w:jc w:val="both"/>
        <w:rPr>
          <w:rFonts w:ascii="Arial" w:hAnsi="Arial"/>
          <w:i/>
          <w:sz w:val="18"/>
        </w:rPr>
      </w:pPr>
      <w:r>
        <w:rPr>
          <w:rFonts w:ascii="Microsoft Sans Serif" w:hAnsi="Microsoft Sans Serif"/>
          <w:w w:val="80"/>
          <w:position w:val="1"/>
          <w:sz w:val="18"/>
        </w:rPr>
        <w:t>Source: Government</w:t>
      </w:r>
      <w:r>
        <w:rPr>
          <w:rFonts w:ascii="Microsoft Sans Serif" w:hAns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of</w:t>
      </w:r>
      <w:r>
        <w:rPr>
          <w:rFonts w:ascii="Microsoft Sans Serif" w:hAnsi="Microsoft Sans Serif"/>
          <w:spacing w:val="3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Portugal</w:t>
      </w:r>
      <w:r>
        <w:rPr>
          <w:rFonts w:ascii="Microsoft Sans Serif" w:hAnsi="Microsoft Sans Serif"/>
          <w:spacing w:val="7"/>
          <w:w w:val="80"/>
          <w:position w:val="1"/>
          <w:sz w:val="18"/>
        </w:rPr>
        <w:t> </w:t>
      </w:r>
      <w:r>
        <w:rPr>
          <w:rFonts w:ascii="Microsoft Sans Serif" w:hAnsi="Microsoft Sans Serif"/>
          <w:w w:val="80"/>
          <w:position w:val="1"/>
          <w:sz w:val="18"/>
        </w:rPr>
        <w:t>(2007</w:t>
      </w:r>
      <w:r>
        <w:rPr>
          <w:rFonts w:ascii="Microsoft Sans Serif" w:hAnsi="Microsoft Sans Serif"/>
          <w:w w:val="80"/>
          <w:sz w:val="12"/>
        </w:rPr>
        <w:t>[73]</w:t>
      </w:r>
      <w:r>
        <w:rPr>
          <w:rFonts w:ascii="Microsoft Sans Serif" w:hAnsi="Microsoft Sans Serif"/>
          <w:w w:val="80"/>
          <w:position w:val="1"/>
          <w:sz w:val="18"/>
        </w:rPr>
        <w:t>),</w:t>
      </w:r>
      <w:r>
        <w:rPr>
          <w:rFonts w:ascii="Microsoft Sans Serif" w:hAnsi="Microsoft Sans Serif"/>
          <w:spacing w:val="4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Regime</w:t>
      </w:r>
      <w:r>
        <w:rPr>
          <w:rFonts w:ascii="Arial" w:hAnsi="Arial"/>
          <w:i/>
          <w:spacing w:val="2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jurídico</w:t>
      </w:r>
      <w:r>
        <w:rPr>
          <w:rFonts w:ascii="Arial" w:hAnsi="Arial"/>
          <w:i/>
          <w:spacing w:val="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das instituições</w:t>
      </w:r>
      <w:r>
        <w:rPr>
          <w:rFonts w:ascii="Arial" w:hAnsi="Arial"/>
          <w:i/>
          <w:spacing w:val="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de</w:t>
      </w:r>
      <w:r>
        <w:rPr>
          <w:rFonts w:ascii="Arial" w:hAnsi="Arial"/>
          <w:i/>
          <w:spacing w:val="-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ensino</w:t>
      </w:r>
      <w:r>
        <w:rPr>
          <w:rFonts w:ascii="Arial" w:hAnsi="Arial"/>
          <w:i/>
          <w:spacing w:val="-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superior [Legal framework</w:t>
      </w:r>
      <w:r>
        <w:rPr>
          <w:rFonts w:ascii="Arial" w:hAnsi="Arial"/>
          <w:i/>
          <w:spacing w:val="3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of higher</w:t>
      </w:r>
      <w:r>
        <w:rPr>
          <w:rFonts w:ascii="Arial" w:hAnsi="Arial"/>
          <w:i/>
          <w:spacing w:val="-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education</w:t>
      </w:r>
      <w:r>
        <w:rPr>
          <w:rFonts w:ascii="Arial" w:hAnsi="Arial"/>
          <w:i/>
          <w:spacing w:val="-1"/>
          <w:w w:val="80"/>
          <w:position w:val="1"/>
          <w:sz w:val="18"/>
        </w:rPr>
        <w:t> </w:t>
      </w:r>
      <w:r>
        <w:rPr>
          <w:rFonts w:ascii="Arial" w:hAnsi="Arial"/>
          <w:i/>
          <w:w w:val="80"/>
          <w:position w:val="1"/>
          <w:sz w:val="18"/>
        </w:rPr>
        <w:t>institutions],</w:t>
      </w:r>
    </w:p>
    <w:p>
      <w:pPr>
        <w:spacing w:before="17"/>
        <w:ind w:left="183" w:right="0" w:firstLine="0"/>
        <w:jc w:val="left"/>
        <w:rPr>
          <w:rFonts w:ascii="Microsoft Sans Serif"/>
          <w:sz w:val="18"/>
        </w:rPr>
      </w:pPr>
      <w:hyperlink r:id="rId157">
        <w:r>
          <w:rPr>
            <w:rFonts w:ascii="Microsoft Sans Serif"/>
            <w:color w:val="0000FF"/>
            <w:w w:val="90"/>
            <w:sz w:val="18"/>
            <w:u w:val="single" w:color="0000FF"/>
          </w:rPr>
          <w:t>https://data.dre.pt/eli/lei/62/2007/09/10/p/dre/pt/htm</w:t>
        </w:r>
        <w:r>
          <w:rPr>
            <w:rFonts w:ascii="Microsoft Sans Serif"/>
            <w:color w:val="0000FF"/>
            <w:w w:val="90"/>
            <w:sz w:val="18"/>
          </w:rPr>
          <w:t>l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pStyle w:val="BodyText"/>
        <w:spacing w:line="273" w:lineRule="auto" w:before="93"/>
        <w:ind w:left="183"/>
      </w:pPr>
      <w:r>
        <w:rPr/>
        <w:t>While</w:t>
      </w:r>
      <w:r>
        <w:rPr>
          <w:spacing w:val="-7"/>
        </w:rPr>
        <w:t> </w:t>
      </w:r>
      <w:r>
        <w:rPr/>
        <w:t>staff-student</w:t>
      </w:r>
      <w:r>
        <w:rPr>
          <w:spacing w:val="-6"/>
        </w:rPr>
        <w:t> </w:t>
      </w:r>
      <w:r>
        <w:rPr/>
        <w:t>parity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previously</w:t>
      </w:r>
      <w:r>
        <w:rPr>
          <w:spacing w:val="-7"/>
        </w:rPr>
        <w:t> </w:t>
      </w:r>
      <w:r>
        <w:rPr/>
        <w:t>practiced</w:t>
      </w:r>
      <w:r>
        <w:rPr>
          <w:spacing w:val="-5"/>
        </w:rPr>
        <w:t> </w:t>
      </w:r>
      <w:r>
        <w:rPr/>
        <w:t>within</w:t>
      </w:r>
      <w:r>
        <w:rPr>
          <w:spacing w:val="-7"/>
        </w:rPr>
        <w:t> </w:t>
      </w:r>
      <w:r>
        <w:rPr/>
        <w:t>many</w:t>
      </w:r>
      <w:r>
        <w:rPr>
          <w:spacing w:val="-10"/>
        </w:rPr>
        <w:t> </w:t>
      </w:r>
      <w:r>
        <w:rPr/>
        <w:t>HEI</w:t>
      </w:r>
      <w:r>
        <w:rPr>
          <w:spacing w:val="-4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bodies,</w:t>
      </w:r>
      <w:r>
        <w:rPr>
          <w:spacing w:val="-6"/>
        </w:rPr>
        <w:t> </w:t>
      </w:r>
      <w:r>
        <w:rPr/>
        <w:t>RJIES</w:t>
      </w:r>
      <w:r>
        <w:rPr>
          <w:spacing w:val="-4"/>
        </w:rPr>
        <w:t> </w:t>
      </w:r>
      <w:r>
        <w:rPr/>
        <w:t>imposes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minimum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only</w:t>
      </w:r>
      <w:r>
        <w:rPr>
          <w:spacing w:val="-14"/>
        </w:rPr>
        <w:t> </w:t>
      </w:r>
      <w:r>
        <w:rPr>
          <w:spacing w:val="-1"/>
        </w:rPr>
        <w:t>15%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students</w:t>
      </w:r>
      <w:r>
        <w:rPr>
          <w:spacing w:val="-10"/>
        </w:rPr>
        <w:t> </w:t>
      </w:r>
      <w:r>
        <w:rPr>
          <w:spacing w:val="-1"/>
        </w:rPr>
        <w:t>among</w:t>
      </w:r>
      <w:r>
        <w:rPr>
          <w:spacing w:val="-11"/>
        </w:rPr>
        <w:t> </w:t>
      </w:r>
      <w:r>
        <w:rPr>
          <w:spacing w:val="-1"/>
        </w:rPr>
        <w:t>general</w:t>
      </w:r>
      <w:r>
        <w:rPr>
          <w:spacing w:val="-12"/>
        </w:rPr>
        <w:t> </w:t>
      </w:r>
      <w:r>
        <w:rPr>
          <w:spacing w:val="-1"/>
        </w:rPr>
        <w:t>council</w:t>
      </w:r>
      <w:r>
        <w:rPr>
          <w:spacing w:val="-11"/>
        </w:rPr>
        <w:t> </w:t>
      </w:r>
      <w:r>
        <w:rPr>
          <w:spacing w:val="-1"/>
        </w:rPr>
        <w:t>members,</w:t>
      </w:r>
      <w:r>
        <w:rPr>
          <w:spacing w:val="-11"/>
        </w:rPr>
        <w:t> </w:t>
      </w:r>
      <w:r>
        <w:rPr>
          <w:spacing w:val="-1"/>
        </w:rPr>
        <w:t>while</w:t>
      </w:r>
      <w:r>
        <w:rPr>
          <w:spacing w:val="-11"/>
        </w:rPr>
        <w:t> </w:t>
      </w:r>
      <w:r>
        <w:rPr/>
        <w:t>professors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researchers</w:t>
      </w:r>
      <w:r>
        <w:rPr>
          <w:spacing w:val="-12"/>
        </w:rPr>
        <w:t> </w:t>
      </w:r>
      <w:r>
        <w:rPr/>
        <w:t>must</w:t>
      </w:r>
    </w:p>
    <w:p>
      <w:pPr>
        <w:spacing w:after="0" w:line="273" w:lineRule="auto"/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71" w:lineRule="auto" w:before="93"/>
        <w:ind w:left="183" w:right="303"/>
        <w:jc w:val="both"/>
      </w:pPr>
      <w:r>
        <w:rPr/>
        <w:t>account for more than half of the general council. While representation of community actors from outside</w:t>
      </w:r>
      <w:r>
        <w:rPr>
          <w:spacing w:val="1"/>
        </w:rPr>
        <w:t> </w:t>
      </w:r>
      <w:r>
        <w:rPr/>
        <w:t>of the HEI (such as employers) was previously possible, RJIES mandated that at least 30% of general</w:t>
      </w:r>
      <w:r>
        <w:rPr>
          <w:spacing w:val="1"/>
        </w:rPr>
        <w:t> </w:t>
      </w:r>
      <w:r>
        <w:rPr/>
        <w:t>council members must be external to the HEI. These external members are nominated and selected by a</w:t>
      </w:r>
      <w:r>
        <w:rPr>
          <w:spacing w:val="-53"/>
        </w:rPr>
        <w:t> </w:t>
      </w:r>
      <w:r>
        <w:rPr/>
        <w:t>vote of the internal student and academic general council members. The Chair of the general council is</w:t>
      </w:r>
      <w:r>
        <w:rPr>
          <w:spacing w:val="1"/>
        </w:rPr>
        <w:t> </w:t>
      </w:r>
      <w:r>
        <w:rPr/>
        <w:t>selected by a vote of all general council members but must be one of the external council members. This</w:t>
      </w:r>
      <w:r>
        <w:rPr>
          <w:spacing w:val="-53"/>
        </w:rPr>
        <w:t> </w:t>
      </w:r>
      <w:r>
        <w:rPr/>
        <w:t>reform</w:t>
      </w:r>
      <w:r>
        <w:rPr>
          <w:spacing w:val="1"/>
        </w:rPr>
        <w:t> </w:t>
      </w:r>
      <w:r>
        <w:rPr/>
        <w:t>allowed</w:t>
      </w:r>
      <w:r>
        <w:rPr>
          <w:spacing w:val="-4"/>
        </w:rPr>
        <w:t> </w:t>
      </w:r>
      <w:r>
        <w:rPr/>
        <w:t>HEIs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gain</w:t>
      </w:r>
      <w:r>
        <w:rPr>
          <w:spacing w:val="-3"/>
        </w:rPr>
        <w:t> </w:t>
      </w:r>
      <w:r>
        <w:rPr/>
        <w:t>autonomy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guaranteeing</w:t>
      </w:r>
      <w:r>
        <w:rPr>
          <w:spacing w:val="-3"/>
        </w:rPr>
        <w:t> </w:t>
      </w:r>
      <w:r>
        <w:rPr/>
        <w:t>quality</w:t>
      </w:r>
      <w:r>
        <w:rPr>
          <w:spacing w:val="-6"/>
        </w:rPr>
        <w:t> </w:t>
      </w:r>
      <w:r>
        <w:rPr/>
        <w:t>through</w:t>
      </w:r>
      <w:r>
        <w:rPr>
          <w:spacing w:val="-2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accountability.</w:t>
      </w:r>
    </w:p>
    <w:p>
      <w:pPr>
        <w:pStyle w:val="BodyText"/>
        <w:spacing w:line="271" w:lineRule="auto" w:before="120"/>
        <w:ind w:left="183" w:right="302"/>
        <w:jc w:val="both"/>
      </w:pPr>
      <w:r>
        <w:rPr/>
        <w:t>Under RJIES, university rectors and polytechnic presidents are elected by the general council through a</w:t>
      </w:r>
      <w:r>
        <w:rPr>
          <w:spacing w:val="1"/>
        </w:rPr>
        <w:t> </w:t>
      </w:r>
      <w:r>
        <w:rPr/>
        <w:t>secret ballot. This follows public announcement of openings, submission of applications, and public</w:t>
      </w:r>
      <w:r>
        <w:rPr>
          <w:spacing w:val="1"/>
        </w:rPr>
        <w:t> </w:t>
      </w:r>
      <w:r>
        <w:rPr/>
        <w:t>hearings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candidates.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case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universities,</w:t>
      </w:r>
      <w:r>
        <w:rPr>
          <w:spacing w:val="-9"/>
        </w:rPr>
        <w:t> </w:t>
      </w:r>
      <w:r>
        <w:rPr/>
        <w:t>rectors</w:t>
      </w:r>
      <w:r>
        <w:rPr>
          <w:spacing w:val="-7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8"/>
        </w:rPr>
        <w:t> </w:t>
      </w:r>
      <w:r>
        <w:rPr/>
        <w:t>professors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researchers</w:t>
      </w:r>
      <w:r>
        <w:rPr>
          <w:spacing w:val="-8"/>
        </w:rPr>
        <w:t> </w:t>
      </w:r>
      <w:r>
        <w:rPr/>
        <w:t>from</w:t>
      </w:r>
      <w:r>
        <w:rPr>
          <w:spacing w:val="-5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institution or from other Portuguese or international institutions. For polytechnics, the role of president</w:t>
      </w:r>
      <w:r>
        <w:rPr>
          <w:spacing w:val="-53"/>
        </w:rPr>
        <w:t> </w:t>
      </w:r>
      <w:r>
        <w:rPr/>
        <w:t>is</w:t>
      </w:r>
      <w:r>
        <w:rPr>
          <w:spacing w:val="-1"/>
        </w:rPr>
        <w:t> </w:t>
      </w:r>
      <w:r>
        <w:rPr/>
        <w:t>also open</w:t>
      </w:r>
      <w:r>
        <w:rPr>
          <w:spacing w:val="-2"/>
        </w:rPr>
        <w:t> </w:t>
      </w:r>
      <w:r>
        <w:rPr/>
        <w:t>to non-academics who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professional</w:t>
      </w:r>
      <w:r>
        <w:rPr>
          <w:spacing w:val="-3"/>
        </w:rPr>
        <w:t> </w:t>
      </w:r>
      <w:r>
        <w:rPr/>
        <w:t>experience.</w:t>
      </w:r>
    </w:p>
    <w:p>
      <w:pPr>
        <w:pStyle w:val="BodyText"/>
        <w:spacing w:line="271" w:lineRule="auto" w:before="119"/>
        <w:ind w:left="183" w:right="301"/>
        <w:jc w:val="both"/>
      </w:pPr>
      <w:r>
        <w:rPr/>
        <w:t>Beyond these governance changes made for all HEIs, RJIES opened the possibility of HEIs attaining</w:t>
      </w:r>
      <w:r>
        <w:rPr>
          <w:spacing w:val="1"/>
        </w:rPr>
        <w:t> </w:t>
      </w:r>
      <w:r>
        <w:rPr/>
        <w:t>“foundation status” that would grant them greater operational autonomy, notably regarding financing and</w:t>
      </w:r>
      <w:r>
        <w:rPr>
          <w:spacing w:val="1"/>
        </w:rPr>
        <w:t> </w:t>
      </w:r>
      <w:r>
        <w:rPr/>
        <w:t>staffing. Among other key changes, this reform permitted HEIs to employ academic and non-academic</w:t>
      </w:r>
      <w:r>
        <w:rPr>
          <w:spacing w:val="1"/>
        </w:rPr>
        <w:t> </w:t>
      </w:r>
      <w:r>
        <w:rPr/>
        <w:t>staff independently under private employment law through their status under private law. These changes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described in</w:t>
      </w:r>
      <w:r>
        <w:rPr>
          <w:spacing w:val="-1"/>
        </w:rPr>
        <w:t> </w:t>
      </w:r>
      <w:r>
        <w:rPr/>
        <w:t>detail in</w:t>
      </w:r>
      <w:r>
        <w:rPr>
          <w:spacing w:val="1"/>
        </w:rPr>
        <w:t> </w:t>
      </w:r>
      <w:r>
        <w:rPr/>
        <w:t>Annex</w:t>
      </w:r>
      <w:r>
        <w:rPr>
          <w:spacing w:val="2"/>
        </w:rPr>
        <w:t> </w:t>
      </w:r>
      <w:r>
        <w:rPr/>
        <w:t>A.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</w:pPr>
      <w:bookmarkStart w:name="Proposed actions for the Slovak Republic" w:id="164"/>
      <w:bookmarkEnd w:id="164"/>
      <w:r>
        <w:rPr>
          <w:b w:val="0"/>
          <w:i w:val="0"/>
        </w:rPr>
      </w:r>
      <w:r>
        <w:rPr/>
        <w:t>Proposed</w:t>
      </w:r>
      <w:r>
        <w:rPr>
          <w:spacing w:val="-3"/>
        </w:rPr>
        <w:t> </w:t>
      </w:r>
      <w:r>
        <w:rPr/>
        <w:t>actions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Slovak</w:t>
      </w:r>
      <w:r>
        <w:rPr>
          <w:spacing w:val="-4"/>
        </w:rPr>
        <w:t> </w:t>
      </w:r>
      <w:r>
        <w:rPr/>
        <w:t>Republic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71" w:lineRule="auto"/>
        <w:ind w:left="183" w:right="302"/>
        <w:jc w:val="both"/>
      </w:pPr>
      <w:r>
        <w:rPr>
          <w:spacing w:val="-1"/>
        </w:rPr>
        <w:t>When</w:t>
      </w:r>
      <w:r>
        <w:rPr>
          <w:spacing w:val="-14"/>
        </w:rPr>
        <w:t> </w:t>
      </w:r>
      <w:r>
        <w:rPr>
          <w:spacing w:val="-1"/>
        </w:rPr>
        <w:t>properly</w:t>
      </w:r>
      <w:r>
        <w:rPr>
          <w:spacing w:val="-16"/>
        </w:rPr>
        <w:t> </w:t>
      </w:r>
      <w:r>
        <w:rPr>
          <w:spacing w:val="-1"/>
        </w:rPr>
        <w:t>implemented,</w:t>
      </w:r>
      <w:r>
        <w:rPr>
          <w:spacing w:val="-13"/>
        </w:rPr>
        <w:t> </w:t>
      </w:r>
      <w:r>
        <w:rPr>
          <w:spacing w:val="-1"/>
        </w:rPr>
        <w:t>there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important</w:t>
      </w:r>
      <w:r>
        <w:rPr>
          <w:spacing w:val="-13"/>
        </w:rPr>
        <w:t> </w:t>
      </w:r>
      <w:r>
        <w:rPr>
          <w:spacing w:val="-1"/>
        </w:rPr>
        <w:t>benefits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4"/>
        </w:rPr>
        <w:t> </w:t>
      </w:r>
      <w:r>
        <w:rPr/>
        <w:t>gained</w:t>
      </w:r>
      <w:r>
        <w:rPr>
          <w:spacing w:val="-13"/>
        </w:rPr>
        <w:t> </w:t>
      </w:r>
      <w:r>
        <w:rPr/>
        <w:t>by</w:t>
      </w:r>
      <w:r>
        <w:rPr>
          <w:spacing w:val="-16"/>
        </w:rPr>
        <w:t> </w:t>
      </w:r>
      <w:r>
        <w:rPr/>
        <w:t>shifting</w:t>
      </w:r>
      <w:r>
        <w:rPr>
          <w:spacing w:val="-14"/>
        </w:rPr>
        <w:t> </w:t>
      </w:r>
      <w:r>
        <w:rPr/>
        <w:t>from</w:t>
      </w:r>
      <w:r>
        <w:rPr>
          <w:spacing w:val="-10"/>
        </w:rPr>
        <w:t> </w:t>
      </w:r>
      <w:r>
        <w:rPr/>
        <w:t>an</w:t>
      </w:r>
      <w:r>
        <w:rPr>
          <w:spacing w:val="-16"/>
        </w:rPr>
        <w:t> </w:t>
      </w:r>
      <w:r>
        <w:rPr/>
        <w:t>inwardly-oriented</w:t>
      </w:r>
      <w:r>
        <w:rPr>
          <w:spacing w:val="1"/>
        </w:rPr>
        <w:t> </w:t>
      </w:r>
      <w:r>
        <w:rPr/>
        <w:t>and collegial model of HEI governance to one in which external engagement and strategic management</w:t>
      </w:r>
      <w:r>
        <w:rPr>
          <w:spacing w:val="1"/>
        </w:rPr>
        <w:t> </w:t>
      </w:r>
      <w:r>
        <w:rPr/>
        <w:t>capacity are enhanced. These benefits include greater effectiveness and efficiency of decision-making,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high-quality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engagement with society. These capabilities can assist HEIs in responding to new demands – from</w:t>
      </w:r>
      <w:r>
        <w:rPr>
          <w:spacing w:val="1"/>
        </w:rPr>
        <w:t> </w:t>
      </w:r>
      <w:r>
        <w:rPr/>
        <w:t>governments with constrained budgets that require greater value for money, students with access to 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“vote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feet”,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needing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combinations of advanced skills who look to higher education systems to help develop these skills (or</w:t>
      </w:r>
      <w:r>
        <w:rPr>
          <w:spacing w:val="1"/>
        </w:rPr>
        <w:t> </w:t>
      </w:r>
      <w:r>
        <w:rPr/>
        <w:t>choose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import</w:t>
      </w:r>
      <w:r>
        <w:rPr>
          <w:spacing w:val="-1"/>
        </w:rPr>
        <w:t> </w:t>
      </w:r>
      <w:r>
        <w:rPr/>
        <w:t>them).</w:t>
      </w:r>
    </w:p>
    <w:p>
      <w:pPr>
        <w:pStyle w:val="BodyText"/>
        <w:spacing w:line="271" w:lineRule="auto" w:before="122"/>
        <w:ind w:left="183" w:right="300"/>
        <w:jc w:val="both"/>
      </w:pPr>
      <w:r>
        <w:rPr/>
        <w:t>Not all Slovak higher education stakeholders interviewed by the OECD believe that the governance</w:t>
      </w:r>
      <w:r>
        <w:rPr>
          <w:spacing w:val="1"/>
        </w:rPr>
        <w:t> </w:t>
      </w:r>
      <w:r>
        <w:rPr>
          <w:w w:val="95"/>
        </w:rPr>
        <w:t>structure of HEIs need to be reformed to strengthen strategic decision making and openness to the external</w:t>
      </w:r>
      <w:r>
        <w:rPr>
          <w:spacing w:val="1"/>
          <w:w w:val="95"/>
        </w:rPr>
        <w:t> </w:t>
      </w:r>
      <w:r>
        <w:rPr/>
        <w:t>environment. Some argued that the institutional governance structure was not a cause of performance</w:t>
      </w:r>
      <w:r>
        <w:rPr>
          <w:spacing w:val="1"/>
        </w:rPr>
        <w:t> </w:t>
      </w:r>
      <w:r>
        <w:rPr>
          <w:spacing w:val="-1"/>
        </w:rPr>
        <w:t>challenges</w:t>
      </w:r>
      <w:r>
        <w:rPr>
          <w:spacing w:val="-14"/>
        </w:rPr>
        <w:t> </w:t>
      </w:r>
      <w:r>
        <w:rPr>
          <w:spacing w:val="-1"/>
        </w:rPr>
        <w:t>facing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Slovak</w:t>
      </w:r>
      <w:r>
        <w:rPr>
          <w:spacing w:val="-12"/>
        </w:rPr>
        <w:t> </w:t>
      </w:r>
      <w:r>
        <w:rPr>
          <w:spacing w:val="-1"/>
        </w:rPr>
        <w:t>higher</w:t>
      </w:r>
      <w:r>
        <w:rPr>
          <w:spacing w:val="-11"/>
        </w:rPr>
        <w:t> </w:t>
      </w:r>
      <w:r>
        <w:rPr>
          <w:spacing w:val="-1"/>
        </w:rPr>
        <w:t>education</w:t>
      </w:r>
      <w:r>
        <w:rPr>
          <w:spacing w:val="-16"/>
        </w:rPr>
        <w:t> </w:t>
      </w:r>
      <w:r>
        <w:rPr>
          <w:spacing w:val="-1"/>
        </w:rPr>
        <w:t>system.</w:t>
      </w:r>
      <w:r>
        <w:rPr>
          <w:spacing w:val="-15"/>
        </w:rPr>
        <w:t> </w:t>
      </w:r>
      <w:r>
        <w:rPr>
          <w:spacing w:val="-1"/>
        </w:rPr>
        <w:t>Instead,</w:t>
      </w:r>
      <w:r>
        <w:rPr>
          <w:spacing w:val="-13"/>
        </w:rPr>
        <w:t> </w:t>
      </w:r>
      <w:r>
        <w:rPr/>
        <w:t>they</w:t>
      </w:r>
      <w:r>
        <w:rPr>
          <w:spacing w:val="-16"/>
        </w:rPr>
        <w:t> </w:t>
      </w:r>
      <w:r>
        <w:rPr/>
        <w:t>proposed</w:t>
      </w:r>
      <w:r>
        <w:rPr>
          <w:spacing w:val="-15"/>
        </w:rPr>
        <w:t> </w:t>
      </w:r>
      <w:r>
        <w:rPr/>
        <w:t>that</w:t>
      </w:r>
      <w:r>
        <w:rPr>
          <w:spacing w:val="-11"/>
        </w:rPr>
        <w:t> </w:t>
      </w:r>
      <w:r>
        <w:rPr/>
        <w:t>individuals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roles, and of their relationships and working processes were the key determinants of HEIs’ ability for</w:t>
      </w:r>
      <w:r>
        <w:rPr>
          <w:spacing w:val="1"/>
        </w:rPr>
        <w:t> </w:t>
      </w:r>
      <w:r>
        <w:rPr/>
        <w:t>strategic decision making and performance improvement, rather than a problem linked to the governance</w:t>
      </w:r>
      <w:r>
        <w:rPr>
          <w:spacing w:val="-5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itself.</w:t>
      </w:r>
    </w:p>
    <w:p>
      <w:pPr>
        <w:pStyle w:val="BodyText"/>
        <w:spacing w:line="271" w:lineRule="auto" w:before="122"/>
        <w:ind w:left="183" w:right="300"/>
        <w:jc w:val="both"/>
      </w:pPr>
      <w:r>
        <w:rPr/>
        <w:t>Two considerations appear to be of fundamental importance when considering institutional governance</w:t>
      </w:r>
      <w:r>
        <w:rPr>
          <w:spacing w:val="1"/>
        </w:rPr>
        <w:t> </w:t>
      </w:r>
      <w:r>
        <w:rPr/>
        <w:t>changes in the Slovak Republic. First, meaningful stakeholder engagement must be conducted to identify</w:t>
      </w:r>
      <w:r>
        <w:rPr>
          <w:spacing w:val="-53"/>
        </w:rPr>
        <w:t> </w:t>
      </w:r>
      <w:r>
        <w:rPr/>
        <w:t>governance changes viewed as most relevant to foster performance improvement by stakeholders and to</w:t>
      </w:r>
      <w:r>
        <w:rPr>
          <w:spacing w:val="-53"/>
        </w:rPr>
        <w:t> </w:t>
      </w:r>
      <w:r>
        <w:rPr/>
        <w:t>identify areas of concern or that are most disputed as relevant levers to foster performance improvement.</w:t>
      </w:r>
      <w:r>
        <w:rPr>
          <w:spacing w:val="-53"/>
        </w:rPr>
        <w:t> </w:t>
      </w:r>
      <w:r>
        <w:rPr/>
        <w:t>Second, an approach that focuses on setting key principles in legislation and providing HEIs with choices</w:t>
      </w:r>
      <w:r>
        <w:rPr>
          <w:spacing w:val="-53"/>
        </w:rPr>
        <w:t> </w:t>
      </w:r>
      <w:r>
        <w:rPr/>
        <w:t>in</w:t>
      </w:r>
      <w:r>
        <w:rPr>
          <w:spacing w:val="-5"/>
        </w:rPr>
        <w:t> </w:t>
      </w:r>
      <w:r>
        <w:rPr/>
        <w:t>setting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own</w:t>
      </w:r>
      <w:r>
        <w:rPr>
          <w:spacing w:val="-4"/>
        </w:rPr>
        <w:t> </w:t>
      </w:r>
      <w:r>
        <w:rPr/>
        <w:t>governance</w:t>
      </w:r>
      <w:r>
        <w:rPr>
          <w:spacing w:val="-4"/>
        </w:rPr>
        <w:t> </w:t>
      </w:r>
      <w:r>
        <w:rPr/>
        <w:t>structure –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incentives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adopt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 different institutional contexts and different perceptions</w:t>
      </w:r>
      <w:r>
        <w:rPr>
          <w:spacing w:val="1"/>
        </w:rPr>
        <w:t> </w:t>
      </w:r>
      <w:r>
        <w:rPr/>
        <w:t>of the usefulness of institutional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community the benefits of modernised governance structures adopted by some leading HEIs, as seen in</w:t>
      </w:r>
      <w:r>
        <w:rPr>
          <w:spacing w:val="1"/>
        </w:rPr>
        <w:t> </w:t>
      </w:r>
      <w:r>
        <w:rPr/>
        <w:t>Portugal,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example.</w:t>
      </w:r>
    </w:p>
    <w:p>
      <w:pPr>
        <w:pStyle w:val="BodyText"/>
        <w:spacing w:line="271" w:lineRule="auto" w:before="121"/>
        <w:ind w:left="183" w:right="313"/>
        <w:jc w:val="both"/>
      </w:pPr>
      <w:r>
        <w:rPr/>
        <w:t>Three policy actions are recommended to Slovak authorities, which should be implemented in close</w:t>
      </w:r>
      <w:r>
        <w:rPr>
          <w:spacing w:val="1"/>
        </w:rPr>
        <w:t> </w:t>
      </w:r>
      <w:r>
        <w:rPr/>
        <w:t>collaboration with</w:t>
      </w:r>
      <w:r>
        <w:rPr>
          <w:spacing w:val="-1"/>
        </w:rPr>
        <w:t> </w:t>
      </w:r>
      <w:r>
        <w:rPr/>
        <w:t>HEIs.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Heading7"/>
        <w:spacing w:line="266" w:lineRule="auto" w:before="181"/>
        <w:ind w:right="820"/>
      </w:pPr>
      <w:bookmarkStart w:name="Policy action 8. Reduce the level of pre" w:id="165"/>
      <w:bookmarkEnd w:id="165"/>
      <w:r>
        <w:rPr>
          <w:i w:val="0"/>
        </w:rPr>
      </w:r>
      <w:r>
        <w:rPr>
          <w:color w:val="616161"/>
        </w:rPr>
        <w:t>Policy action 8. Reduce the level of prescription of the legislation and introduce a small</w:t>
      </w:r>
      <w:r>
        <w:rPr>
          <w:color w:val="616161"/>
          <w:spacing w:val="-59"/>
        </w:rPr>
        <w:t> </w:t>
      </w:r>
      <w:r>
        <w:rPr>
          <w:color w:val="616161"/>
        </w:rPr>
        <w:t>number</w:t>
      </w:r>
      <w:r>
        <w:rPr>
          <w:color w:val="616161"/>
          <w:spacing w:val="-2"/>
        </w:rPr>
        <w:t> </w:t>
      </w:r>
      <w:r>
        <w:rPr>
          <w:color w:val="616161"/>
        </w:rPr>
        <w:t>of</w:t>
      </w:r>
      <w:r>
        <w:rPr>
          <w:color w:val="616161"/>
          <w:spacing w:val="-2"/>
        </w:rPr>
        <w:t> </w:t>
      </w:r>
      <w:r>
        <w:rPr>
          <w:color w:val="616161"/>
        </w:rPr>
        <w:t>key</w:t>
      </w:r>
      <w:r>
        <w:rPr>
          <w:color w:val="616161"/>
          <w:spacing w:val="-3"/>
        </w:rPr>
        <w:t> </w:t>
      </w:r>
      <w:r>
        <w:rPr>
          <w:color w:val="616161"/>
        </w:rPr>
        <w:t>requirements supporting</w:t>
      </w:r>
      <w:r>
        <w:rPr>
          <w:color w:val="616161"/>
          <w:spacing w:val="-3"/>
        </w:rPr>
        <w:t> </w:t>
      </w:r>
      <w:r>
        <w:rPr>
          <w:color w:val="616161"/>
        </w:rPr>
        <w:t>HEI</w:t>
      </w:r>
      <w:r>
        <w:rPr>
          <w:color w:val="616161"/>
          <w:spacing w:val="2"/>
        </w:rPr>
        <w:t> </w:t>
      </w:r>
      <w:r>
        <w:rPr>
          <w:color w:val="616161"/>
        </w:rPr>
        <w:t>effectiveness</w:t>
      </w:r>
      <w:r>
        <w:rPr>
          <w:color w:val="616161"/>
          <w:spacing w:val="-1"/>
        </w:rPr>
        <w:t> </w:t>
      </w:r>
      <w:r>
        <w:rPr>
          <w:color w:val="616161"/>
        </w:rPr>
        <w:t>and</w:t>
      </w:r>
      <w:r>
        <w:rPr>
          <w:color w:val="616161"/>
          <w:spacing w:val="-1"/>
        </w:rPr>
        <w:t> </w:t>
      </w:r>
      <w:r>
        <w:rPr>
          <w:color w:val="616161"/>
        </w:rPr>
        <w:t>openness</w:t>
      </w:r>
    </w:p>
    <w:p>
      <w:pPr>
        <w:pStyle w:val="BodyText"/>
        <w:spacing w:line="271" w:lineRule="auto" w:before="189"/>
        <w:ind w:left="183" w:right="301"/>
        <w:jc w:val="both"/>
      </w:pPr>
      <w:r>
        <w:rPr/>
        <w:t>The level of prescription regarding institutional governance prevents HEIs from designing governance</w:t>
      </w:r>
      <w:r>
        <w:rPr>
          <w:spacing w:val="1"/>
        </w:rPr>
        <w:t> </w:t>
      </w:r>
      <w:r>
        <w:rPr/>
        <w:t>arrangements that are most suitable to their particular contexts. At the same time, removing legal</w:t>
      </w:r>
      <w:r>
        <w:rPr>
          <w:spacing w:val="1"/>
        </w:rPr>
        <w:t> </w:t>
      </w:r>
      <w:r>
        <w:rPr/>
        <w:t>requirements may not lead to change if institutional stakeholders who are currently empowered to make</w:t>
      </w:r>
      <w:r>
        <w:rPr>
          <w:spacing w:val="1"/>
        </w:rPr>
        <w:t> </w:t>
      </w:r>
      <w:r>
        <w:rPr/>
        <w:t>decisions on their governance structure do not view changes to governance as necessary. At the same</w:t>
      </w:r>
      <w:r>
        <w:rPr>
          <w:spacing w:val="1"/>
        </w:rPr>
        <w:t> </w:t>
      </w:r>
      <w:r>
        <w:rPr/>
        <w:t>time, taking a top-down approach requiring far-reaching governance changes may lead to important</w:t>
      </w:r>
      <w:r>
        <w:rPr>
          <w:spacing w:val="1"/>
        </w:rPr>
        <w:t> </w:t>
      </w:r>
      <w:r>
        <w:rPr/>
        <w:t>stakeholder</w:t>
      </w:r>
      <w:r>
        <w:rPr>
          <w:spacing w:val="-4"/>
        </w:rPr>
        <w:t> </w:t>
      </w:r>
      <w:r>
        <w:rPr/>
        <w:t>resistance,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undermine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government’s</w:t>
      </w:r>
      <w:r>
        <w:rPr>
          <w:spacing w:val="-3"/>
        </w:rPr>
        <w:t> </w:t>
      </w:r>
      <w:r>
        <w:rPr/>
        <w:t>broader</w:t>
      </w:r>
      <w:r>
        <w:rPr>
          <w:spacing w:val="-4"/>
        </w:rPr>
        <w:t> </w:t>
      </w:r>
      <w:r>
        <w:rPr/>
        <w:t>reform efforts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We</w:t>
      </w:r>
      <w:r>
        <w:rPr>
          <w:spacing w:val="-9"/>
        </w:rPr>
        <w:t> </w:t>
      </w:r>
      <w:r>
        <w:rPr/>
        <w:t>thus</w:t>
      </w:r>
      <w:r>
        <w:rPr>
          <w:spacing w:val="-4"/>
        </w:rPr>
        <w:t> </w:t>
      </w:r>
      <w:r>
        <w:rPr/>
        <w:t>recommend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Slovak</w:t>
      </w:r>
      <w:r>
        <w:rPr>
          <w:spacing w:val="3"/>
        </w:rPr>
        <w:t> </w:t>
      </w:r>
      <w:r>
        <w:rPr/>
        <w:t>Republic</w:t>
      </w:r>
      <w:r>
        <w:rPr>
          <w:spacing w:val="-4"/>
        </w:rPr>
        <w:t> </w:t>
      </w:r>
      <w:r>
        <w:rPr/>
        <w:t>take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careful,</w:t>
      </w:r>
      <w:r>
        <w:rPr>
          <w:spacing w:val="-5"/>
        </w:rPr>
        <w:t> </w:t>
      </w:r>
      <w:r>
        <w:rPr/>
        <w:t>staged</w:t>
      </w:r>
      <w:r>
        <w:rPr>
          <w:spacing w:val="-4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system-wide</w:t>
      </w:r>
      <w:r>
        <w:rPr>
          <w:spacing w:val="-6"/>
        </w:rPr>
        <w:t> </w:t>
      </w:r>
      <w:r>
        <w:rPr/>
        <w:t>changes</w:t>
      </w:r>
      <w:r>
        <w:rPr>
          <w:spacing w:val="-5"/>
        </w:rPr>
        <w:t> </w:t>
      </w:r>
      <w:r>
        <w:rPr/>
        <w:t>in</w:t>
      </w:r>
      <w:r>
        <w:rPr>
          <w:spacing w:val="-53"/>
        </w:rPr>
        <w:t> </w:t>
      </w:r>
      <w:r>
        <w:rPr/>
        <w:t>institutional governance, including a combination of basic principles set in framework legislation and</w:t>
      </w:r>
      <w:r>
        <w:rPr>
          <w:spacing w:val="1"/>
        </w:rPr>
        <w:t> </w:t>
      </w:r>
      <w:r>
        <w:rPr/>
        <w:t>increased flexibility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HEIs.</w:t>
      </w:r>
    </w:p>
    <w:p>
      <w:pPr>
        <w:pStyle w:val="BodyText"/>
        <w:spacing w:before="121"/>
        <w:ind w:left="183"/>
        <w:jc w:val="both"/>
      </w:pPr>
      <w:r>
        <w:rPr/>
        <w:t>Specifically,</w:t>
      </w:r>
      <w:r>
        <w:rPr>
          <w:spacing w:val="-2"/>
        </w:rPr>
        <w:t> </w:t>
      </w:r>
      <w:r>
        <w:rPr/>
        <w:t>we</w:t>
      </w:r>
      <w:r>
        <w:rPr>
          <w:spacing w:val="-5"/>
        </w:rPr>
        <w:t> </w:t>
      </w:r>
      <w:r>
        <w:rPr/>
        <w:t>recommend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Slovak</w:t>
      </w:r>
      <w:r>
        <w:rPr>
          <w:spacing w:val="-2"/>
        </w:rPr>
        <w:t> </w:t>
      </w:r>
      <w:r>
        <w:rPr/>
        <w:t>government:</w:t>
      </w:r>
    </w:p>
    <w:p>
      <w:pPr>
        <w:spacing w:before="147"/>
        <w:ind w:left="183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Pursue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broad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stakeholder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engagement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proposed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governance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changes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133" w:after="0"/>
        <w:ind w:left="862" w:right="303" w:hanging="339"/>
        <w:jc w:val="both"/>
        <w:rPr>
          <w:sz w:val="20"/>
        </w:rPr>
      </w:pPr>
      <w:r>
        <w:rPr>
          <w:sz w:val="20"/>
        </w:rPr>
        <w:t>As part of stakeholder engagement undertaken in Policy action 1, the Task Force should pay</w:t>
      </w:r>
      <w:r>
        <w:rPr>
          <w:spacing w:val="1"/>
          <w:sz w:val="20"/>
        </w:rPr>
        <w:t> </w:t>
      </w:r>
      <w:r>
        <w:rPr>
          <w:sz w:val="20"/>
        </w:rPr>
        <w:t>special</w:t>
      </w:r>
      <w:r>
        <w:rPr>
          <w:spacing w:val="-1"/>
          <w:sz w:val="20"/>
        </w:rPr>
        <w:t> </w:t>
      </w:r>
      <w:r>
        <w:rPr>
          <w:sz w:val="20"/>
        </w:rPr>
        <w:t>attention to</w:t>
      </w:r>
      <w:r>
        <w:rPr>
          <w:spacing w:val="-2"/>
          <w:sz w:val="20"/>
        </w:rPr>
        <w:t> </w:t>
      </w:r>
      <w:r>
        <w:rPr>
          <w:sz w:val="20"/>
        </w:rPr>
        <w:t>consulting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governance</w:t>
      </w:r>
      <w:r>
        <w:rPr>
          <w:spacing w:val="1"/>
          <w:sz w:val="20"/>
        </w:rPr>
        <w:t> </w:t>
      </w:r>
      <w:r>
        <w:rPr>
          <w:sz w:val="20"/>
        </w:rPr>
        <w:t>arrangements.</w:t>
      </w:r>
    </w:p>
    <w:p>
      <w:pPr>
        <w:spacing w:before="130"/>
        <w:ind w:left="183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Include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statement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purpose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key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principles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legislation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8" w:lineRule="auto" w:before="133" w:after="0"/>
        <w:ind w:left="862" w:right="304" w:hanging="339"/>
        <w:jc w:val="both"/>
        <w:rPr>
          <w:sz w:val="20"/>
        </w:rPr>
      </w:pPr>
      <w:r>
        <w:rPr>
          <w:sz w:val="20"/>
        </w:rPr>
        <w:t>Such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statement</w:t>
      </w:r>
      <w:r>
        <w:rPr>
          <w:spacing w:val="1"/>
          <w:sz w:val="20"/>
        </w:rPr>
        <w:t> </w:t>
      </w:r>
      <w:r>
        <w:rPr>
          <w:sz w:val="20"/>
        </w:rPr>
        <w:t>would</w:t>
      </w:r>
      <w:r>
        <w:rPr>
          <w:spacing w:val="1"/>
          <w:sz w:val="20"/>
        </w:rPr>
        <w:t> </w:t>
      </w:r>
      <w:r>
        <w:rPr>
          <w:sz w:val="20"/>
        </w:rPr>
        <w:t>aim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clarify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purpose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reforming</w:t>
      </w:r>
      <w:r>
        <w:rPr>
          <w:spacing w:val="1"/>
          <w:sz w:val="20"/>
        </w:rPr>
        <w:t> </w:t>
      </w:r>
      <w:r>
        <w:rPr>
          <w:sz w:val="20"/>
        </w:rPr>
        <w:t>institutional</w:t>
      </w:r>
      <w:r>
        <w:rPr>
          <w:spacing w:val="1"/>
          <w:sz w:val="20"/>
        </w:rPr>
        <w:t> </w:t>
      </w:r>
      <w:r>
        <w:rPr>
          <w:sz w:val="20"/>
        </w:rPr>
        <w:t>governance,</w:t>
      </w:r>
      <w:r>
        <w:rPr>
          <w:spacing w:val="1"/>
          <w:sz w:val="20"/>
        </w:rPr>
        <w:t> </w:t>
      </w:r>
      <w:r>
        <w:rPr>
          <w:w w:val="95"/>
          <w:sz w:val="20"/>
        </w:rPr>
        <w:t>highlighting the importance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responsive governance</w:t>
      </w:r>
      <w:r>
        <w:rPr>
          <w:spacing w:val="50"/>
          <w:sz w:val="20"/>
        </w:rPr>
        <w:t> </w:t>
      </w:r>
      <w:r>
        <w:rPr>
          <w:w w:val="95"/>
          <w:sz w:val="20"/>
        </w:rPr>
        <w:t>and sound management to</w:t>
      </w:r>
      <w:r>
        <w:rPr>
          <w:spacing w:val="50"/>
          <w:sz w:val="20"/>
        </w:rPr>
        <w:t> </w:t>
      </w:r>
      <w:r>
        <w:rPr>
          <w:w w:val="95"/>
          <w:sz w:val="20"/>
        </w:rPr>
        <w:t>increase the</w:t>
      </w:r>
      <w:r>
        <w:rPr>
          <w:spacing w:val="50"/>
          <w:sz w:val="20"/>
        </w:rPr>
        <w:t> </w:t>
      </w:r>
      <w:r>
        <w:rPr>
          <w:w w:val="95"/>
          <w:sz w:val="20"/>
        </w:rPr>
        <w:t>trust</w:t>
      </w:r>
      <w:r>
        <w:rPr>
          <w:spacing w:val="-50"/>
          <w:w w:val="95"/>
          <w:sz w:val="20"/>
        </w:rPr>
        <w:t> </w:t>
      </w:r>
      <w:r>
        <w:rPr>
          <w:sz w:val="20"/>
        </w:rPr>
        <w:t>of Slovak</w:t>
      </w:r>
      <w:r>
        <w:rPr>
          <w:spacing w:val="2"/>
          <w:sz w:val="20"/>
        </w:rPr>
        <w:t> </w:t>
      </w:r>
      <w:r>
        <w:rPr>
          <w:sz w:val="20"/>
        </w:rPr>
        <w:t>society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its higher</w:t>
      </w:r>
      <w:r>
        <w:rPr>
          <w:spacing w:val="-2"/>
          <w:sz w:val="20"/>
        </w:rPr>
        <w:t> </w:t>
      </w:r>
      <w:r>
        <w:rPr>
          <w:sz w:val="20"/>
        </w:rPr>
        <w:t>education</w:t>
      </w:r>
      <w:r>
        <w:rPr>
          <w:spacing w:val="-1"/>
          <w:sz w:val="20"/>
        </w:rPr>
        <w:t> </w:t>
      </w:r>
      <w:r>
        <w:rPr>
          <w:sz w:val="20"/>
        </w:rPr>
        <w:t>system.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50" w:after="0"/>
        <w:ind w:left="862" w:right="312" w:hanging="339"/>
        <w:jc w:val="both"/>
        <w:rPr>
          <w:sz w:val="20"/>
        </w:rPr>
      </w:pPr>
      <w:r>
        <w:rPr>
          <w:sz w:val="20"/>
        </w:rPr>
        <w:t>Key principles governing the re-balancing of powers between higher education governing bodies</w:t>
      </w:r>
      <w:r>
        <w:rPr>
          <w:spacing w:val="1"/>
          <w:sz w:val="20"/>
        </w:rPr>
        <w:t> </w:t>
      </w:r>
      <w:r>
        <w:rPr>
          <w:sz w:val="20"/>
        </w:rPr>
        <w:t>could be</w:t>
      </w:r>
      <w:r>
        <w:rPr>
          <w:spacing w:val="-2"/>
          <w:sz w:val="20"/>
        </w:rPr>
        <w:t> </w:t>
      </w:r>
      <w:r>
        <w:rPr>
          <w:sz w:val="20"/>
        </w:rPr>
        <w:t>clearly</w:t>
      </w:r>
      <w:r>
        <w:rPr>
          <w:spacing w:val="-4"/>
          <w:sz w:val="20"/>
        </w:rPr>
        <w:t> </w:t>
      </w:r>
      <w:r>
        <w:rPr>
          <w:sz w:val="20"/>
        </w:rPr>
        <w:t>stated,</w:t>
      </w:r>
      <w:r>
        <w:rPr>
          <w:spacing w:val="1"/>
          <w:sz w:val="20"/>
        </w:rPr>
        <w:t> </w:t>
      </w:r>
      <w:r>
        <w:rPr>
          <w:sz w:val="20"/>
        </w:rPr>
        <w:t>including:</w:t>
      </w:r>
    </w:p>
    <w:p>
      <w:pPr>
        <w:pStyle w:val="ListParagraph"/>
        <w:numPr>
          <w:ilvl w:val="0"/>
          <w:numId w:val="28"/>
        </w:numPr>
        <w:tabs>
          <w:tab w:pos="1204" w:val="left" w:leader="none"/>
        </w:tabs>
        <w:spacing w:line="254" w:lineRule="auto" w:before="65" w:after="0"/>
        <w:ind w:left="1203" w:right="311" w:hanging="341"/>
        <w:jc w:val="both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obligation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publicly</w:t>
      </w:r>
      <w:r>
        <w:rPr>
          <w:spacing w:val="-10"/>
          <w:sz w:val="20"/>
        </w:rPr>
        <w:t> </w:t>
      </w:r>
      <w:r>
        <w:rPr>
          <w:sz w:val="20"/>
        </w:rPr>
        <w:t>funded</w:t>
      </w:r>
      <w:r>
        <w:rPr>
          <w:spacing w:val="-6"/>
          <w:sz w:val="20"/>
        </w:rPr>
        <w:t> </w:t>
      </w:r>
      <w:r>
        <w:rPr>
          <w:sz w:val="20"/>
        </w:rPr>
        <w:t>HEIs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establish</w:t>
      </w:r>
      <w:r>
        <w:rPr>
          <w:spacing w:val="-5"/>
          <w:sz w:val="20"/>
        </w:rPr>
        <w:t> </w:t>
      </w:r>
      <w:r>
        <w:rPr>
          <w:sz w:val="20"/>
        </w:rPr>
        <w:t>governance</w:t>
      </w:r>
      <w:r>
        <w:rPr>
          <w:spacing w:val="-6"/>
          <w:sz w:val="20"/>
        </w:rPr>
        <w:t> </w:t>
      </w:r>
      <w:r>
        <w:rPr>
          <w:sz w:val="20"/>
        </w:rPr>
        <w:t>arrangements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enable</w:t>
      </w:r>
      <w:r>
        <w:rPr>
          <w:spacing w:val="-6"/>
          <w:sz w:val="20"/>
        </w:rPr>
        <w:t> </w:t>
      </w:r>
      <w:r>
        <w:rPr>
          <w:sz w:val="20"/>
        </w:rPr>
        <w:t>them</w:t>
      </w:r>
      <w:r>
        <w:rPr>
          <w:spacing w:val="-5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make</w:t>
      </w:r>
      <w:r>
        <w:rPr>
          <w:spacing w:val="-2"/>
          <w:sz w:val="20"/>
        </w:rPr>
        <w:t> </w:t>
      </w:r>
      <w:r>
        <w:rPr>
          <w:sz w:val="20"/>
        </w:rPr>
        <w:t>strategic,</w:t>
      </w:r>
      <w:r>
        <w:rPr>
          <w:spacing w:val="-2"/>
          <w:sz w:val="20"/>
        </w:rPr>
        <w:t> </w:t>
      </w:r>
      <w:r>
        <w:rPr>
          <w:sz w:val="20"/>
        </w:rPr>
        <w:t>efficient and</w:t>
      </w:r>
      <w:r>
        <w:rPr>
          <w:spacing w:val="1"/>
          <w:sz w:val="20"/>
        </w:rPr>
        <w:t> </w:t>
      </w:r>
      <w:r>
        <w:rPr>
          <w:sz w:val="20"/>
        </w:rPr>
        <w:t>accountable</w:t>
      </w:r>
      <w:r>
        <w:rPr>
          <w:spacing w:val="-2"/>
          <w:sz w:val="20"/>
        </w:rPr>
        <w:t> </w:t>
      </w:r>
      <w:r>
        <w:rPr>
          <w:sz w:val="20"/>
        </w:rPr>
        <w:t>use of public resources</w:t>
      </w:r>
    </w:p>
    <w:p>
      <w:pPr>
        <w:pStyle w:val="ListParagraph"/>
        <w:numPr>
          <w:ilvl w:val="0"/>
          <w:numId w:val="28"/>
        </w:numPr>
        <w:tabs>
          <w:tab w:pos="1204" w:val="left" w:leader="none"/>
        </w:tabs>
        <w:spacing w:line="261" w:lineRule="auto" w:before="76" w:after="0"/>
        <w:ind w:left="1203" w:right="306" w:hanging="341"/>
        <w:jc w:val="both"/>
        <w:rPr>
          <w:sz w:val="20"/>
        </w:rPr>
      </w:pPr>
      <w:r>
        <w:rPr>
          <w:sz w:val="20"/>
        </w:rPr>
        <w:t>the essential need of higher education institutions to function with full scientific and artistic</w:t>
      </w:r>
      <w:r>
        <w:rPr>
          <w:spacing w:val="1"/>
          <w:sz w:val="20"/>
        </w:rPr>
        <w:t> </w:t>
      </w:r>
      <w:r>
        <w:rPr>
          <w:sz w:val="20"/>
        </w:rPr>
        <w:t>autonomy from government, which requires particular attention in public HEIs and as the use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2"/>
          <w:sz w:val="20"/>
        </w:rPr>
        <w:t> </w:t>
      </w:r>
      <w:r>
        <w:rPr>
          <w:sz w:val="20"/>
        </w:rPr>
        <w:t>resources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shaped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government</w:t>
      </w:r>
      <w:r>
        <w:rPr>
          <w:spacing w:val="-3"/>
          <w:sz w:val="20"/>
        </w:rPr>
        <w:t> </w:t>
      </w:r>
      <w:r>
        <w:rPr>
          <w:sz w:val="20"/>
        </w:rPr>
        <w:t>through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design of</w:t>
      </w:r>
      <w:r>
        <w:rPr>
          <w:spacing w:val="-1"/>
          <w:sz w:val="20"/>
        </w:rPr>
        <w:t> </w:t>
      </w:r>
      <w:r>
        <w:rPr>
          <w:sz w:val="20"/>
        </w:rPr>
        <w:t>funding</w:t>
      </w:r>
      <w:r>
        <w:rPr>
          <w:spacing w:val="-2"/>
          <w:sz w:val="20"/>
        </w:rPr>
        <w:t> </w:t>
      </w:r>
      <w:r>
        <w:rPr>
          <w:sz w:val="20"/>
        </w:rPr>
        <w:t>levers</w:t>
      </w:r>
    </w:p>
    <w:p>
      <w:pPr>
        <w:pStyle w:val="ListParagraph"/>
        <w:numPr>
          <w:ilvl w:val="0"/>
          <w:numId w:val="28"/>
        </w:numPr>
        <w:tabs>
          <w:tab w:pos="1204" w:val="left" w:leader="none"/>
        </w:tabs>
        <w:spacing w:line="268" w:lineRule="auto" w:before="70" w:after="0"/>
        <w:ind w:left="1203" w:right="305" w:hanging="341"/>
        <w:jc w:val="both"/>
        <w:rPr>
          <w:sz w:val="20"/>
        </w:rPr>
      </w:pPr>
      <w:r>
        <w:rPr>
          <w:sz w:val="20"/>
        </w:rPr>
        <w:t>the obligation of HEIs to establish governance arrangements that permit them to responsibly</w:t>
      </w:r>
      <w:r>
        <w:rPr>
          <w:spacing w:val="1"/>
          <w:sz w:val="20"/>
        </w:rPr>
        <w:t> </w:t>
      </w:r>
      <w:r>
        <w:rPr>
          <w:sz w:val="20"/>
        </w:rPr>
        <w:t>exercise their autonomy, on the basis of clear profile and mission, formulated by a governing</w:t>
      </w:r>
      <w:r>
        <w:rPr>
          <w:spacing w:val="1"/>
          <w:sz w:val="20"/>
        </w:rPr>
        <w:t> </w:t>
      </w:r>
      <w:r>
        <w:rPr>
          <w:sz w:val="20"/>
        </w:rPr>
        <w:t>body that takes into account (and contains) members of university academic staff, students,</w:t>
      </w:r>
      <w:r>
        <w:rPr>
          <w:spacing w:val="1"/>
          <w:sz w:val="20"/>
        </w:rPr>
        <w:t> </w:t>
      </w:r>
      <w:r>
        <w:rPr>
          <w:sz w:val="20"/>
        </w:rPr>
        <w:t>and employees, and stakeholders outside the institutions who reflect its profile and mission;</w:t>
      </w:r>
      <w:r>
        <w:rPr>
          <w:spacing w:val="1"/>
          <w:sz w:val="20"/>
        </w:rPr>
        <w:t> </w:t>
      </w:r>
      <w:r>
        <w:rPr>
          <w:sz w:val="20"/>
        </w:rPr>
        <w:t>and an administration with management capacity sufficient to implement policies set by the</w:t>
      </w:r>
      <w:r>
        <w:rPr>
          <w:spacing w:val="1"/>
          <w:sz w:val="20"/>
        </w:rPr>
        <w:t> </w:t>
      </w:r>
      <w:r>
        <w:rPr>
          <w:sz w:val="20"/>
        </w:rPr>
        <w:t>governing</w:t>
      </w:r>
      <w:r>
        <w:rPr>
          <w:spacing w:val="-1"/>
          <w:sz w:val="20"/>
        </w:rPr>
        <w:t> </w:t>
      </w:r>
      <w:r>
        <w:rPr>
          <w:sz w:val="20"/>
        </w:rPr>
        <w:t>body.</w:t>
      </w:r>
    </w:p>
    <w:p>
      <w:pPr>
        <w:spacing w:before="122"/>
        <w:ind w:left="183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Establish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key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features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promoting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good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institutional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governance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law</w:t>
      </w:r>
    </w:p>
    <w:p>
      <w:pPr>
        <w:pStyle w:val="BodyText"/>
        <w:spacing w:line="273" w:lineRule="auto" w:before="151"/>
        <w:ind w:left="183" w:right="314"/>
        <w:jc w:val="both"/>
      </w:pPr>
      <w:r>
        <w:rPr/>
        <w:t>Governance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openness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enhanced</w:t>
      </w:r>
      <w:r>
        <w:rPr>
          <w:spacing w:val="-5"/>
        </w:rPr>
        <w:t> </w:t>
      </w:r>
      <w:r>
        <w:rPr/>
        <w:t>managerial</w:t>
      </w:r>
      <w:r>
        <w:rPr>
          <w:spacing w:val="-4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preserve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enhance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autonomy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Slovak</w:t>
      </w:r>
      <w:r>
        <w:rPr>
          <w:spacing w:val="-1"/>
        </w:rPr>
        <w:t> </w:t>
      </w:r>
      <w:r>
        <w:rPr/>
        <w:t>HEIs.</w:t>
      </w:r>
    </w:p>
    <w:p>
      <w:pPr>
        <w:pStyle w:val="BodyText"/>
        <w:spacing w:line="271" w:lineRule="auto" w:before="118"/>
        <w:ind w:left="183" w:right="305"/>
        <w:jc w:val="both"/>
      </w:pPr>
      <w:r>
        <w:rPr/>
        <w:t>We recommend the timing for implementing governance changes be no less than 18 months to ensure</w:t>
      </w:r>
      <w:r>
        <w:rPr>
          <w:spacing w:val="1"/>
        </w:rPr>
        <w:t> </w:t>
      </w:r>
      <w:r>
        <w:rPr/>
        <w:t>sufficient time for planning and to ensure the changes are informed by the implementation by HEIs of the</w:t>
      </w:r>
      <w:r>
        <w:rPr>
          <w:spacing w:val="-53"/>
        </w:rPr>
        <w:t> </w:t>
      </w:r>
      <w:r>
        <w:rPr/>
        <w:t>SAAHE</w:t>
      </w:r>
      <w:r>
        <w:rPr>
          <w:spacing w:val="-8"/>
        </w:rPr>
        <w:t> </w:t>
      </w:r>
      <w:r>
        <w:rPr/>
        <w:t>standards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1</w:t>
      </w:r>
      <w:r>
        <w:rPr>
          <w:spacing w:val="-1"/>
        </w:rPr>
        <w:t> </w:t>
      </w:r>
      <w:r>
        <w:rPr/>
        <w:t>September</w:t>
      </w:r>
      <w:r>
        <w:rPr>
          <w:spacing w:val="-6"/>
        </w:rPr>
        <w:t> </w:t>
      </w:r>
      <w:r>
        <w:rPr/>
        <w:t>2022.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recommendations</w:t>
      </w:r>
      <w:r>
        <w:rPr>
          <w:spacing w:val="-7"/>
        </w:rPr>
        <w:t> </w:t>
      </w:r>
      <w:r>
        <w:rPr/>
        <w:t>formulated</w:t>
      </w:r>
      <w:r>
        <w:rPr>
          <w:spacing w:val="-4"/>
        </w:rPr>
        <w:t> </w:t>
      </w:r>
      <w:r>
        <w:rPr/>
        <w:t>below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examined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light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accreditation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reform.</w:t>
      </w:r>
    </w:p>
    <w:p>
      <w:pPr>
        <w:pStyle w:val="BodyText"/>
        <w:spacing w:line="273" w:lineRule="auto" w:before="119"/>
        <w:ind w:left="183" w:right="316"/>
        <w:jc w:val="both"/>
      </w:pPr>
      <w:r>
        <w:rPr/>
        <w:t>While HEIs should be free to determine the details of their governance structure, the law could establish</w:t>
      </w:r>
      <w:r>
        <w:rPr>
          <w:spacing w:val="1"/>
        </w:rPr>
        <w:t> </w:t>
      </w:r>
      <w:r>
        <w:rPr/>
        <w:t>key</w:t>
      </w:r>
      <w:r>
        <w:rPr>
          <w:spacing w:val="-8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promoting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governance. These</w:t>
      </w:r>
      <w:r>
        <w:rPr>
          <w:spacing w:val="-1"/>
        </w:rPr>
        <w:t> </w:t>
      </w:r>
      <w:r>
        <w:rPr/>
        <w:t>could include: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96" w:after="0"/>
        <w:ind w:left="862" w:right="303" w:hanging="339"/>
        <w:jc w:val="both"/>
        <w:rPr>
          <w:sz w:val="20"/>
        </w:rPr>
      </w:pPr>
      <w:r>
        <w:rPr>
          <w:sz w:val="20"/>
        </w:rPr>
        <w:t>Require HEIs to have institutional-level governing bodies that have distinct responsibilities (see,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52"/>
          <w:sz w:val="20"/>
        </w:rPr>
        <w:t> </w:t>
      </w:r>
      <w:r>
        <w:rPr>
          <w:sz w:val="20"/>
        </w:rPr>
        <w:t>instance,</w:t>
      </w:r>
      <w:r>
        <w:rPr>
          <w:spacing w:val="51"/>
          <w:sz w:val="20"/>
        </w:rPr>
        <w:t> </w:t>
      </w:r>
      <w:r>
        <w:rPr>
          <w:sz w:val="20"/>
        </w:rPr>
        <w:t>guidance</w:t>
      </w:r>
      <w:r>
        <w:rPr>
          <w:spacing w:val="51"/>
          <w:sz w:val="20"/>
        </w:rPr>
        <w:t> </w:t>
      </w:r>
      <w:r>
        <w:rPr>
          <w:sz w:val="20"/>
        </w:rPr>
        <w:t>on</w:t>
      </w:r>
      <w:r>
        <w:rPr>
          <w:spacing w:val="53"/>
          <w:sz w:val="20"/>
        </w:rPr>
        <w:t> </w:t>
      </w:r>
      <w:r>
        <w:rPr>
          <w:sz w:val="20"/>
        </w:rPr>
        <w:t>HEI</w:t>
      </w:r>
      <w:r>
        <w:rPr>
          <w:spacing w:val="52"/>
          <w:sz w:val="20"/>
        </w:rPr>
        <w:t> </w:t>
      </w:r>
      <w:r>
        <w:rPr>
          <w:sz w:val="20"/>
        </w:rPr>
        <w:t>governance</w:t>
      </w:r>
      <w:r>
        <w:rPr>
          <w:spacing w:val="51"/>
          <w:sz w:val="20"/>
        </w:rPr>
        <w:t> </w:t>
      </w:r>
      <w:r>
        <w:rPr>
          <w:sz w:val="20"/>
        </w:rPr>
        <w:t>in</w:t>
      </w:r>
      <w:r>
        <w:rPr>
          <w:spacing w:val="52"/>
          <w:sz w:val="20"/>
        </w:rPr>
        <w:t> </w:t>
      </w:r>
      <w:r>
        <w:rPr>
          <w:sz w:val="20"/>
        </w:rPr>
        <w:t>the</w:t>
      </w:r>
      <w:r>
        <w:rPr>
          <w:spacing w:val="51"/>
          <w:sz w:val="20"/>
        </w:rPr>
        <w:t> </w:t>
      </w:r>
      <w:r>
        <w:rPr>
          <w:sz w:val="20"/>
        </w:rPr>
        <w:t>United</w:t>
      </w:r>
      <w:r>
        <w:rPr>
          <w:spacing w:val="4"/>
          <w:sz w:val="20"/>
        </w:rPr>
        <w:t> </w:t>
      </w:r>
      <w:r>
        <w:rPr>
          <w:sz w:val="20"/>
        </w:rPr>
        <w:t>Kingdom</w:t>
      </w:r>
      <w:r>
        <w:rPr>
          <w:spacing w:val="2"/>
          <w:sz w:val="20"/>
        </w:rPr>
        <w:t> </w:t>
      </w:r>
      <w:r>
        <w:rPr>
          <w:sz w:val="20"/>
        </w:rPr>
        <w:t>(Committee</w:t>
      </w:r>
      <w:r>
        <w:rPr>
          <w:spacing w:val="52"/>
          <w:sz w:val="20"/>
        </w:rPr>
        <w:t> </w:t>
      </w:r>
      <w:r>
        <w:rPr>
          <w:sz w:val="20"/>
        </w:rPr>
        <w:t>of</w:t>
      </w:r>
      <w:r>
        <w:rPr>
          <w:spacing w:val="53"/>
          <w:sz w:val="20"/>
        </w:rPr>
        <w:t> </w:t>
      </w:r>
      <w:r>
        <w:rPr>
          <w:sz w:val="20"/>
        </w:rPr>
        <w:t>University</w:t>
      </w:r>
    </w:p>
    <w:p>
      <w:pPr>
        <w:spacing w:after="0" w:line="266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line="271" w:lineRule="auto" w:before="185"/>
        <w:ind w:left="862" w:right="305"/>
        <w:jc w:val="both"/>
      </w:pPr>
      <w:r>
        <w:rPr>
          <w:position w:val="1"/>
        </w:rPr>
        <w:t>Chairmen, 2001</w:t>
      </w:r>
      <w:r>
        <w:rPr>
          <w:sz w:val="13"/>
        </w:rPr>
        <w:t>[74]</w:t>
      </w:r>
      <w:r>
        <w:rPr>
          <w:position w:val="1"/>
        </w:rPr>
        <w:t>) and Ireland (THEA, 2018</w:t>
      </w:r>
      <w:r>
        <w:rPr>
          <w:sz w:val="13"/>
        </w:rPr>
        <w:t>[75]</w:t>
      </w:r>
      <w:r>
        <w:rPr>
          <w:position w:val="1"/>
        </w:rPr>
        <w:t>; Irish Universities Association, 2019</w:t>
      </w:r>
      <w:r>
        <w:rPr>
          <w:sz w:val="13"/>
        </w:rPr>
        <w:t>[76]</w:t>
      </w:r>
      <w:r>
        <w:rPr>
          <w:position w:val="1"/>
        </w:rPr>
        <w:t>)) HEIs</w:t>
      </w:r>
      <w:r>
        <w:rPr>
          <w:spacing w:val="1"/>
          <w:position w:val="1"/>
        </w:rPr>
        <w:t> </w:t>
      </w:r>
      <w:r>
        <w:rPr/>
        <w:t>should</w:t>
      </w:r>
      <w:r>
        <w:rPr>
          <w:spacing w:val="-2"/>
        </w:rPr>
        <w:t> </w:t>
      </w:r>
      <w:r>
        <w:rPr/>
        <w:t>have, at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minimum:</w:t>
      </w:r>
    </w:p>
    <w:p>
      <w:pPr>
        <w:pStyle w:val="ListParagraph"/>
        <w:numPr>
          <w:ilvl w:val="0"/>
          <w:numId w:val="29"/>
        </w:numPr>
        <w:tabs>
          <w:tab w:pos="1204" w:val="left" w:leader="none"/>
        </w:tabs>
        <w:spacing w:line="264" w:lineRule="auto" w:before="59" w:after="0"/>
        <w:ind w:left="1203" w:right="303" w:hanging="341"/>
        <w:jc w:val="both"/>
        <w:rPr>
          <w:sz w:val="20"/>
        </w:rPr>
      </w:pPr>
      <w:r>
        <w:rPr>
          <w:sz w:val="20"/>
        </w:rPr>
        <w:t>A board of trustees (BoT) responsible (with the support of a professional team) for the</w:t>
      </w:r>
      <w:r>
        <w:rPr>
          <w:spacing w:val="1"/>
          <w:sz w:val="20"/>
        </w:rPr>
        <w:t> </w:t>
      </w:r>
      <w:r>
        <w:rPr>
          <w:sz w:val="20"/>
        </w:rPr>
        <w:t>institution’s</w:t>
      </w:r>
      <w:r>
        <w:rPr>
          <w:spacing w:val="1"/>
          <w:sz w:val="20"/>
        </w:rPr>
        <w:t> </w:t>
      </w:r>
      <w:r>
        <w:rPr>
          <w:sz w:val="20"/>
        </w:rPr>
        <w:t>governance</w:t>
      </w:r>
      <w:r>
        <w:rPr>
          <w:spacing w:val="1"/>
          <w:sz w:val="20"/>
        </w:rPr>
        <w:t> </w:t>
      </w:r>
      <w:r>
        <w:rPr>
          <w:sz w:val="20"/>
        </w:rPr>
        <w:t>– including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review,</w:t>
      </w:r>
      <w:r>
        <w:rPr>
          <w:spacing w:val="1"/>
          <w:sz w:val="20"/>
        </w:rPr>
        <w:t> </w:t>
      </w:r>
      <w:r>
        <w:rPr>
          <w:sz w:val="20"/>
        </w:rPr>
        <w:t>revision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approval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institution’s</w:t>
      </w:r>
      <w:r>
        <w:rPr>
          <w:spacing w:val="-53"/>
          <w:sz w:val="20"/>
        </w:rPr>
        <w:t> </w:t>
      </w:r>
      <w:r>
        <w:rPr>
          <w:sz w:val="20"/>
        </w:rPr>
        <w:t>mission, approving the annual operating budget and large sale/acquisition of infrastructure</w:t>
      </w:r>
      <w:r>
        <w:rPr>
          <w:spacing w:val="1"/>
          <w:sz w:val="20"/>
        </w:rPr>
        <w:t> </w:t>
      </w:r>
      <w:r>
        <w:rPr>
          <w:sz w:val="20"/>
        </w:rPr>
        <w:t>(including</w:t>
      </w:r>
      <w:r>
        <w:rPr>
          <w:spacing w:val="-3"/>
          <w:sz w:val="20"/>
        </w:rPr>
        <w:t> </w:t>
      </w:r>
      <w:r>
        <w:rPr>
          <w:sz w:val="20"/>
        </w:rPr>
        <w:t>digital),</w:t>
      </w:r>
      <w:r>
        <w:rPr>
          <w:spacing w:val="-2"/>
          <w:sz w:val="20"/>
        </w:rPr>
        <w:t> </w:t>
      </w:r>
      <w:r>
        <w:rPr>
          <w:sz w:val="20"/>
        </w:rPr>
        <w:t>appointing</w:t>
      </w:r>
      <w:r>
        <w:rPr>
          <w:spacing w:val="-3"/>
          <w:sz w:val="20"/>
        </w:rPr>
        <w:t> </w:t>
      </w:r>
      <w:r>
        <w:rPr>
          <w:sz w:val="20"/>
        </w:rPr>
        <w:t>the rector</w:t>
      </w:r>
      <w:r>
        <w:rPr>
          <w:spacing w:val="-3"/>
          <w:sz w:val="20"/>
        </w:rPr>
        <w:t> </w:t>
      </w:r>
      <w:r>
        <w:rPr>
          <w:sz w:val="20"/>
        </w:rPr>
        <w:t>according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transparent procedure.</w:t>
      </w:r>
    </w:p>
    <w:p>
      <w:pPr>
        <w:pStyle w:val="ListParagraph"/>
        <w:numPr>
          <w:ilvl w:val="0"/>
          <w:numId w:val="29"/>
        </w:numPr>
        <w:tabs>
          <w:tab w:pos="1204" w:val="left" w:leader="none"/>
        </w:tabs>
        <w:spacing w:line="266" w:lineRule="auto" w:before="72" w:after="0"/>
        <w:ind w:left="1203" w:right="302" w:hanging="341"/>
        <w:jc w:val="both"/>
        <w:rPr>
          <w:sz w:val="20"/>
        </w:rPr>
      </w:pPr>
      <w:r>
        <w:rPr>
          <w:sz w:val="20"/>
        </w:rPr>
        <w:t>An academic body responsible for a range of academic issues such as the HEI’s academic</w:t>
      </w:r>
      <w:r>
        <w:rPr>
          <w:spacing w:val="1"/>
          <w:sz w:val="20"/>
        </w:rPr>
        <w:t> </w:t>
      </w:r>
      <w:r>
        <w:rPr>
          <w:sz w:val="20"/>
        </w:rPr>
        <w:t>strategy and promotion of research, criteria for student admissions, procedures for the award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qualifications,</w:t>
      </w:r>
      <w:r>
        <w:rPr>
          <w:spacing w:val="1"/>
          <w:sz w:val="20"/>
        </w:rPr>
        <w:t> </w:t>
      </w:r>
      <w:r>
        <w:rPr>
          <w:sz w:val="20"/>
        </w:rPr>
        <w:t>academic</w:t>
      </w:r>
      <w:r>
        <w:rPr>
          <w:spacing w:val="1"/>
          <w:sz w:val="20"/>
        </w:rPr>
        <w:t> </w:t>
      </w:r>
      <w:r>
        <w:rPr>
          <w:sz w:val="20"/>
        </w:rPr>
        <w:t>standards,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approval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content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curriculum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new</w:t>
      </w:r>
      <w:r>
        <w:rPr>
          <w:spacing w:val="1"/>
          <w:sz w:val="20"/>
        </w:rPr>
        <w:t> </w:t>
      </w:r>
      <w:r>
        <w:rPr>
          <w:sz w:val="20"/>
        </w:rPr>
        <w:t>programmes,</w:t>
      </w:r>
      <w:r>
        <w:rPr>
          <w:spacing w:val="1"/>
          <w:sz w:val="20"/>
        </w:rPr>
        <w:t> </w:t>
      </w:r>
      <w:r>
        <w:rPr>
          <w:sz w:val="20"/>
        </w:rPr>
        <w:t>policies</w:t>
      </w:r>
      <w:r>
        <w:rPr>
          <w:spacing w:val="1"/>
          <w:sz w:val="20"/>
        </w:rPr>
        <w:t> </w:t>
      </w:r>
      <w:r>
        <w:rPr>
          <w:sz w:val="20"/>
        </w:rPr>
        <w:t>regarding</w:t>
      </w:r>
      <w:r>
        <w:rPr>
          <w:spacing w:val="1"/>
          <w:sz w:val="20"/>
        </w:rPr>
        <w:t> </w:t>
      </w:r>
      <w:r>
        <w:rPr>
          <w:sz w:val="20"/>
        </w:rPr>
        <w:t>examinations</w:t>
      </w:r>
      <w:r>
        <w:rPr>
          <w:spacing w:val="1"/>
          <w:sz w:val="20"/>
        </w:rPr>
        <w:t> </w:t>
      </w:r>
      <w:r>
        <w:rPr>
          <w:sz w:val="20"/>
        </w:rPr>
        <w:t>including</w:t>
      </w:r>
      <w:r>
        <w:rPr>
          <w:spacing w:val="1"/>
          <w:sz w:val="20"/>
        </w:rPr>
        <w:t> </w:t>
      </w:r>
      <w:r>
        <w:rPr>
          <w:sz w:val="20"/>
        </w:rPr>
        <w:t>appointing</w:t>
      </w:r>
      <w:r>
        <w:rPr>
          <w:spacing w:val="1"/>
          <w:sz w:val="20"/>
        </w:rPr>
        <w:t> </w:t>
      </w:r>
      <w:r>
        <w:rPr>
          <w:sz w:val="20"/>
        </w:rPr>
        <w:t>internal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external</w:t>
      </w:r>
      <w:r>
        <w:rPr>
          <w:spacing w:val="1"/>
          <w:sz w:val="20"/>
        </w:rPr>
        <w:t> </w:t>
      </w:r>
      <w:r>
        <w:rPr>
          <w:sz w:val="20"/>
        </w:rPr>
        <w:t>examiners,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student</w:t>
      </w:r>
      <w:r>
        <w:rPr>
          <w:spacing w:val="1"/>
          <w:sz w:val="20"/>
        </w:rPr>
        <w:t> </w:t>
      </w:r>
      <w:r>
        <w:rPr>
          <w:sz w:val="20"/>
        </w:rPr>
        <w:t>discipline.</w:t>
      </w:r>
    </w:p>
    <w:p>
      <w:pPr>
        <w:pStyle w:val="BodyText"/>
        <w:spacing w:line="266" w:lineRule="auto" w:before="62"/>
        <w:ind w:left="1544" w:right="305" w:hanging="341"/>
        <w:jc w:val="both"/>
      </w:pPr>
      <w:r>
        <w:rPr>
          <w:rFonts w:ascii="Calibri" w:hAnsi="Calibri"/>
        </w:rPr>
        <w:t>‒</w:t>
      </w:r>
      <w:r>
        <w:rPr>
          <w:rFonts w:ascii="Calibri" w:hAnsi="Calibri"/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institution-wide view of academic issues rather than the strict representation of individual</w:t>
      </w:r>
      <w:r>
        <w:rPr>
          <w:spacing w:val="1"/>
        </w:rPr>
        <w:t> </w:t>
      </w:r>
      <w:r>
        <w:rPr/>
        <w:t>faculty</w:t>
      </w:r>
      <w:r>
        <w:rPr>
          <w:spacing w:val="-3"/>
        </w:rPr>
        <w:t> </w:t>
      </w:r>
      <w:r>
        <w:rPr/>
        <w:t>interests.</w:t>
      </w:r>
    </w:p>
    <w:p>
      <w:pPr>
        <w:pStyle w:val="BodyText"/>
        <w:spacing w:line="266" w:lineRule="auto" w:before="59"/>
        <w:ind w:left="1544" w:right="311" w:hanging="341"/>
        <w:jc w:val="both"/>
      </w:pPr>
      <w:r>
        <w:rPr>
          <w:rFonts w:ascii="Calibri" w:hAnsi="Calibri"/>
        </w:rPr>
        <w:t>‒</w:t>
      </w:r>
      <w:r>
        <w:rPr>
          <w:rFonts w:ascii="Calibri" w:hAnsi="Calibri"/>
          <w:spacing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standards published by the SAAHE. The extent to which such bodies fulfil some of the</w:t>
      </w:r>
      <w:r>
        <w:rPr>
          <w:spacing w:val="1"/>
        </w:rPr>
        <w:t> </w:t>
      </w:r>
      <w:r>
        <w:rPr/>
        <w:t>above-mentioned</w:t>
      </w:r>
      <w:r>
        <w:rPr>
          <w:spacing w:val="55"/>
        </w:rPr>
        <w:t> </w:t>
      </w:r>
      <w:r>
        <w:rPr/>
        <w:t>functions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complement</w:t>
      </w:r>
      <w:r>
        <w:rPr>
          <w:spacing w:val="56"/>
        </w:rPr>
        <w:t> </w:t>
      </w:r>
      <w:r>
        <w:rPr/>
        <w:t>or</w:t>
      </w:r>
      <w:r>
        <w:rPr>
          <w:spacing w:val="55"/>
        </w:rPr>
        <w:t> </w:t>
      </w:r>
      <w:r>
        <w:rPr/>
        <w:t>duplicate</w:t>
      </w:r>
      <w:r>
        <w:rPr>
          <w:spacing w:val="56"/>
        </w:rPr>
        <w:t> </w:t>
      </w:r>
      <w:r>
        <w:rPr/>
        <w:t>other</w:t>
      </w:r>
      <w:r>
        <w:rPr>
          <w:spacing w:val="55"/>
        </w:rPr>
        <w:t> </w:t>
      </w:r>
      <w:r>
        <w:rPr/>
        <w:t>academic</w:t>
      </w:r>
      <w:r>
        <w:rPr>
          <w:spacing w:val="56"/>
        </w:rPr>
        <w:t> </w:t>
      </w:r>
      <w:r>
        <w:rPr/>
        <w:t>bodies</w:t>
      </w:r>
      <w:r>
        <w:rPr>
          <w:spacing w:val="1"/>
        </w:rPr>
        <w:t> </w:t>
      </w:r>
      <w:r>
        <w:rPr/>
        <w:t>(e.g.</w:t>
      </w:r>
      <w:r>
        <w:rPr>
          <w:spacing w:val="-2"/>
        </w:rPr>
        <w:t> </w:t>
      </w:r>
      <w:r>
        <w:rPr/>
        <w:t>academic senates)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 carefully</w:t>
      </w:r>
      <w:r>
        <w:rPr>
          <w:spacing w:val="-4"/>
        </w:rPr>
        <w:t> </w:t>
      </w:r>
      <w:r>
        <w:rPr/>
        <w:t>examined.</w:t>
      </w:r>
    </w:p>
    <w:p>
      <w:pPr>
        <w:pStyle w:val="ListParagraph"/>
        <w:numPr>
          <w:ilvl w:val="0"/>
          <w:numId w:val="29"/>
        </w:numPr>
        <w:tabs>
          <w:tab w:pos="1204" w:val="left" w:leader="none"/>
        </w:tabs>
        <w:spacing w:line="252" w:lineRule="auto" w:before="67" w:after="0"/>
        <w:ind w:left="1203" w:right="310" w:hanging="341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rector</w:t>
      </w:r>
      <w:r>
        <w:rPr>
          <w:spacing w:val="-11"/>
          <w:sz w:val="20"/>
        </w:rPr>
        <w:t> </w:t>
      </w:r>
      <w:r>
        <w:rPr>
          <w:sz w:val="20"/>
        </w:rPr>
        <w:t>responsible</w:t>
      </w:r>
      <w:r>
        <w:rPr>
          <w:spacing w:val="-12"/>
          <w:sz w:val="20"/>
        </w:rPr>
        <w:t> </w:t>
      </w:r>
      <w:r>
        <w:rPr>
          <w:sz w:val="20"/>
        </w:rPr>
        <w:t>(with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support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professional</w:t>
      </w:r>
      <w:r>
        <w:rPr>
          <w:spacing w:val="-12"/>
          <w:sz w:val="20"/>
        </w:rPr>
        <w:t> </w:t>
      </w:r>
      <w:r>
        <w:rPr>
          <w:sz w:val="20"/>
        </w:rPr>
        <w:t>team)</w:t>
      </w:r>
      <w:r>
        <w:rPr>
          <w:spacing w:val="-13"/>
          <w:sz w:val="20"/>
        </w:rPr>
        <w:t> </w:t>
      </w:r>
      <w:r>
        <w:rPr>
          <w:sz w:val="20"/>
        </w:rPr>
        <w:t>for</w:t>
      </w:r>
      <w:r>
        <w:rPr>
          <w:spacing w:val="-11"/>
          <w:sz w:val="20"/>
        </w:rPr>
        <w:t> </w:t>
      </w:r>
      <w:r>
        <w:rPr>
          <w:sz w:val="20"/>
        </w:rPr>
        <w:t>implementing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vision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53"/>
          <w:sz w:val="20"/>
        </w:rPr>
        <w:t> </w:t>
      </w:r>
      <w:r>
        <w:rPr>
          <w:sz w:val="20"/>
        </w:rPr>
        <w:t>HEI</w:t>
      </w:r>
      <w:r>
        <w:rPr>
          <w:spacing w:val="-2"/>
          <w:sz w:val="20"/>
        </w:rPr>
        <w:t> </w:t>
      </w:r>
      <w:r>
        <w:rPr>
          <w:sz w:val="20"/>
        </w:rPr>
        <w:t>through</w:t>
      </w:r>
      <w:r>
        <w:rPr>
          <w:spacing w:val="-2"/>
          <w:sz w:val="20"/>
        </w:rPr>
        <w:t> </w:t>
      </w:r>
      <w:r>
        <w:rPr>
          <w:sz w:val="20"/>
        </w:rPr>
        <w:t>effective human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financial</w:t>
      </w:r>
      <w:r>
        <w:rPr>
          <w:spacing w:val="-1"/>
          <w:sz w:val="20"/>
        </w:rPr>
        <w:t> </w:t>
      </w:r>
      <w:r>
        <w:rPr>
          <w:sz w:val="20"/>
        </w:rPr>
        <w:t>resources</w:t>
      </w:r>
      <w:r>
        <w:rPr>
          <w:spacing w:val="-1"/>
          <w:sz w:val="20"/>
        </w:rPr>
        <w:t> </w:t>
      </w:r>
      <w:r>
        <w:rPr>
          <w:sz w:val="20"/>
        </w:rPr>
        <w:t>management.</w:t>
      </w:r>
    </w:p>
    <w:p>
      <w:pPr>
        <w:pStyle w:val="ListParagraph"/>
        <w:numPr>
          <w:ilvl w:val="0"/>
          <w:numId w:val="29"/>
        </w:numPr>
        <w:tabs>
          <w:tab w:pos="1204" w:val="left" w:leader="none"/>
        </w:tabs>
        <w:spacing w:line="261" w:lineRule="auto" w:before="78" w:after="0"/>
        <w:ind w:left="1203" w:right="303" w:hanging="341"/>
        <w:jc w:val="both"/>
        <w:rPr>
          <w:sz w:val="20"/>
        </w:rPr>
      </w:pPr>
      <w:r>
        <w:rPr>
          <w:sz w:val="20"/>
        </w:rPr>
        <w:t>Clear processes of consultation between governance, academic and managerial bodies to</w:t>
      </w:r>
      <w:r>
        <w:rPr>
          <w:spacing w:val="1"/>
          <w:sz w:val="20"/>
        </w:rPr>
        <w:t> </w:t>
      </w:r>
      <w:r>
        <w:rPr>
          <w:sz w:val="20"/>
        </w:rPr>
        <w:t>resolve matters that concern several of these areas (for instance, managerial decisions with</w:t>
      </w:r>
      <w:r>
        <w:rPr>
          <w:spacing w:val="1"/>
          <w:sz w:val="20"/>
        </w:rPr>
        <w:t> </w:t>
      </w:r>
      <w:r>
        <w:rPr>
          <w:sz w:val="20"/>
        </w:rPr>
        <w:t>implications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study</w:t>
      </w:r>
      <w:r>
        <w:rPr>
          <w:spacing w:val="-2"/>
          <w:sz w:val="20"/>
        </w:rPr>
        <w:t> </w:t>
      </w:r>
      <w:r>
        <w:rPr>
          <w:sz w:val="20"/>
        </w:rPr>
        <w:t>programmes).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57" w:after="0"/>
        <w:ind w:left="862" w:right="301" w:hanging="339"/>
        <w:jc w:val="both"/>
        <w:rPr>
          <w:sz w:val="20"/>
        </w:rPr>
      </w:pPr>
      <w:r>
        <w:rPr>
          <w:sz w:val="20"/>
        </w:rPr>
        <w:t>Set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maximum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BoT</w:t>
      </w:r>
      <w:r>
        <w:rPr>
          <w:spacing w:val="-9"/>
          <w:sz w:val="20"/>
        </w:rPr>
        <w:t> </w:t>
      </w:r>
      <w:r>
        <w:rPr>
          <w:sz w:val="20"/>
        </w:rPr>
        <w:t>members,</w:t>
      </w:r>
      <w:r>
        <w:rPr>
          <w:spacing w:val="-9"/>
          <w:sz w:val="20"/>
        </w:rPr>
        <w:t> </w:t>
      </w:r>
      <w:r>
        <w:rPr>
          <w:sz w:val="20"/>
        </w:rPr>
        <w:t>which</w:t>
      </w:r>
      <w:r>
        <w:rPr>
          <w:spacing w:val="-9"/>
          <w:sz w:val="20"/>
        </w:rPr>
        <w:t> </w:t>
      </w:r>
      <w:r>
        <w:rPr>
          <w:sz w:val="20"/>
        </w:rPr>
        <w:t>should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low</w:t>
      </w:r>
      <w:r>
        <w:rPr>
          <w:spacing w:val="-9"/>
          <w:sz w:val="20"/>
        </w:rPr>
        <w:t> </w:t>
      </w:r>
      <w:r>
        <w:rPr>
          <w:sz w:val="20"/>
        </w:rPr>
        <w:t>enough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ensure</w:t>
      </w:r>
      <w:r>
        <w:rPr>
          <w:spacing w:val="-6"/>
          <w:sz w:val="20"/>
        </w:rPr>
        <w:t> </w:t>
      </w:r>
      <w:r>
        <w:rPr>
          <w:sz w:val="20"/>
        </w:rPr>
        <w:t>efficient</w:t>
      </w:r>
      <w:r>
        <w:rPr>
          <w:spacing w:val="-9"/>
          <w:sz w:val="20"/>
        </w:rPr>
        <w:t> </w:t>
      </w:r>
      <w:r>
        <w:rPr>
          <w:sz w:val="20"/>
        </w:rPr>
        <w:t>decision</w:t>
      </w:r>
      <w:r>
        <w:rPr>
          <w:spacing w:val="-54"/>
          <w:sz w:val="20"/>
        </w:rPr>
        <w:t> </w:t>
      </w:r>
      <w:r>
        <w:rPr>
          <w:sz w:val="20"/>
        </w:rPr>
        <w:t>making (for instance, in England, Wales and Northern Ireland [United Kingdom], the Board of</w:t>
      </w:r>
      <w:r>
        <w:rPr>
          <w:spacing w:val="1"/>
          <w:sz w:val="20"/>
        </w:rPr>
        <w:t> </w:t>
      </w:r>
      <w:r>
        <w:rPr>
          <w:sz w:val="20"/>
        </w:rPr>
        <w:t>Governors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required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include</w:t>
      </w:r>
      <w:r>
        <w:rPr>
          <w:spacing w:val="1"/>
          <w:sz w:val="20"/>
        </w:rPr>
        <w:t> </w:t>
      </w:r>
      <w:r>
        <w:rPr>
          <w:sz w:val="20"/>
        </w:rPr>
        <w:t>between</w:t>
      </w:r>
      <w:r>
        <w:rPr>
          <w:spacing w:val="1"/>
          <w:sz w:val="20"/>
        </w:rPr>
        <w:t> </w:t>
      </w:r>
      <w:r>
        <w:rPr>
          <w:sz w:val="20"/>
        </w:rPr>
        <w:t>12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24 members</w:t>
      </w:r>
      <w:r>
        <w:rPr>
          <w:spacing w:val="1"/>
          <w:sz w:val="20"/>
        </w:rPr>
        <w:t> </w:t>
      </w:r>
      <w:r>
        <w:rPr>
          <w:sz w:val="20"/>
        </w:rPr>
        <w:t>(Committee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Chairmen,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2001</w:t>
      </w:r>
      <w:r>
        <w:rPr>
          <w:sz w:val="13"/>
        </w:rPr>
        <w:t>[74]</w:t>
      </w:r>
      <w:r>
        <w:rPr>
          <w:position w:val="1"/>
          <w:sz w:val="20"/>
        </w:rPr>
        <w:t>); in Portugal,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general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councils</w:t>
      </w:r>
      <w:r>
        <w:rPr>
          <w:spacing w:val="5"/>
          <w:position w:val="1"/>
          <w:sz w:val="20"/>
        </w:rPr>
        <w:t> </w:t>
      </w:r>
      <w:r>
        <w:rPr>
          <w:position w:val="1"/>
          <w:sz w:val="20"/>
        </w:rPr>
        <w:t>are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to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include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15-35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members).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8" w:lineRule="auto" w:before="45" w:after="0"/>
        <w:ind w:left="862" w:right="311" w:hanging="339"/>
        <w:jc w:val="both"/>
        <w:rPr>
          <w:sz w:val="20"/>
        </w:rPr>
      </w:pPr>
      <w:r>
        <w:rPr>
          <w:sz w:val="20"/>
        </w:rPr>
        <w:t>Require that the HEI’s BoT include a minimum share of external members representing wider</w:t>
      </w:r>
      <w:r>
        <w:rPr>
          <w:spacing w:val="1"/>
          <w:sz w:val="20"/>
        </w:rPr>
        <w:t> </w:t>
      </w:r>
      <w:r>
        <w:rPr>
          <w:sz w:val="20"/>
        </w:rPr>
        <w:t>society</w:t>
      </w:r>
      <w:r>
        <w:rPr>
          <w:spacing w:val="1"/>
          <w:sz w:val="20"/>
        </w:rPr>
        <w:t> </w:t>
      </w:r>
      <w:r>
        <w:rPr>
          <w:sz w:val="20"/>
        </w:rPr>
        <w:t>(e.g. 40%,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Finland,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share</w:t>
      </w:r>
      <w:r>
        <w:rPr>
          <w:spacing w:val="1"/>
          <w:sz w:val="20"/>
        </w:rPr>
        <w:t> </w:t>
      </w:r>
      <w:r>
        <w:rPr>
          <w:sz w:val="20"/>
        </w:rPr>
        <w:t>appropriate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Slovak</w:t>
      </w:r>
      <w:r>
        <w:rPr>
          <w:spacing w:val="1"/>
          <w:sz w:val="20"/>
        </w:rPr>
        <w:t> </w:t>
      </w:r>
      <w:r>
        <w:rPr>
          <w:sz w:val="20"/>
        </w:rPr>
        <w:t>context,</w:t>
      </w:r>
      <w:r>
        <w:rPr>
          <w:spacing w:val="1"/>
          <w:sz w:val="20"/>
        </w:rPr>
        <w:t> </w:t>
      </w:r>
      <w:r>
        <w:rPr>
          <w:sz w:val="20"/>
        </w:rPr>
        <w:t>based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consultation with</w:t>
      </w:r>
      <w:r>
        <w:rPr>
          <w:spacing w:val="-1"/>
          <w:sz w:val="20"/>
        </w:rPr>
        <w:t> </w:t>
      </w:r>
      <w:r>
        <w:rPr>
          <w:sz w:val="20"/>
        </w:rPr>
        <w:t>HEIs).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6" w:lineRule="auto" w:before="51" w:after="0"/>
        <w:ind w:left="862" w:right="305" w:hanging="339"/>
        <w:jc w:val="both"/>
        <w:rPr>
          <w:sz w:val="20"/>
        </w:rPr>
      </w:pPr>
      <w:r>
        <w:rPr>
          <w:sz w:val="20"/>
        </w:rPr>
        <w:t>Require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government</w:t>
      </w:r>
      <w:r>
        <w:rPr>
          <w:spacing w:val="-5"/>
          <w:sz w:val="20"/>
        </w:rPr>
        <w:t> </w:t>
      </w:r>
      <w:r>
        <w:rPr>
          <w:sz w:val="20"/>
        </w:rPr>
        <w:t>identify</w:t>
      </w:r>
      <w:r>
        <w:rPr>
          <w:spacing w:val="-9"/>
          <w:sz w:val="20"/>
        </w:rPr>
        <w:t> </w:t>
      </w:r>
      <w:r>
        <w:rPr>
          <w:sz w:val="20"/>
        </w:rPr>
        <w:t>external</w:t>
      </w:r>
      <w:r>
        <w:rPr>
          <w:spacing w:val="-6"/>
          <w:sz w:val="20"/>
        </w:rPr>
        <w:t> </w:t>
      </w:r>
      <w:r>
        <w:rPr>
          <w:sz w:val="20"/>
        </w:rPr>
        <w:t>member</w:t>
      </w:r>
      <w:r>
        <w:rPr>
          <w:spacing w:val="-6"/>
          <w:sz w:val="20"/>
        </w:rPr>
        <w:t> </w:t>
      </w:r>
      <w:r>
        <w:rPr>
          <w:sz w:val="20"/>
        </w:rPr>
        <w:t>candidates</w:t>
      </w:r>
      <w:r>
        <w:rPr>
          <w:spacing w:val="-4"/>
          <w:sz w:val="20"/>
        </w:rPr>
        <w:t> </w:t>
      </w:r>
      <w:r>
        <w:rPr>
          <w:sz w:val="20"/>
        </w:rPr>
        <w:t>through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6"/>
          <w:sz w:val="20"/>
        </w:rPr>
        <w:t> </w:t>
      </w:r>
      <w:r>
        <w:rPr>
          <w:sz w:val="20"/>
        </w:rPr>
        <w:t>involves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27"/>
          <w:sz w:val="20"/>
        </w:rPr>
        <w:t> </w:t>
      </w:r>
      <w:r>
        <w:rPr>
          <w:sz w:val="20"/>
        </w:rPr>
        <w:t>education</w:t>
      </w:r>
      <w:r>
        <w:rPr>
          <w:spacing w:val="25"/>
          <w:sz w:val="20"/>
        </w:rPr>
        <w:t> </w:t>
      </w:r>
      <w:r>
        <w:rPr>
          <w:sz w:val="20"/>
        </w:rPr>
        <w:t>staff</w:t>
      </w:r>
      <w:r>
        <w:rPr>
          <w:spacing w:val="27"/>
          <w:sz w:val="20"/>
        </w:rPr>
        <w:t> </w:t>
      </w:r>
      <w:r>
        <w:rPr>
          <w:sz w:val="20"/>
        </w:rPr>
        <w:t>and</w:t>
      </w:r>
      <w:r>
        <w:rPr>
          <w:spacing w:val="27"/>
          <w:sz w:val="20"/>
        </w:rPr>
        <w:t> </w:t>
      </w:r>
      <w:r>
        <w:rPr>
          <w:sz w:val="20"/>
        </w:rPr>
        <w:t>students,</w:t>
      </w:r>
      <w:r>
        <w:rPr>
          <w:spacing w:val="27"/>
          <w:sz w:val="20"/>
        </w:rPr>
        <w:t> </w:t>
      </w:r>
      <w:r>
        <w:rPr>
          <w:sz w:val="20"/>
        </w:rPr>
        <w:t>and</w:t>
      </w:r>
      <w:r>
        <w:rPr>
          <w:spacing w:val="26"/>
          <w:sz w:val="20"/>
        </w:rPr>
        <w:t> </w:t>
      </w:r>
      <w:r>
        <w:rPr>
          <w:sz w:val="20"/>
        </w:rPr>
        <w:t>guarantees:</w:t>
      </w:r>
      <w:r>
        <w:rPr>
          <w:spacing w:val="25"/>
          <w:sz w:val="20"/>
        </w:rPr>
        <w:t> </w:t>
      </w:r>
      <w:r>
        <w:rPr>
          <w:sz w:val="20"/>
        </w:rPr>
        <w:t>(i)</w:t>
      </w:r>
      <w:r>
        <w:rPr>
          <w:spacing w:val="27"/>
          <w:sz w:val="20"/>
        </w:rPr>
        <w:t> </w:t>
      </w:r>
      <w:r>
        <w:rPr>
          <w:sz w:val="20"/>
        </w:rPr>
        <w:t>the</w:t>
      </w:r>
      <w:r>
        <w:rPr>
          <w:spacing w:val="27"/>
          <w:sz w:val="20"/>
        </w:rPr>
        <w:t> </w:t>
      </w:r>
      <w:r>
        <w:rPr>
          <w:sz w:val="20"/>
        </w:rPr>
        <w:t>independence</w:t>
      </w:r>
      <w:r>
        <w:rPr>
          <w:spacing w:val="27"/>
          <w:sz w:val="20"/>
        </w:rPr>
        <w:t> </w:t>
      </w:r>
      <w:r>
        <w:rPr>
          <w:sz w:val="20"/>
        </w:rPr>
        <w:t>of</w:t>
      </w:r>
      <w:r>
        <w:rPr>
          <w:spacing w:val="27"/>
          <w:sz w:val="20"/>
        </w:rPr>
        <w:t> </w:t>
      </w:r>
      <w:r>
        <w:rPr>
          <w:sz w:val="20"/>
        </w:rPr>
        <w:t>these</w:t>
      </w:r>
      <w:r>
        <w:rPr>
          <w:spacing w:val="24"/>
          <w:sz w:val="20"/>
        </w:rPr>
        <w:t> </w:t>
      </w:r>
      <w:r>
        <w:rPr>
          <w:sz w:val="20"/>
        </w:rPr>
        <w:t>members;</w:t>
      </w:r>
    </w:p>
    <w:p>
      <w:pPr>
        <w:pStyle w:val="BodyText"/>
        <w:spacing w:line="271" w:lineRule="auto" w:before="4"/>
        <w:ind w:left="862" w:right="304"/>
        <w:jc w:val="both"/>
      </w:pPr>
      <w:r>
        <w:rPr/>
        <w:t>(ii) the quality and relevance of their expertise and experience; and (iii) their understanding of the</w:t>
      </w:r>
      <w:r>
        <w:rPr>
          <w:spacing w:val="1"/>
        </w:rPr>
        <w:t> </w:t>
      </w:r>
      <w:r>
        <w:rPr/>
        <w:t>HEI’s context and commitment to active participation in its strategic development. For instance,</w:t>
      </w:r>
      <w:r>
        <w:rPr>
          <w:spacing w:val="1"/>
        </w:rPr>
        <w:t> </w:t>
      </w:r>
      <w:r>
        <w:rPr/>
        <w:t>internal members of the BoT (staff and students) would select external members from the list</w:t>
      </w:r>
      <w:r>
        <w:rPr>
          <w:spacing w:val="1"/>
        </w:rPr>
        <w:t> </w:t>
      </w:r>
      <w:r>
        <w:rPr/>
        <w:t>provided by government to meet the minimum threshold of external members. Alternatively,</w:t>
      </w:r>
      <w:r>
        <w:rPr>
          <w:spacing w:val="1"/>
        </w:rPr>
        <w:t> </w:t>
      </w:r>
      <w:r>
        <w:rPr/>
        <w:t>internal members of the BoT could prepare a list of individuals following the same principles, and</w:t>
      </w:r>
      <w:r>
        <w:rPr>
          <w:spacing w:val="1"/>
        </w:rPr>
        <w:t> </w:t>
      </w:r>
      <w:r>
        <w:rPr/>
        <w:t>MoE could</w:t>
      </w:r>
      <w:r>
        <w:rPr>
          <w:spacing w:val="-1"/>
        </w:rPr>
        <w:t> </w:t>
      </w:r>
      <w:r>
        <w:rPr/>
        <w:t>select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individuals.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68" w:lineRule="auto" w:before="48" w:after="0"/>
        <w:ind w:left="862" w:right="303" w:hanging="339"/>
        <w:jc w:val="both"/>
        <w:rPr>
          <w:sz w:val="20"/>
        </w:rPr>
      </w:pPr>
      <w:r>
        <w:rPr>
          <w:sz w:val="20"/>
        </w:rPr>
        <w:t>Require that the terms for BoT members be fixed in duration (e.g. four to six years), limited in</w:t>
      </w:r>
      <w:r>
        <w:rPr>
          <w:spacing w:val="1"/>
          <w:sz w:val="20"/>
        </w:rPr>
        <w:t> </w:t>
      </w:r>
      <w:r>
        <w:rPr>
          <w:sz w:val="20"/>
        </w:rPr>
        <w:t>number</w:t>
      </w:r>
      <w:r>
        <w:rPr>
          <w:spacing w:val="-13"/>
          <w:sz w:val="20"/>
        </w:rPr>
        <w:t> </w:t>
      </w:r>
      <w:r>
        <w:rPr>
          <w:sz w:val="20"/>
        </w:rPr>
        <w:t>(e.g.</w:t>
      </w:r>
      <w:r>
        <w:rPr>
          <w:spacing w:val="-5"/>
          <w:sz w:val="20"/>
        </w:rPr>
        <w:t> </w:t>
      </w:r>
      <w:r>
        <w:rPr>
          <w:sz w:val="20"/>
        </w:rPr>
        <w:t>two</w:t>
      </w:r>
      <w:r>
        <w:rPr>
          <w:spacing w:val="-13"/>
          <w:sz w:val="20"/>
        </w:rPr>
        <w:t> </w:t>
      </w:r>
      <w:r>
        <w:rPr>
          <w:sz w:val="20"/>
        </w:rPr>
        <w:t>consecutive</w:t>
      </w:r>
      <w:r>
        <w:rPr>
          <w:spacing w:val="-14"/>
          <w:sz w:val="20"/>
        </w:rPr>
        <w:t> </w:t>
      </w:r>
      <w:r>
        <w:rPr>
          <w:sz w:val="20"/>
        </w:rPr>
        <w:t>terms),</w:t>
      </w:r>
      <w:r>
        <w:rPr>
          <w:spacing w:val="-14"/>
          <w:sz w:val="20"/>
        </w:rPr>
        <w:t>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that</w:t>
      </w:r>
      <w:r>
        <w:rPr>
          <w:spacing w:val="-11"/>
          <w:sz w:val="20"/>
        </w:rPr>
        <w:t> </w:t>
      </w:r>
      <w:r>
        <w:rPr>
          <w:sz w:val="20"/>
        </w:rPr>
        <w:t>board</w:t>
      </w:r>
      <w:r>
        <w:rPr>
          <w:spacing w:val="-12"/>
          <w:sz w:val="20"/>
        </w:rPr>
        <w:t> </w:t>
      </w:r>
      <w:r>
        <w:rPr>
          <w:sz w:val="20"/>
        </w:rPr>
        <w:t>members</w:t>
      </w:r>
      <w:r>
        <w:rPr>
          <w:spacing w:val="-12"/>
          <w:sz w:val="20"/>
        </w:rPr>
        <w:t> </w:t>
      </w:r>
      <w:r>
        <w:rPr>
          <w:sz w:val="20"/>
        </w:rPr>
        <w:t>could</w:t>
      </w:r>
      <w:r>
        <w:rPr>
          <w:spacing w:val="-14"/>
          <w:sz w:val="20"/>
        </w:rPr>
        <w:t> </w:t>
      </w:r>
      <w:r>
        <w:rPr>
          <w:sz w:val="20"/>
        </w:rPr>
        <w:t>serve</w:t>
      </w:r>
      <w:r>
        <w:rPr>
          <w:spacing w:val="-14"/>
          <w:sz w:val="20"/>
        </w:rPr>
        <w:t> </w:t>
      </w:r>
      <w:r>
        <w:rPr>
          <w:sz w:val="20"/>
        </w:rPr>
        <w:t>on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staggered</w:t>
      </w:r>
      <w:r>
        <w:rPr>
          <w:spacing w:val="-14"/>
          <w:sz w:val="20"/>
        </w:rPr>
        <w:t> </w:t>
      </w:r>
      <w:r>
        <w:rPr>
          <w:sz w:val="20"/>
        </w:rPr>
        <w:t>renewal</w:t>
      </w:r>
      <w:r>
        <w:rPr>
          <w:spacing w:val="-53"/>
          <w:sz w:val="20"/>
        </w:rPr>
        <w:t> </w:t>
      </w:r>
      <w:r>
        <w:rPr>
          <w:sz w:val="20"/>
        </w:rPr>
        <w:t>schedule.</w:t>
      </w:r>
    </w:p>
    <w:p>
      <w:pPr>
        <w:spacing w:before="129"/>
        <w:ind w:left="1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Increase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HEIs’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autonomy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creation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institutional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governance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arrangements</w:t>
      </w:r>
    </w:p>
    <w:p>
      <w:pPr>
        <w:pStyle w:val="BodyText"/>
        <w:spacing w:line="271" w:lineRule="auto" w:before="154"/>
        <w:ind w:left="183"/>
      </w:pPr>
      <w:r>
        <w:rPr/>
        <w:t>The</w:t>
      </w:r>
      <w:r>
        <w:rPr>
          <w:spacing w:val="11"/>
        </w:rPr>
        <w:t> </w:t>
      </w:r>
      <w:r>
        <w:rPr/>
        <w:t>law</w:t>
      </w:r>
      <w:r>
        <w:rPr>
          <w:spacing w:val="10"/>
        </w:rPr>
        <w:t> </w:t>
      </w:r>
      <w:r>
        <w:rPr/>
        <w:t>should</w:t>
      </w:r>
      <w:r>
        <w:rPr>
          <w:spacing w:val="12"/>
        </w:rPr>
        <w:t> </w:t>
      </w:r>
      <w:r>
        <w:rPr/>
        <w:t>permit</w:t>
      </w:r>
      <w:r>
        <w:rPr>
          <w:spacing w:val="13"/>
        </w:rPr>
        <w:t> </w:t>
      </w:r>
      <w:r>
        <w:rPr/>
        <w:t>HEIs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create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own</w:t>
      </w:r>
      <w:r>
        <w:rPr>
          <w:spacing w:val="13"/>
        </w:rPr>
        <w:t> </w:t>
      </w:r>
      <w:r>
        <w:rPr/>
        <w:t>additional</w:t>
      </w:r>
      <w:r>
        <w:rPr>
          <w:spacing w:val="18"/>
        </w:rPr>
        <w:t> </w:t>
      </w:r>
      <w:r>
        <w:rPr/>
        <w:t>governance</w:t>
      </w:r>
      <w:r>
        <w:rPr>
          <w:spacing w:val="14"/>
        </w:rPr>
        <w:t> </w:t>
      </w:r>
      <w:r>
        <w:rPr/>
        <w:t>arrangements</w:t>
      </w:r>
      <w:r>
        <w:rPr>
          <w:spacing w:val="12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local</w:t>
      </w:r>
      <w:r>
        <w:rPr>
          <w:spacing w:val="1"/>
        </w:rPr>
        <w:t> </w:t>
      </w:r>
      <w:r>
        <w:rPr/>
        <w:t>needs. In</w:t>
      </w:r>
      <w:r>
        <w:rPr>
          <w:spacing w:val="-1"/>
        </w:rPr>
        <w:t> </w:t>
      </w:r>
      <w:r>
        <w:rPr/>
        <w:t>particular,</w:t>
      </w:r>
      <w:r>
        <w:rPr>
          <w:spacing w:val="2"/>
        </w:rPr>
        <w:t> </w:t>
      </w:r>
      <w:r>
        <w:rPr/>
        <w:t>it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40" w:lineRule="auto" w:before="98" w:after="0"/>
        <w:ind w:left="862" w:right="0" w:hanging="339"/>
        <w:jc w:val="left"/>
        <w:rPr>
          <w:sz w:val="20"/>
        </w:rPr>
      </w:pPr>
      <w:r>
        <w:rPr>
          <w:sz w:val="20"/>
        </w:rPr>
        <w:t>remove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obligation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HEIs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4"/>
          <w:sz w:val="20"/>
        </w:rPr>
        <w:t> </w:t>
      </w:r>
      <w:r>
        <w:rPr>
          <w:sz w:val="20"/>
        </w:rPr>
        <w:t>governing</w:t>
      </w:r>
      <w:r>
        <w:rPr>
          <w:spacing w:val="-3"/>
          <w:sz w:val="20"/>
        </w:rPr>
        <w:t> </w:t>
      </w:r>
      <w:r>
        <w:rPr>
          <w:sz w:val="20"/>
        </w:rPr>
        <w:t>bodies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5"/>
          <w:sz w:val="20"/>
        </w:rPr>
        <w:t> </w:t>
      </w:r>
      <w:r>
        <w:rPr>
          <w:sz w:val="20"/>
        </w:rPr>
        <w:t>both</w:t>
      </w:r>
      <w:r>
        <w:rPr>
          <w:spacing w:val="-4"/>
          <w:sz w:val="20"/>
        </w:rPr>
        <w:t> </w:t>
      </w:r>
      <w:r>
        <w:rPr>
          <w:sz w:val="20"/>
        </w:rPr>
        <w:t>HEI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faculty</w:t>
      </w:r>
      <w:r>
        <w:rPr>
          <w:spacing w:val="-4"/>
          <w:sz w:val="20"/>
        </w:rPr>
        <w:t> </w:t>
      </w:r>
      <w:r>
        <w:rPr>
          <w:sz w:val="20"/>
        </w:rPr>
        <w:t>level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66" w:lineRule="auto" w:before="77" w:after="0"/>
        <w:ind w:left="862" w:right="301" w:hanging="339"/>
        <w:jc w:val="left"/>
        <w:rPr>
          <w:sz w:val="20"/>
        </w:rPr>
      </w:pPr>
      <w:r>
        <w:rPr>
          <w:sz w:val="20"/>
        </w:rPr>
        <w:t>authorise</w:t>
      </w:r>
      <w:r>
        <w:rPr>
          <w:spacing w:val="38"/>
          <w:sz w:val="20"/>
        </w:rPr>
        <w:t> </w:t>
      </w:r>
      <w:r>
        <w:rPr>
          <w:sz w:val="20"/>
        </w:rPr>
        <w:t>Slovak</w:t>
      </w:r>
      <w:r>
        <w:rPr>
          <w:spacing w:val="42"/>
          <w:sz w:val="20"/>
        </w:rPr>
        <w:t> </w:t>
      </w:r>
      <w:r>
        <w:rPr>
          <w:sz w:val="20"/>
        </w:rPr>
        <w:t>HEIs</w:t>
      </w:r>
      <w:r>
        <w:rPr>
          <w:spacing w:val="39"/>
          <w:sz w:val="20"/>
        </w:rPr>
        <w:t> </w:t>
      </w:r>
      <w:r>
        <w:rPr>
          <w:sz w:val="20"/>
        </w:rPr>
        <w:t>to</w:t>
      </w:r>
      <w:r>
        <w:rPr>
          <w:spacing w:val="39"/>
          <w:sz w:val="20"/>
        </w:rPr>
        <w:t> </w:t>
      </w:r>
      <w:r>
        <w:rPr>
          <w:sz w:val="20"/>
        </w:rPr>
        <w:t>develop</w:t>
      </w:r>
      <w:r>
        <w:rPr>
          <w:spacing w:val="38"/>
          <w:sz w:val="20"/>
        </w:rPr>
        <w:t> </w:t>
      </w:r>
      <w:r>
        <w:rPr>
          <w:sz w:val="20"/>
        </w:rPr>
        <w:t>their</w:t>
      </w:r>
      <w:r>
        <w:rPr>
          <w:spacing w:val="39"/>
          <w:sz w:val="20"/>
        </w:rPr>
        <w:t> </w:t>
      </w:r>
      <w:r>
        <w:rPr>
          <w:sz w:val="20"/>
        </w:rPr>
        <w:t>own</w:t>
      </w:r>
      <w:r>
        <w:rPr>
          <w:spacing w:val="38"/>
          <w:sz w:val="20"/>
        </w:rPr>
        <w:t> </w:t>
      </w:r>
      <w:r>
        <w:rPr>
          <w:sz w:val="20"/>
        </w:rPr>
        <w:t>governance</w:t>
      </w:r>
      <w:r>
        <w:rPr>
          <w:spacing w:val="39"/>
          <w:sz w:val="20"/>
        </w:rPr>
        <w:t> </w:t>
      </w:r>
      <w:r>
        <w:rPr>
          <w:sz w:val="20"/>
        </w:rPr>
        <w:t>statutes</w:t>
      </w:r>
      <w:r>
        <w:rPr>
          <w:spacing w:val="39"/>
          <w:sz w:val="20"/>
        </w:rPr>
        <w:t> </w:t>
      </w:r>
      <w:r>
        <w:rPr>
          <w:sz w:val="20"/>
        </w:rPr>
        <w:t>and</w:t>
      </w:r>
      <w:r>
        <w:rPr>
          <w:spacing w:val="38"/>
          <w:sz w:val="20"/>
        </w:rPr>
        <w:t> </w:t>
      </w:r>
      <w:r>
        <w:rPr>
          <w:sz w:val="20"/>
        </w:rPr>
        <w:t>register</w:t>
      </w:r>
      <w:r>
        <w:rPr>
          <w:spacing w:val="42"/>
          <w:sz w:val="20"/>
        </w:rPr>
        <w:t> </w:t>
      </w:r>
      <w:r>
        <w:rPr>
          <w:sz w:val="20"/>
        </w:rPr>
        <w:t>these</w:t>
      </w:r>
      <w:r>
        <w:rPr>
          <w:spacing w:val="38"/>
          <w:sz w:val="20"/>
        </w:rPr>
        <w:t> </w:t>
      </w:r>
      <w:r>
        <w:rPr>
          <w:sz w:val="20"/>
        </w:rPr>
        <w:t>with</w:t>
      </w:r>
      <w:r>
        <w:rPr>
          <w:spacing w:val="38"/>
          <w:sz w:val="20"/>
        </w:rPr>
        <w:t> </w:t>
      </w:r>
      <w:r>
        <w:rPr>
          <w:sz w:val="20"/>
        </w:rPr>
        <w:t>the</w:t>
      </w:r>
      <w:r>
        <w:rPr>
          <w:spacing w:val="-52"/>
          <w:sz w:val="20"/>
        </w:rPr>
        <w:t> </w:t>
      </w:r>
      <w:r>
        <w:rPr>
          <w:sz w:val="20"/>
        </w:rPr>
        <w:t>Ministry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</w:p>
    <w:p>
      <w:pPr>
        <w:spacing w:after="0" w:line="266" w:lineRule="auto"/>
        <w:jc w:val="left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66" w:lineRule="auto" w:before="172" w:after="0"/>
        <w:ind w:left="862" w:right="309" w:hanging="339"/>
        <w:jc w:val="left"/>
        <w:rPr>
          <w:sz w:val="20"/>
        </w:rPr>
      </w:pPr>
      <w:r>
        <w:rPr>
          <w:sz w:val="20"/>
        </w:rPr>
        <w:t>authorise</w:t>
      </w:r>
      <w:r>
        <w:rPr>
          <w:spacing w:val="11"/>
          <w:sz w:val="20"/>
        </w:rPr>
        <w:t> </w:t>
      </w:r>
      <w:r>
        <w:rPr>
          <w:sz w:val="20"/>
        </w:rPr>
        <w:t>foreign</w:t>
      </w:r>
      <w:r>
        <w:rPr>
          <w:spacing w:val="14"/>
          <w:sz w:val="20"/>
        </w:rPr>
        <w:t> </w:t>
      </w:r>
      <w:r>
        <w:rPr>
          <w:sz w:val="20"/>
        </w:rPr>
        <w:t>HEIs</w:t>
      </w:r>
      <w:r>
        <w:rPr>
          <w:spacing w:val="12"/>
          <w:sz w:val="20"/>
        </w:rPr>
        <w:t> </w:t>
      </w:r>
      <w:r>
        <w:rPr>
          <w:sz w:val="20"/>
        </w:rPr>
        <w:t>to</w:t>
      </w:r>
      <w:r>
        <w:rPr>
          <w:spacing w:val="12"/>
          <w:sz w:val="20"/>
        </w:rPr>
        <w:t> </w:t>
      </w:r>
      <w:r>
        <w:rPr>
          <w:sz w:val="20"/>
        </w:rPr>
        <w:t>establish</w:t>
      </w:r>
      <w:r>
        <w:rPr>
          <w:spacing w:val="11"/>
          <w:sz w:val="20"/>
        </w:rPr>
        <w:t> </w:t>
      </w:r>
      <w:r>
        <w:rPr>
          <w:sz w:val="20"/>
        </w:rPr>
        <w:t>themselves</w:t>
      </w:r>
      <w:r>
        <w:rPr>
          <w:spacing w:val="16"/>
          <w:sz w:val="20"/>
        </w:rPr>
        <w:t> </w:t>
      </w:r>
      <w:r>
        <w:rPr>
          <w:sz w:val="20"/>
        </w:rPr>
        <w:t>in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Slovak</w:t>
      </w:r>
      <w:r>
        <w:rPr>
          <w:spacing w:val="5"/>
          <w:sz w:val="20"/>
        </w:rPr>
        <w:t> </w:t>
      </w:r>
      <w:r>
        <w:rPr>
          <w:sz w:val="20"/>
        </w:rPr>
        <w:t>Republic,</w:t>
      </w:r>
      <w:r>
        <w:rPr>
          <w:spacing w:val="15"/>
          <w:sz w:val="20"/>
        </w:rPr>
        <w:t> </w:t>
      </w:r>
      <w:r>
        <w:rPr>
          <w:sz w:val="20"/>
        </w:rPr>
        <w:t>within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legal</w:t>
      </w:r>
      <w:r>
        <w:rPr>
          <w:spacing w:val="11"/>
          <w:sz w:val="20"/>
        </w:rPr>
        <w:t> </w:t>
      </w:r>
      <w:r>
        <w:rPr>
          <w:sz w:val="20"/>
        </w:rPr>
        <w:t>framework</w:t>
      </w:r>
      <w:r>
        <w:rPr>
          <w:spacing w:val="-52"/>
          <w:sz w:val="20"/>
        </w:rPr>
        <w:t> </w:t>
      </w:r>
      <w:r>
        <w:rPr>
          <w:sz w:val="20"/>
        </w:rPr>
        <w:t>setting</w:t>
      </w:r>
      <w:r>
        <w:rPr>
          <w:spacing w:val="-2"/>
          <w:sz w:val="20"/>
        </w:rPr>
        <w:t> </w:t>
      </w:r>
      <w:r>
        <w:rPr>
          <w:sz w:val="20"/>
        </w:rPr>
        <w:t>minimum</w:t>
      </w:r>
      <w:r>
        <w:rPr>
          <w:spacing w:val="4"/>
          <w:sz w:val="20"/>
        </w:rPr>
        <w:t> </w:t>
      </w:r>
      <w:r>
        <w:rPr>
          <w:sz w:val="20"/>
        </w:rPr>
        <w:t>operating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quality</w:t>
      </w:r>
      <w:r>
        <w:rPr>
          <w:spacing w:val="-5"/>
          <w:sz w:val="20"/>
        </w:rPr>
        <w:t> </w:t>
      </w:r>
      <w:r>
        <w:rPr>
          <w:sz w:val="20"/>
        </w:rPr>
        <w:t>standards.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spacing w:line="266" w:lineRule="auto"/>
        <w:ind w:right="575"/>
      </w:pPr>
      <w:bookmarkStart w:name="Policy action 9. Create incentives for p" w:id="166"/>
      <w:bookmarkEnd w:id="166"/>
      <w:r>
        <w:rPr>
          <w:i w:val="0"/>
        </w:rPr>
      </w:r>
      <w:r>
        <w:rPr>
          <w:color w:val="616161"/>
        </w:rPr>
        <w:t>Policy action 9. Create incentives for public HEIs to adopt a new governance structure on</w:t>
      </w:r>
      <w:r>
        <w:rPr>
          <w:color w:val="616161"/>
          <w:spacing w:val="-59"/>
        </w:rPr>
        <w:t> </w:t>
      </w:r>
      <w:r>
        <w:rPr>
          <w:color w:val="616161"/>
        </w:rPr>
        <w:t>an</w:t>
      </w:r>
      <w:r>
        <w:rPr>
          <w:color w:val="616161"/>
          <w:spacing w:val="-1"/>
        </w:rPr>
        <w:t> </w:t>
      </w:r>
      <w:r>
        <w:rPr>
          <w:color w:val="616161"/>
        </w:rPr>
        <w:t>accelerated basis</w:t>
      </w:r>
    </w:p>
    <w:p>
      <w:pPr>
        <w:pStyle w:val="BodyText"/>
        <w:spacing w:line="271" w:lineRule="auto" w:before="189"/>
        <w:ind w:left="183" w:right="302"/>
        <w:jc w:val="both"/>
      </w:pPr>
      <w:r>
        <w:rPr/>
        <w:t>The heterogeneity of the Slovak higher education landscape, the diversity of views among stakeholders</w:t>
      </w:r>
      <w:r>
        <w:rPr>
          <w:spacing w:val="1"/>
        </w:rPr>
        <w:t> </w:t>
      </w:r>
      <w:r>
        <w:rPr/>
        <w:t>regarding the value of institutional governance changes, and the current and future reform processes in</w:t>
      </w:r>
      <w:r>
        <w:rPr>
          <w:spacing w:val="1"/>
        </w:rPr>
        <w:t> </w:t>
      </w:r>
      <w:r>
        <w:rPr/>
        <w:t>higher education call for a careful reform approach. Reforming governance mechanisms is a difficult task</w:t>
      </w:r>
      <w:r>
        <w:rPr>
          <w:spacing w:val="1"/>
        </w:rPr>
        <w:t> </w:t>
      </w:r>
      <w:r>
        <w:rPr/>
        <w:t>requiring an important investment in time and resources from the HEI on top of regular core activities and</w:t>
      </w:r>
      <w:r>
        <w:rPr>
          <w:spacing w:val="-53"/>
        </w:rPr>
        <w:t> </w:t>
      </w:r>
      <w:r>
        <w:rPr/>
        <w:t>of new activities that result from recent reforms, such as the engagement of HEIs in the creation of robust</w:t>
      </w:r>
      <w:r>
        <w:rPr>
          <w:spacing w:val="-54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line="271" w:lineRule="auto" w:before="121"/>
        <w:ind w:left="183" w:right="312"/>
        <w:jc w:val="both"/>
      </w:pPr>
      <w:r>
        <w:rPr/>
        <w:t>We</w:t>
      </w:r>
      <w:r>
        <w:rPr>
          <w:spacing w:val="-6"/>
        </w:rPr>
        <w:t> </w:t>
      </w:r>
      <w:r>
        <w:rPr/>
        <w:t>thus</w:t>
      </w:r>
      <w:r>
        <w:rPr>
          <w:spacing w:val="-3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MoE</w:t>
      </w:r>
      <w:r>
        <w:rPr>
          <w:spacing w:val="-3"/>
        </w:rPr>
        <w:t> </w:t>
      </w:r>
      <w:r>
        <w:rPr/>
        <w:t>incentivise</w:t>
      </w:r>
      <w:r>
        <w:rPr>
          <w:spacing w:val="-4"/>
        </w:rPr>
        <w:t> </w:t>
      </w:r>
      <w:r>
        <w:rPr/>
        <w:t>HEIs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adopt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governance</w:t>
      </w:r>
      <w:r>
        <w:rPr>
          <w:spacing w:val="-4"/>
        </w:rPr>
        <w:t> </w:t>
      </w:r>
      <w:r>
        <w:rPr/>
        <w:t>structure.</w:t>
      </w:r>
      <w:r>
        <w:rPr>
          <w:spacing w:val="-4"/>
        </w:rPr>
        <w:t> </w:t>
      </w:r>
      <w:r>
        <w:rPr/>
        <w:t>Interested</w:t>
      </w:r>
      <w:r>
        <w:rPr>
          <w:spacing w:val="-2"/>
        </w:rPr>
        <w:t> </w:t>
      </w:r>
      <w:r>
        <w:rPr/>
        <w:t>HEIs</w:t>
      </w:r>
      <w:r>
        <w:rPr>
          <w:spacing w:val="-53"/>
        </w:rPr>
        <w:t> </w:t>
      </w:r>
      <w:r>
        <w:rPr/>
        <w:t>would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68" w:lineRule="auto" w:before="99" w:after="0"/>
        <w:ind w:left="862" w:right="302" w:hanging="339"/>
        <w:jc w:val="left"/>
        <w:rPr>
          <w:sz w:val="20"/>
        </w:rPr>
      </w:pPr>
      <w:r>
        <w:rPr>
          <w:sz w:val="20"/>
        </w:rPr>
        <w:t>undertake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accelerated</w:t>
      </w:r>
      <w:r>
        <w:rPr>
          <w:spacing w:val="19"/>
          <w:sz w:val="20"/>
        </w:rPr>
        <w:t> </w:t>
      </w:r>
      <w:r>
        <w:rPr>
          <w:sz w:val="20"/>
        </w:rPr>
        <w:t>adoption,</w:t>
      </w:r>
      <w:r>
        <w:rPr>
          <w:spacing w:val="22"/>
          <w:sz w:val="20"/>
        </w:rPr>
        <w:t> </w:t>
      </w:r>
      <w:r>
        <w:rPr>
          <w:sz w:val="20"/>
        </w:rPr>
        <w:t>e.g.</w:t>
      </w:r>
      <w:r>
        <w:rPr>
          <w:spacing w:val="3"/>
          <w:sz w:val="20"/>
        </w:rPr>
        <w:t> </w:t>
      </w:r>
      <w:r>
        <w:rPr>
          <w:sz w:val="20"/>
        </w:rPr>
        <w:t>within</w:t>
      </w:r>
      <w:r>
        <w:rPr>
          <w:spacing w:val="19"/>
          <w:sz w:val="20"/>
        </w:rPr>
        <w:t> </w:t>
      </w:r>
      <w:r>
        <w:rPr>
          <w:sz w:val="20"/>
        </w:rPr>
        <w:t>eight</w:t>
      </w:r>
      <w:r>
        <w:rPr>
          <w:spacing w:val="20"/>
          <w:sz w:val="20"/>
        </w:rPr>
        <w:t> </w:t>
      </w:r>
      <w:r>
        <w:rPr>
          <w:sz w:val="20"/>
        </w:rPr>
        <w:t>months,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21"/>
          <w:sz w:val="20"/>
        </w:rPr>
        <w:t> </w:t>
      </w:r>
      <w:r>
        <w:rPr>
          <w:sz w:val="20"/>
        </w:rPr>
        <w:t>system-wide</w:t>
      </w:r>
      <w:r>
        <w:rPr>
          <w:spacing w:val="19"/>
          <w:sz w:val="20"/>
        </w:rPr>
        <w:t> </w:t>
      </w:r>
      <w:r>
        <w:rPr>
          <w:sz w:val="20"/>
        </w:rPr>
        <w:t>changes</w:t>
      </w:r>
      <w:r>
        <w:rPr>
          <w:spacing w:val="20"/>
          <w:sz w:val="20"/>
        </w:rPr>
        <w:t> </w:t>
      </w:r>
      <w:r>
        <w:rPr>
          <w:sz w:val="20"/>
        </w:rPr>
        <w:t>to</w:t>
      </w:r>
      <w:r>
        <w:rPr>
          <w:spacing w:val="-53"/>
          <w:sz w:val="20"/>
        </w:rPr>
        <w:t> </w:t>
      </w:r>
      <w:r>
        <w:rPr>
          <w:sz w:val="20"/>
        </w:rPr>
        <w:t>institutional</w:t>
      </w:r>
      <w:r>
        <w:rPr>
          <w:spacing w:val="-3"/>
          <w:sz w:val="20"/>
        </w:rPr>
        <w:t> </w:t>
      </w:r>
      <w:r>
        <w:rPr>
          <w:sz w:val="20"/>
        </w:rPr>
        <w:t>governance</w:t>
      </w:r>
      <w:r>
        <w:rPr>
          <w:spacing w:val="-1"/>
          <w:sz w:val="20"/>
        </w:rPr>
        <w:t> </w:t>
      </w:r>
      <w:r>
        <w:rPr>
          <w:sz w:val="20"/>
        </w:rPr>
        <w:t>proposed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Policy</w:t>
      </w:r>
      <w:r>
        <w:rPr>
          <w:spacing w:val="-4"/>
          <w:sz w:val="20"/>
        </w:rPr>
        <w:t> </w:t>
      </w:r>
      <w:r>
        <w:rPr>
          <w:sz w:val="20"/>
        </w:rPr>
        <w:t>action</w:t>
      </w:r>
      <w:r>
        <w:rPr>
          <w:spacing w:val="5"/>
          <w:sz w:val="20"/>
        </w:rPr>
        <w:t> </w:t>
      </w:r>
      <w:r>
        <w:rPr>
          <w:sz w:val="20"/>
        </w:rPr>
        <w:t>8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66" w:lineRule="auto" w:before="48" w:after="0"/>
        <w:ind w:left="862" w:right="301" w:hanging="339"/>
        <w:jc w:val="left"/>
        <w:rPr>
          <w:sz w:val="20"/>
        </w:rPr>
      </w:pPr>
      <w:r>
        <w:rPr>
          <w:sz w:val="20"/>
        </w:rPr>
        <w:t>establish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simplified</w:t>
      </w:r>
      <w:r>
        <w:rPr>
          <w:spacing w:val="-6"/>
          <w:sz w:val="20"/>
        </w:rPr>
        <w:t> </w:t>
      </w:r>
      <w:r>
        <w:rPr>
          <w:sz w:val="20"/>
        </w:rPr>
        <w:t>governance</w:t>
      </w:r>
      <w:r>
        <w:rPr>
          <w:spacing w:val="-5"/>
          <w:sz w:val="20"/>
        </w:rPr>
        <w:t> </w:t>
      </w:r>
      <w:r>
        <w:rPr>
          <w:sz w:val="20"/>
        </w:rPr>
        <w:t>model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three</w:t>
      </w:r>
      <w:r>
        <w:rPr>
          <w:spacing w:val="-5"/>
          <w:sz w:val="20"/>
        </w:rPr>
        <w:t> </w:t>
      </w:r>
      <w:r>
        <w:rPr>
          <w:sz w:val="20"/>
        </w:rPr>
        <w:t>institutional-level</w:t>
      </w:r>
      <w:r>
        <w:rPr>
          <w:spacing w:val="-5"/>
          <w:sz w:val="20"/>
        </w:rPr>
        <w:t> </w:t>
      </w:r>
      <w:r>
        <w:rPr>
          <w:sz w:val="20"/>
        </w:rPr>
        <w:t>governing</w:t>
      </w:r>
      <w:r>
        <w:rPr>
          <w:spacing w:val="-6"/>
          <w:sz w:val="20"/>
        </w:rPr>
        <w:t> </w:t>
      </w:r>
      <w:r>
        <w:rPr>
          <w:sz w:val="20"/>
        </w:rPr>
        <w:t>bodies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clearly</w:t>
      </w:r>
      <w:r>
        <w:rPr>
          <w:spacing w:val="-53"/>
          <w:sz w:val="20"/>
        </w:rPr>
        <w:t> </w:t>
      </w:r>
      <w:r>
        <w:rPr>
          <w:sz w:val="20"/>
        </w:rPr>
        <w:t>delineated</w:t>
      </w:r>
      <w:r>
        <w:rPr>
          <w:spacing w:val="-2"/>
          <w:sz w:val="20"/>
        </w:rPr>
        <w:t> </w:t>
      </w:r>
      <w:r>
        <w:rPr>
          <w:sz w:val="20"/>
        </w:rPr>
        <w:t>roles</w:t>
      </w:r>
    </w:p>
    <w:p>
      <w:pPr>
        <w:pStyle w:val="ListParagraph"/>
        <w:numPr>
          <w:ilvl w:val="2"/>
          <w:numId w:val="12"/>
        </w:numPr>
        <w:tabs>
          <w:tab w:pos="862" w:val="left" w:leader="none"/>
          <w:tab w:pos="863" w:val="left" w:leader="none"/>
        </w:tabs>
        <w:spacing w:line="266" w:lineRule="auto" w:before="54" w:after="0"/>
        <w:ind w:left="862" w:right="304" w:hanging="339"/>
        <w:jc w:val="left"/>
        <w:rPr>
          <w:sz w:val="20"/>
        </w:rPr>
      </w:pPr>
      <w:r>
        <w:rPr>
          <w:sz w:val="20"/>
        </w:rPr>
        <w:t>report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benefits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challenge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implementation</w:t>
      </w:r>
      <w:r>
        <w:rPr>
          <w:spacing w:val="-4"/>
          <w:sz w:val="20"/>
        </w:rPr>
        <w:t> </w:t>
      </w:r>
      <w:r>
        <w:rPr>
          <w:sz w:val="20"/>
        </w:rPr>
        <w:t>within</w:t>
      </w:r>
      <w:r>
        <w:rPr>
          <w:spacing w:val="-4"/>
          <w:sz w:val="20"/>
        </w:rPr>
        <w:t> </w:t>
      </w:r>
      <w:r>
        <w:rPr>
          <w:sz w:val="20"/>
        </w:rPr>
        <w:t>12</w:t>
      </w:r>
      <w:r>
        <w:rPr>
          <w:spacing w:val="-3"/>
          <w:sz w:val="20"/>
        </w:rPr>
        <w:t> </w:t>
      </w:r>
      <w:r>
        <w:rPr>
          <w:sz w:val="20"/>
        </w:rPr>
        <w:t>months,</w:t>
      </w:r>
      <w:r>
        <w:rPr>
          <w:spacing w:val="-4"/>
          <w:sz w:val="20"/>
        </w:rPr>
        <w:t> </w:t>
      </w:r>
      <w:r>
        <w:rPr>
          <w:sz w:val="20"/>
        </w:rPr>
        <w:t>so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7"/>
          <w:sz w:val="20"/>
        </w:rPr>
        <w:t> </w:t>
      </w:r>
      <w:r>
        <w:rPr>
          <w:sz w:val="20"/>
        </w:rPr>
        <w:t>inform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53"/>
          <w:sz w:val="20"/>
        </w:rPr>
        <w:t> </w:t>
      </w:r>
      <w:r>
        <w:rPr>
          <w:sz w:val="20"/>
        </w:rPr>
        <w:t>governance</w:t>
      </w:r>
      <w:r>
        <w:rPr>
          <w:spacing w:val="-3"/>
          <w:sz w:val="20"/>
        </w:rPr>
        <w:t> </w:t>
      </w:r>
      <w:r>
        <w:rPr>
          <w:sz w:val="20"/>
        </w:rPr>
        <w:t>reforms</w:t>
      </w:r>
      <w:r>
        <w:rPr>
          <w:spacing w:val="-2"/>
          <w:sz w:val="20"/>
        </w:rPr>
        <w:t> </w:t>
      </w:r>
      <w:r>
        <w:rPr>
          <w:sz w:val="20"/>
        </w:rPr>
        <w:t>undertaken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other Slovak HEIs,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recommended</w:t>
      </w:r>
      <w:r>
        <w:rPr>
          <w:spacing w:val="-3"/>
          <w:sz w:val="20"/>
        </w:rPr>
        <w:t> </w:t>
      </w:r>
      <w:r>
        <w:rPr>
          <w:sz w:val="20"/>
        </w:rPr>
        <w:t>in Policy</w:t>
      </w:r>
      <w:r>
        <w:rPr>
          <w:spacing w:val="-4"/>
          <w:sz w:val="20"/>
        </w:rPr>
        <w:t> </w:t>
      </w:r>
      <w:r>
        <w:rPr>
          <w:sz w:val="20"/>
        </w:rPr>
        <w:t>action</w:t>
      </w:r>
      <w:r>
        <w:rPr>
          <w:spacing w:val="5"/>
          <w:sz w:val="20"/>
        </w:rPr>
        <w:t> </w:t>
      </w:r>
      <w:r>
        <w:rPr>
          <w:sz w:val="20"/>
        </w:rPr>
        <w:t>8.</w:t>
      </w:r>
    </w:p>
    <w:p>
      <w:pPr>
        <w:pStyle w:val="BodyText"/>
        <w:spacing w:before="132"/>
        <w:ind w:left="183"/>
        <w:jc w:val="both"/>
      </w:pPr>
      <w:r>
        <w:rPr/>
        <w:t>To</w:t>
      </w:r>
      <w:r>
        <w:rPr>
          <w:spacing w:val="-4"/>
        </w:rPr>
        <w:t> </w:t>
      </w:r>
      <w:r>
        <w:rPr/>
        <w:t>incentivise</w:t>
      </w:r>
      <w:r>
        <w:rPr>
          <w:spacing w:val="-4"/>
        </w:rPr>
        <w:t> </w:t>
      </w:r>
      <w:r>
        <w:rPr/>
        <w:t>this,</w:t>
      </w:r>
      <w:r>
        <w:rPr>
          <w:spacing w:val="-4"/>
        </w:rPr>
        <w:t> </w:t>
      </w:r>
      <w:r>
        <w:rPr/>
        <w:t>MoE</w:t>
      </w:r>
      <w:r>
        <w:rPr>
          <w:spacing w:val="-4"/>
        </w:rPr>
        <w:t> </w:t>
      </w:r>
      <w:r>
        <w:rPr/>
        <w:t>support</w:t>
      </w:r>
      <w:r>
        <w:rPr>
          <w:spacing w:val="-1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interested</w:t>
      </w:r>
      <w:r>
        <w:rPr>
          <w:spacing w:val="-5"/>
        </w:rPr>
        <w:t> </w:t>
      </w:r>
      <w:r>
        <w:rPr/>
        <w:t>HEIs,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form</w:t>
      </w:r>
      <w:r>
        <w:rPr>
          <w:spacing w:val="-1"/>
        </w:rPr>
        <w:t> </w:t>
      </w:r>
      <w:r>
        <w:rPr/>
        <w:t>of: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40" w:lineRule="auto" w:before="131" w:after="0"/>
        <w:ind w:left="862" w:right="0" w:hanging="339"/>
        <w:jc w:val="both"/>
        <w:rPr>
          <w:sz w:val="20"/>
        </w:rPr>
      </w:pPr>
      <w:r>
        <w:rPr>
          <w:sz w:val="20"/>
        </w:rPr>
        <w:t>One-time</w:t>
      </w:r>
      <w:r>
        <w:rPr>
          <w:spacing w:val="-5"/>
          <w:sz w:val="20"/>
        </w:rPr>
        <w:t> </w:t>
      </w:r>
      <w:r>
        <w:rPr>
          <w:sz w:val="20"/>
        </w:rPr>
        <w:t>additional</w:t>
      </w:r>
      <w:r>
        <w:rPr>
          <w:spacing w:val="-6"/>
          <w:sz w:val="20"/>
        </w:rPr>
        <w:t> </w:t>
      </w:r>
      <w:r>
        <w:rPr>
          <w:sz w:val="20"/>
        </w:rPr>
        <w:t>funding.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74" w:after="0"/>
        <w:ind w:left="862" w:right="304" w:hanging="339"/>
        <w:jc w:val="both"/>
        <w:rPr>
          <w:sz w:val="20"/>
        </w:rPr>
      </w:pPr>
      <w:r>
        <w:rPr>
          <w:sz w:val="20"/>
        </w:rPr>
        <w:t>Expanded financial flexibilities of HEIs, provided the interested HEIs demonstrate sound financial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management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practices.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These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would</w:t>
      </w:r>
      <w:r>
        <w:rPr>
          <w:spacing w:val="-11"/>
          <w:sz w:val="20"/>
        </w:rPr>
        <w:t> </w:t>
      </w:r>
      <w:r>
        <w:rPr>
          <w:sz w:val="20"/>
        </w:rPr>
        <w:t>build</w:t>
      </w:r>
      <w:r>
        <w:rPr>
          <w:spacing w:val="-10"/>
          <w:sz w:val="20"/>
        </w:rPr>
        <w:t> </w:t>
      </w:r>
      <w:r>
        <w:rPr>
          <w:sz w:val="20"/>
        </w:rPr>
        <w:t>on</w:t>
      </w:r>
      <w:r>
        <w:rPr>
          <w:spacing w:val="-11"/>
          <w:sz w:val="20"/>
        </w:rPr>
        <w:t> </w:t>
      </w:r>
      <w:r>
        <w:rPr>
          <w:sz w:val="20"/>
        </w:rPr>
        <w:t>existing</w:t>
      </w:r>
      <w:r>
        <w:rPr>
          <w:spacing w:val="-13"/>
          <w:sz w:val="20"/>
        </w:rPr>
        <w:t> </w:t>
      </w:r>
      <w:r>
        <w:rPr>
          <w:sz w:val="20"/>
        </w:rPr>
        <w:t>flexibilities</w:t>
      </w:r>
      <w:r>
        <w:rPr>
          <w:spacing w:val="-12"/>
          <w:sz w:val="20"/>
        </w:rPr>
        <w:t> </w:t>
      </w:r>
      <w:r>
        <w:rPr>
          <w:sz w:val="20"/>
        </w:rPr>
        <w:t>available</w:t>
      </w:r>
      <w:r>
        <w:rPr>
          <w:spacing w:val="-13"/>
          <w:sz w:val="20"/>
        </w:rPr>
        <w:t> </w:t>
      </w:r>
      <w:r>
        <w:rPr>
          <w:sz w:val="20"/>
        </w:rPr>
        <w:t>to</w:t>
      </w:r>
      <w:r>
        <w:rPr>
          <w:spacing w:val="-12"/>
          <w:sz w:val="20"/>
        </w:rPr>
        <w:t> </w:t>
      </w:r>
      <w:r>
        <w:rPr>
          <w:sz w:val="20"/>
        </w:rPr>
        <w:t>all</w:t>
      </w:r>
      <w:r>
        <w:rPr>
          <w:spacing w:val="-11"/>
          <w:sz w:val="20"/>
        </w:rPr>
        <w:t> </w:t>
      </w:r>
      <w:r>
        <w:rPr>
          <w:sz w:val="20"/>
        </w:rPr>
        <w:t>Slovak</w:t>
      </w:r>
      <w:r>
        <w:rPr>
          <w:spacing w:val="-9"/>
          <w:sz w:val="20"/>
        </w:rPr>
        <w:t> </w:t>
      </w:r>
      <w:r>
        <w:rPr>
          <w:sz w:val="20"/>
        </w:rPr>
        <w:t>HEIs</w:t>
      </w:r>
      <w:r>
        <w:rPr>
          <w:spacing w:val="-12"/>
          <w:sz w:val="20"/>
        </w:rPr>
        <w:t> </w:t>
      </w:r>
      <w:r>
        <w:rPr>
          <w:sz w:val="20"/>
        </w:rPr>
        <w:t>(such</w:t>
      </w:r>
      <w:r>
        <w:rPr>
          <w:spacing w:val="1"/>
          <w:sz w:val="20"/>
        </w:rPr>
        <w:t> </w:t>
      </w:r>
      <w:r>
        <w:rPr>
          <w:sz w:val="20"/>
        </w:rPr>
        <w:t>as increasing staff compensation beyond levels established in the MoE grid) and could involve a</w:t>
      </w:r>
      <w:r>
        <w:rPr>
          <w:spacing w:val="1"/>
          <w:sz w:val="20"/>
        </w:rPr>
        <w:t> </w:t>
      </w:r>
      <w:r>
        <w:rPr>
          <w:sz w:val="20"/>
        </w:rPr>
        <w:t>range of areas</w:t>
      </w:r>
      <w:r>
        <w:rPr>
          <w:spacing w:val="1"/>
          <w:sz w:val="20"/>
        </w:rPr>
        <w:t> </w:t>
      </w:r>
      <w:r>
        <w:rPr>
          <w:sz w:val="20"/>
        </w:rPr>
        <w:t>– such as</w:t>
      </w:r>
      <w:r>
        <w:rPr>
          <w:spacing w:val="1"/>
          <w:sz w:val="20"/>
        </w:rPr>
        <w:t> </w:t>
      </w:r>
      <w:r>
        <w:rPr>
          <w:sz w:val="20"/>
        </w:rPr>
        <w:t>those considered in Portugal’s foundation status</w:t>
      </w:r>
      <w:r>
        <w:rPr>
          <w:spacing w:val="1"/>
          <w:sz w:val="20"/>
        </w:rPr>
        <w:t> </w:t>
      </w:r>
      <w:r>
        <w:rPr>
          <w:sz w:val="20"/>
        </w:rPr>
        <w:t>(Government of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Portugal,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2007</w:t>
      </w:r>
      <w:r>
        <w:rPr>
          <w:sz w:val="13"/>
        </w:rPr>
        <w:t>[73]</w:t>
      </w:r>
      <w:r>
        <w:rPr>
          <w:position w:val="1"/>
          <w:sz w:val="20"/>
        </w:rPr>
        <w:t>)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presented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in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detailed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case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study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in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Annex</w:t>
      </w:r>
      <w:r>
        <w:rPr>
          <w:spacing w:val="7"/>
          <w:position w:val="1"/>
          <w:sz w:val="20"/>
        </w:rPr>
        <w:t> </w:t>
      </w:r>
      <w:r>
        <w:rPr>
          <w:position w:val="1"/>
          <w:sz w:val="20"/>
        </w:rPr>
        <w:t>A.</w:t>
      </w:r>
    </w:p>
    <w:p>
      <w:pPr>
        <w:pStyle w:val="BodyText"/>
        <w:spacing w:before="4"/>
      </w:pPr>
    </w:p>
    <w:p>
      <w:pPr>
        <w:pStyle w:val="Heading7"/>
        <w:spacing w:line="266" w:lineRule="auto"/>
        <w:ind w:right="759"/>
      </w:pPr>
      <w:bookmarkStart w:name="Policy action 10. Establish appropriate " w:id="167"/>
      <w:bookmarkEnd w:id="167"/>
      <w:r>
        <w:rPr>
          <w:i w:val="0"/>
        </w:rPr>
      </w:r>
      <w:r>
        <w:rPr>
          <w:color w:val="616161"/>
        </w:rPr>
        <w:t>Policy action 10. Establish appropriate supports to foster best practice in HEI governing</w:t>
      </w:r>
      <w:r>
        <w:rPr>
          <w:color w:val="616161"/>
          <w:spacing w:val="-59"/>
        </w:rPr>
        <w:t> </w:t>
      </w:r>
      <w:r>
        <w:rPr>
          <w:color w:val="616161"/>
        </w:rPr>
        <w:t>bodies</w:t>
      </w:r>
    </w:p>
    <w:p>
      <w:pPr>
        <w:pStyle w:val="BodyText"/>
        <w:spacing w:line="271" w:lineRule="auto" w:before="189"/>
        <w:ind w:left="183" w:right="301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shift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responsive</w:t>
      </w:r>
      <w:r>
        <w:rPr>
          <w:spacing w:val="-13"/>
        </w:rPr>
        <w:t> </w:t>
      </w:r>
      <w:r>
        <w:rPr>
          <w:spacing w:val="-1"/>
        </w:rPr>
        <w:t>form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institutional</w:t>
      </w:r>
      <w:r>
        <w:rPr>
          <w:spacing w:val="-13"/>
        </w:rPr>
        <w:t> </w:t>
      </w:r>
      <w:r>
        <w:rPr/>
        <w:t>governance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requires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 governing bodies to take on different and potentially expanded roles in clearly delineated areas of</w:t>
      </w:r>
      <w:r>
        <w:rPr>
          <w:spacing w:val="1"/>
        </w:rPr>
        <w:t> </w:t>
      </w:r>
      <w:r>
        <w:rPr/>
        <w:t>responsibilities. Increasing the role of the BoT in setting the strategic vision for the HEI and monitoring its</w:t>
      </w:r>
      <w:r>
        <w:rPr>
          <w:spacing w:val="-53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– through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 –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BoT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responsibilities they did not hold previously. Rectors, if they are to become accountable to the BoT and</w:t>
      </w:r>
      <w:r>
        <w:rPr>
          <w:spacing w:val="1"/>
        </w:rPr>
        <w:t> </w:t>
      </w:r>
      <w:r>
        <w:rPr/>
        <w:t>take on a greater role in the strategic management of the HEI’s financial and human resources, will also</w:t>
      </w:r>
      <w:r>
        <w:rPr>
          <w:spacing w:val="1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shift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their</w:t>
      </w:r>
      <w:r>
        <w:rPr>
          <w:spacing w:val="-6"/>
        </w:rPr>
        <w:t> </w:t>
      </w:r>
      <w:r>
        <w:rPr/>
        <w:t>tasks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relationships</w:t>
      </w:r>
      <w:r>
        <w:rPr>
          <w:spacing w:val="-2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governing</w:t>
      </w:r>
      <w:r>
        <w:rPr>
          <w:spacing w:val="-7"/>
        </w:rPr>
        <w:t> </w:t>
      </w:r>
      <w:r>
        <w:rPr/>
        <w:t>body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HEI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BoT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the academic body of the HEI – the senate or equivalent body. The academic body, for its part, has a</w:t>
      </w:r>
      <w:r>
        <w:rPr>
          <w:spacing w:val="1"/>
        </w:rPr>
        <w:t> </w:t>
      </w:r>
      <w:r>
        <w:rPr/>
        <w:t>crucial role to play in assuring and improving the academic standards of the HEI, particularly as the</w:t>
      </w:r>
      <w:r>
        <w:rPr>
          <w:spacing w:val="1"/>
        </w:rPr>
        <w:t> </w:t>
      </w:r>
      <w:r>
        <w:rPr/>
        <w:t>Slovak</w:t>
      </w:r>
      <w:r>
        <w:rPr>
          <w:spacing w:val="-2"/>
        </w:rPr>
        <w:t> </w:t>
      </w:r>
      <w:r>
        <w:rPr/>
        <w:t>Republic</w:t>
      </w:r>
      <w:r>
        <w:rPr>
          <w:spacing w:val="-8"/>
        </w:rPr>
        <w:t> </w:t>
      </w:r>
      <w:r>
        <w:rPr/>
        <w:t>moves</w:t>
      </w:r>
      <w:r>
        <w:rPr>
          <w:spacing w:val="-9"/>
        </w:rPr>
        <w:t> </w:t>
      </w:r>
      <w:r>
        <w:rPr/>
        <w:t>forward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assurance</w:t>
      </w:r>
      <w:r>
        <w:rPr>
          <w:spacing w:val="-9"/>
        </w:rPr>
        <w:t> </w:t>
      </w:r>
      <w:r>
        <w:rPr/>
        <w:t>system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places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responsibility</w:t>
      </w:r>
      <w:r>
        <w:rPr>
          <w:spacing w:val="-12"/>
        </w:rPr>
        <w:t> </w:t>
      </w:r>
      <w:r>
        <w:rPr/>
        <w:t>for</w:t>
      </w:r>
      <w:r>
        <w:rPr>
          <w:spacing w:val="-7"/>
        </w:rPr>
        <w:t> </w:t>
      </w:r>
      <w:r>
        <w:rPr/>
        <w:t>assuring</w:t>
      </w:r>
      <w:r>
        <w:rPr>
          <w:spacing w:val="1"/>
        </w:rPr>
        <w:t> </w:t>
      </w:r>
      <w:r>
        <w:rPr/>
        <w:t>and improving quality on HEIs themselves, through their development of sound internal quality assurance</w:t>
      </w:r>
      <w:r>
        <w:rPr>
          <w:spacing w:val="-54"/>
        </w:rPr>
        <w:t> </w:t>
      </w:r>
      <w:r>
        <w:rPr/>
        <w:t>systems.</w:t>
      </w:r>
    </w:p>
    <w:p>
      <w:pPr>
        <w:pStyle w:val="BodyText"/>
        <w:spacing w:line="271" w:lineRule="auto" w:before="122"/>
        <w:ind w:left="183" w:right="307"/>
        <w:jc w:val="both"/>
      </w:pPr>
      <w:r>
        <w:rPr/>
        <w:t>While legislation and government regulation set key parameters, and funding incentives are key to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Slovak Republic’s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to perform</w:t>
      </w:r>
      <w:r>
        <w:rPr>
          <w:spacing w:val="4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responsibilities.</w:t>
      </w:r>
    </w:p>
    <w:p>
      <w:pPr>
        <w:pStyle w:val="BodyText"/>
        <w:spacing w:line="271" w:lineRule="auto" w:before="120"/>
        <w:ind w:left="183" w:right="304"/>
        <w:jc w:val="both"/>
      </w:pPr>
      <w:r>
        <w:rPr/>
        <w:t>This would include collaboration between the MoE and the Higher Education Task Force (see Policy</w:t>
      </w:r>
      <w:r>
        <w:rPr>
          <w:spacing w:val="1"/>
        </w:rPr>
        <w:t> </w:t>
      </w:r>
      <w:r>
        <w:rPr/>
        <w:t>action 1),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supports:</w:t>
      </w:r>
    </w:p>
    <w:p>
      <w:pPr>
        <w:spacing w:after="0" w:line="271" w:lineRule="auto"/>
        <w:jc w:val="both"/>
        <w:sectPr>
          <w:pgSz w:w="11910" w:h="15880"/>
          <w:pgMar w:header="734" w:footer="731" w:top="1140" w:bottom="920" w:left="1120" w:right="1000"/>
        </w:sectPr>
      </w:pP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172" w:after="0"/>
        <w:ind w:left="862" w:right="302" w:hanging="339"/>
        <w:jc w:val="both"/>
        <w:rPr>
          <w:sz w:val="20"/>
        </w:rPr>
      </w:pPr>
      <w:r>
        <w:rPr>
          <w:sz w:val="20"/>
        </w:rPr>
        <w:t>Fund the development of guidelines for practitioners to understand how to effectively perform</w:t>
      </w:r>
      <w:r>
        <w:rPr>
          <w:spacing w:val="1"/>
          <w:sz w:val="20"/>
        </w:rPr>
        <w:t> </w:t>
      </w:r>
      <w:r>
        <w:rPr>
          <w:sz w:val="20"/>
        </w:rPr>
        <w:t>governing</w:t>
      </w:r>
      <w:r>
        <w:rPr>
          <w:spacing w:val="-8"/>
          <w:sz w:val="20"/>
        </w:rPr>
        <w:t> </w:t>
      </w:r>
      <w:r>
        <w:rPr>
          <w:sz w:val="20"/>
        </w:rPr>
        <w:t>body</w:t>
      </w:r>
      <w:r>
        <w:rPr>
          <w:spacing w:val="-10"/>
          <w:sz w:val="20"/>
        </w:rPr>
        <w:t> </w:t>
      </w:r>
      <w:r>
        <w:rPr>
          <w:sz w:val="20"/>
        </w:rPr>
        <w:t>responsibility.</w:t>
      </w:r>
      <w:r>
        <w:rPr>
          <w:spacing w:val="-7"/>
          <w:sz w:val="20"/>
        </w:rPr>
        <w:t> </w:t>
      </w:r>
      <w:r>
        <w:rPr>
          <w:sz w:val="20"/>
        </w:rPr>
        <w:t>This</w:t>
      </w:r>
      <w:r>
        <w:rPr>
          <w:spacing w:val="-9"/>
          <w:sz w:val="20"/>
        </w:rPr>
        <w:t> </w:t>
      </w:r>
      <w:r>
        <w:rPr>
          <w:sz w:val="20"/>
        </w:rPr>
        <w:t>could</w:t>
      </w:r>
      <w:r>
        <w:rPr>
          <w:spacing w:val="-7"/>
          <w:sz w:val="20"/>
        </w:rPr>
        <w:t> </w:t>
      </w:r>
      <w:r>
        <w:rPr>
          <w:sz w:val="20"/>
        </w:rPr>
        <w:t>involve</w:t>
      </w:r>
      <w:r>
        <w:rPr>
          <w:spacing w:val="-8"/>
          <w:sz w:val="20"/>
        </w:rPr>
        <w:t> </w:t>
      </w:r>
      <w:r>
        <w:rPr>
          <w:sz w:val="20"/>
        </w:rPr>
        <w:t>work</w:t>
      </w:r>
      <w:r>
        <w:rPr>
          <w:spacing w:val="-5"/>
          <w:sz w:val="20"/>
        </w:rPr>
        <w:t> </w:t>
      </w:r>
      <w:r>
        <w:rPr>
          <w:sz w:val="20"/>
        </w:rPr>
        <w:t>performed</w:t>
      </w:r>
      <w:r>
        <w:rPr>
          <w:spacing w:val="-9"/>
          <w:sz w:val="20"/>
        </w:rPr>
        <w:t> </w:t>
      </w:r>
      <w:r>
        <w:rPr>
          <w:sz w:val="20"/>
        </w:rPr>
        <w:t>by</w:t>
      </w:r>
      <w:r>
        <w:rPr>
          <w:spacing w:val="-11"/>
          <w:sz w:val="20"/>
        </w:rPr>
        <w:t> </w:t>
      </w:r>
      <w:r>
        <w:rPr>
          <w:sz w:val="20"/>
        </w:rPr>
        <w:t>groupings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HEIs,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8"/>
          <w:sz w:val="20"/>
        </w:rPr>
        <w:t> </w:t>
      </w:r>
      <w:r>
        <w:rPr>
          <w:sz w:val="20"/>
        </w:rPr>
        <w:t>done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England, Wales and Northern Ireland (United Kingdom), for instance (Committee of University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Chairmen,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2001</w:t>
      </w:r>
      <w:r>
        <w:rPr>
          <w:sz w:val="13"/>
        </w:rPr>
        <w:t>[74]</w:t>
      </w:r>
      <w:r>
        <w:rPr>
          <w:position w:val="1"/>
          <w:sz w:val="20"/>
        </w:rPr>
        <w:t>).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It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could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also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involve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provision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of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funding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to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bodies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with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expertise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in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higher</w:t>
      </w:r>
      <w:r>
        <w:rPr>
          <w:spacing w:val="1"/>
          <w:position w:val="1"/>
          <w:sz w:val="20"/>
        </w:rPr>
        <w:t> </w:t>
      </w:r>
      <w:r>
        <w:rPr>
          <w:sz w:val="20"/>
        </w:rPr>
        <w:t>education to undertake such work of benefit to the while higher education system, as done, for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instance,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United</w:t>
      </w:r>
      <w:r>
        <w:rPr>
          <w:spacing w:val="2"/>
          <w:sz w:val="20"/>
        </w:rPr>
        <w:t> </w:t>
      </w:r>
      <w:r>
        <w:rPr>
          <w:spacing w:val="-1"/>
          <w:sz w:val="20"/>
        </w:rPr>
        <w:t>Kingdom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by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Leadership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Foundation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Higher</w:t>
      </w:r>
      <w:r>
        <w:rPr>
          <w:spacing w:val="-7"/>
          <w:sz w:val="20"/>
        </w:rPr>
        <w:t> </w:t>
      </w:r>
      <w:r>
        <w:rPr>
          <w:sz w:val="20"/>
        </w:rPr>
        <w:t>Education,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partnership</w:t>
      </w:r>
      <w:r>
        <w:rPr>
          <w:spacing w:val="1"/>
          <w:sz w:val="20"/>
        </w:rPr>
        <w:t> </w:t>
      </w:r>
      <w:r>
        <w:rPr>
          <w:sz w:val="20"/>
        </w:rPr>
        <w:t>with a funding body for higher education (Higher Education Funding Council for England, now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Office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for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Students,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see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(Leadership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Foundation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for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Higher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Education,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2017</w:t>
      </w:r>
      <w:r>
        <w:rPr>
          <w:sz w:val="13"/>
        </w:rPr>
        <w:t>[77]</w:t>
      </w:r>
      <w:r>
        <w:rPr>
          <w:position w:val="1"/>
          <w:sz w:val="20"/>
        </w:rPr>
        <w:t>)).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Fund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1"/>
          <w:position w:val="1"/>
          <w:sz w:val="20"/>
        </w:rPr>
        <w:t> </w:t>
      </w:r>
      <w:r>
        <w:rPr>
          <w:sz w:val="20"/>
        </w:rPr>
        <w:t>development training programmes for individuals in governance and management positions in</w:t>
      </w:r>
      <w:r>
        <w:rPr>
          <w:spacing w:val="1"/>
          <w:sz w:val="20"/>
        </w:rPr>
        <w:t> </w:t>
      </w:r>
      <w:r>
        <w:rPr>
          <w:sz w:val="20"/>
        </w:rPr>
        <w:t>HEIs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assist</w:t>
      </w:r>
      <w:r>
        <w:rPr>
          <w:spacing w:val="-2"/>
          <w:sz w:val="20"/>
        </w:rPr>
        <w:t> </w:t>
      </w:r>
      <w:r>
        <w:rPr>
          <w:sz w:val="20"/>
        </w:rPr>
        <w:t>them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putting</w:t>
      </w:r>
      <w:r>
        <w:rPr>
          <w:spacing w:val="-2"/>
          <w:sz w:val="20"/>
        </w:rPr>
        <w:t> </w:t>
      </w:r>
      <w:r>
        <w:rPr>
          <w:sz w:val="20"/>
        </w:rPr>
        <w:t>guidelines</w:t>
      </w:r>
      <w:r>
        <w:rPr>
          <w:spacing w:val="1"/>
          <w:sz w:val="20"/>
        </w:rPr>
        <w:t> </w:t>
      </w:r>
      <w:r>
        <w:rPr>
          <w:sz w:val="20"/>
        </w:rPr>
        <w:t>into</w:t>
      </w:r>
      <w:r>
        <w:rPr>
          <w:spacing w:val="-1"/>
          <w:sz w:val="20"/>
        </w:rPr>
        <w:t> </w:t>
      </w:r>
      <w:r>
        <w:rPr>
          <w:sz w:val="20"/>
        </w:rPr>
        <w:t>practice.</w:t>
      </w:r>
    </w:p>
    <w:p>
      <w:pPr>
        <w:pStyle w:val="ListParagraph"/>
        <w:numPr>
          <w:ilvl w:val="2"/>
          <w:numId w:val="12"/>
        </w:numPr>
        <w:tabs>
          <w:tab w:pos="863" w:val="left" w:leader="none"/>
        </w:tabs>
        <w:spacing w:line="271" w:lineRule="auto" w:before="43" w:after="0"/>
        <w:ind w:left="862" w:right="304" w:hanging="339"/>
        <w:jc w:val="both"/>
        <w:rPr>
          <w:sz w:val="20"/>
        </w:rPr>
      </w:pPr>
      <w:r>
        <w:rPr>
          <w:sz w:val="20"/>
        </w:rPr>
        <w:t>Recommend HEIs dedicate funding to the creation of adequate supports for all governing bodies,</w:t>
      </w:r>
      <w:r>
        <w:rPr>
          <w:spacing w:val="-53"/>
          <w:sz w:val="20"/>
        </w:rPr>
        <w:t> </w:t>
      </w:r>
      <w:r>
        <w:rPr>
          <w:sz w:val="20"/>
        </w:rPr>
        <w:t>including</w:t>
      </w:r>
      <w:r>
        <w:rPr>
          <w:spacing w:val="1"/>
          <w:sz w:val="20"/>
        </w:rPr>
        <w:t> </w:t>
      </w:r>
      <w:r>
        <w:rPr>
          <w:sz w:val="20"/>
        </w:rPr>
        <w:t>professional</w:t>
      </w:r>
      <w:r>
        <w:rPr>
          <w:spacing w:val="1"/>
          <w:sz w:val="20"/>
        </w:rPr>
        <w:t> </w:t>
      </w:r>
      <w:r>
        <w:rPr>
          <w:sz w:val="20"/>
        </w:rPr>
        <w:t>teams</w:t>
      </w:r>
      <w:r>
        <w:rPr>
          <w:spacing w:val="1"/>
          <w:sz w:val="20"/>
        </w:rPr>
        <w:t> </w:t>
      </w:r>
      <w:r>
        <w:rPr>
          <w:sz w:val="20"/>
        </w:rPr>
        <w:t>performing</w:t>
      </w:r>
      <w:r>
        <w:rPr>
          <w:spacing w:val="1"/>
          <w:sz w:val="20"/>
        </w:rPr>
        <w:t> </w:t>
      </w:r>
      <w:r>
        <w:rPr>
          <w:sz w:val="20"/>
        </w:rPr>
        <w:t>secretariat</w:t>
      </w:r>
      <w:r>
        <w:rPr>
          <w:spacing w:val="1"/>
          <w:sz w:val="20"/>
        </w:rPr>
        <w:t> </w:t>
      </w:r>
      <w:r>
        <w:rPr>
          <w:sz w:val="20"/>
        </w:rPr>
        <w:t>functions,</w:t>
      </w:r>
      <w:r>
        <w:rPr>
          <w:spacing w:val="1"/>
          <w:sz w:val="20"/>
        </w:rPr>
        <w:t> </w:t>
      </w:r>
      <w:r>
        <w:rPr>
          <w:sz w:val="20"/>
        </w:rPr>
        <w:t>stipends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governing</w:t>
      </w:r>
      <w:r>
        <w:rPr>
          <w:spacing w:val="1"/>
          <w:sz w:val="20"/>
        </w:rPr>
        <w:t> </w:t>
      </w:r>
      <w:r>
        <w:rPr>
          <w:sz w:val="20"/>
        </w:rPr>
        <w:t>body</w:t>
      </w:r>
      <w:r>
        <w:rPr>
          <w:spacing w:val="1"/>
          <w:sz w:val="20"/>
        </w:rPr>
        <w:t> </w:t>
      </w:r>
      <w:r>
        <w:rPr>
          <w:sz w:val="20"/>
        </w:rPr>
        <w:t>members (for academic staff, this could also involve course releases to allow time to perform</w:t>
      </w:r>
      <w:r>
        <w:rPr>
          <w:spacing w:val="1"/>
          <w:sz w:val="20"/>
        </w:rPr>
        <w:t> </w:t>
      </w:r>
      <w:r>
        <w:rPr>
          <w:sz w:val="20"/>
        </w:rPr>
        <w:t>governance-related</w:t>
      </w:r>
      <w:r>
        <w:rPr>
          <w:spacing w:val="1"/>
          <w:sz w:val="20"/>
        </w:rPr>
        <w:t> </w:t>
      </w:r>
      <w:r>
        <w:rPr>
          <w:sz w:val="20"/>
        </w:rPr>
        <w:t>duties;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students,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could</w:t>
      </w:r>
      <w:r>
        <w:rPr>
          <w:spacing w:val="1"/>
          <w:sz w:val="20"/>
        </w:rPr>
        <w:t> </w:t>
      </w:r>
      <w:r>
        <w:rPr>
          <w:sz w:val="20"/>
        </w:rPr>
        <w:t>include</w:t>
      </w:r>
      <w:r>
        <w:rPr>
          <w:spacing w:val="1"/>
          <w:sz w:val="20"/>
        </w:rPr>
        <w:t> </w:t>
      </w:r>
      <w:r>
        <w:rPr>
          <w:sz w:val="20"/>
        </w:rPr>
        <w:t>recognising</w:t>
      </w:r>
      <w:r>
        <w:rPr>
          <w:spacing w:val="1"/>
          <w:sz w:val="20"/>
        </w:rPr>
        <w:t> </w:t>
      </w:r>
      <w:r>
        <w:rPr>
          <w:sz w:val="20"/>
        </w:rPr>
        <w:t>governance-related</w:t>
      </w:r>
      <w:r>
        <w:rPr>
          <w:spacing w:val="1"/>
          <w:sz w:val="20"/>
        </w:rPr>
        <w:t> </w:t>
      </w:r>
      <w:r>
        <w:rPr>
          <w:sz w:val="20"/>
        </w:rPr>
        <w:t>activities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credit-bearing</w:t>
      </w:r>
      <w:r>
        <w:rPr>
          <w:spacing w:val="3"/>
          <w:sz w:val="20"/>
        </w:rPr>
        <w:t> </w:t>
      </w:r>
      <w:r>
        <w:rPr>
          <w:sz w:val="20"/>
        </w:rPr>
        <w:t>extracurricular</w:t>
      </w:r>
      <w:r>
        <w:rPr>
          <w:spacing w:val="-2"/>
          <w:sz w:val="20"/>
        </w:rPr>
        <w:t> </w:t>
      </w:r>
      <w:r>
        <w:rPr>
          <w:sz w:val="20"/>
        </w:rPr>
        <w:t>activities).</w:t>
      </w:r>
    </w:p>
    <w:p>
      <w:pPr>
        <w:spacing w:after="0" w:line="271" w:lineRule="auto"/>
        <w:jc w:val="both"/>
        <w:rPr>
          <w:sz w:val="20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rPr>
          <w:sz w:val="9"/>
        </w:rPr>
      </w:pPr>
    </w:p>
    <w:p>
      <w:pPr>
        <w:pStyle w:val="Heading2"/>
        <w:spacing w:before="92"/>
      </w:pPr>
      <w:bookmarkStart w:name="References" w:id="168"/>
      <w:bookmarkEnd w:id="168"/>
      <w:r>
        <w:rPr>
          <w:b w:val="0"/>
        </w:rPr>
      </w:r>
      <w:bookmarkStart w:name="_bookmark55" w:id="169"/>
      <w:bookmarkEnd w:id="169"/>
      <w:r>
        <w:rPr>
          <w:b w:val="0"/>
        </w:rPr>
      </w:r>
      <w:r>
        <w:rPr>
          <w:color w:val="4E81BD"/>
        </w:rPr>
        <w:t>References</w:t>
      </w: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9"/>
        <w:gridCol w:w="640"/>
      </w:tblGrid>
      <w:tr>
        <w:trPr>
          <w:trHeight w:val="1385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20"/>
              <w:ind w:left="483" w:right="181" w:hanging="284"/>
              <w:rPr>
                <w:sz w:val="20"/>
              </w:rPr>
            </w:pPr>
            <w:r>
              <w:rPr>
                <w:sz w:val="20"/>
              </w:rPr>
              <w:t>Adam,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“‘Governments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performance-based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funding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global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rankings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indicators’: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 global trend in higher education finance or a global rankings literature fiction?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comparative analysis of four performance-based funding programs”, </w:t>
            </w:r>
            <w:r>
              <w:rPr>
                <w:rFonts w:ascii="Arial" w:hAnsi="Arial"/>
                <w:i/>
                <w:sz w:val="20"/>
              </w:rPr>
              <w:t>International Journal of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Educational</w:t>
            </w:r>
            <w:r>
              <w:rPr>
                <w:rFonts w:ascii="Arial" w:hAnsi="Arial"/>
                <w:i/>
                <w:spacing w:val="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Development</w:t>
            </w:r>
            <w:r>
              <w:rPr>
                <w:sz w:val="20"/>
              </w:rPr>
              <w:t>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Vol.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76,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102197,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https://doi.org/10.1016/j.ijedudev.2020.102197</w:t>
            </w:r>
            <w:r>
              <w:rPr>
                <w:sz w:val="20"/>
              </w:rPr>
              <w:t>.</w:t>
            </w:r>
          </w:p>
        </w:tc>
        <w:tc>
          <w:tcPr>
            <w:tcW w:w="640" w:type="dxa"/>
          </w:tcPr>
          <w:p>
            <w:pPr>
              <w:pStyle w:val="TableParagraph"/>
              <w:spacing w:line="179" w:lineRule="exact" w:before="0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[45]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1003" w:hanging="284"/>
              <w:rPr>
                <w:sz w:val="20"/>
              </w:rPr>
            </w:pPr>
            <w:r>
              <w:rPr>
                <w:sz w:val="20"/>
              </w:rPr>
              <w:t>CNRS (2020), </w:t>
            </w:r>
            <w:r>
              <w:rPr>
                <w:rFonts w:ascii="Arial" w:hAnsi="Arial"/>
                <w:i/>
                <w:sz w:val="20"/>
              </w:rPr>
              <w:t>Classement de Shanghai 2020 : La recherche française progresse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58">
              <w:r>
                <w:rPr>
                  <w:color w:val="0000FF"/>
                  <w:spacing w:val="-1"/>
                  <w:sz w:val="20"/>
                  <w:u w:val="single" w:color="0000FF"/>
                </w:rPr>
                <w:t>www.cnrs.fr/fr/cnrsinfo/classement-de-shanghai-2020-la-recherche-francaise-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progresse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 28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December 2020).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[60]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387" w:hanging="284"/>
              <w:rPr>
                <w:sz w:val="20"/>
              </w:rPr>
            </w:pPr>
            <w:r>
              <w:rPr>
                <w:sz w:val="20"/>
              </w:rPr>
              <w:t>Committee of University Chairmen (2001), </w:t>
            </w:r>
            <w:r>
              <w:rPr>
                <w:rFonts w:ascii="Arial"/>
                <w:i/>
                <w:sz w:val="20"/>
              </w:rPr>
              <w:t>Guide for Members of Governing Bodies of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Universities and Colleges in England, Wales and Northern Ireland</w:t>
            </w:r>
            <w:r>
              <w:rPr>
                <w:sz w:val="20"/>
              </w:rPr>
              <w:t>, Committee of University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Chairmen,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Bristol,</w:t>
            </w:r>
            <w:r>
              <w:rPr>
                <w:spacing w:val="-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https://dera.ioe.ac.uk/4503/2/01_20.pdf</w:t>
            </w:r>
            <w:r>
              <w:rPr>
                <w:color w:val="0000FF"/>
                <w:spacing w:val="-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[74]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227" w:hanging="284"/>
              <w:rPr>
                <w:sz w:val="20"/>
              </w:rPr>
            </w:pPr>
            <w:r>
              <w:rPr>
                <w:sz w:val="20"/>
              </w:rPr>
              <w:t>Copeland,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(2017),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Understanding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United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Kingdom’s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Teaching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Excellence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Framework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its Implications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https://academicmatters.ca/understanding-the-united-kingdoms-teaching-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excellence-framework-and-its-implications/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[19]</w:t>
            </w:r>
          </w:p>
        </w:tc>
      </w:tr>
      <w:tr>
        <w:trPr>
          <w:trHeight w:val="700" w:hRule="atLeast"/>
        </w:trPr>
        <w:tc>
          <w:tcPr>
            <w:tcW w:w="8939" w:type="dxa"/>
          </w:tcPr>
          <w:p>
            <w:pPr>
              <w:pStyle w:val="TableParagraph"/>
              <w:spacing w:line="273" w:lineRule="auto" w:before="113"/>
              <w:ind w:left="483" w:right="233" w:hanging="284"/>
              <w:rPr>
                <w:sz w:val="20"/>
              </w:rPr>
            </w:pPr>
            <w:r>
              <w:rPr>
                <w:sz w:val="20"/>
              </w:rPr>
              <w:t>CVTI (2021), </w:t>
            </w:r>
            <w:r>
              <w:rPr>
                <w:rFonts w:ascii="Arial" w:hAnsi="Arial"/>
                <w:i/>
                <w:sz w:val="20"/>
              </w:rPr>
              <w:t>Časové rady [Timelines]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0">
              <w:r>
                <w:rPr>
                  <w:color w:val="0000FF"/>
                  <w:sz w:val="20"/>
                  <w:u w:val="single" w:color="0000FF"/>
                </w:rPr>
                <w:t>www.cvtisr.sk/cvti-sr-vedecka-kniznica/informacie-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o-skolstve/statistiky/casove-rady.html?page_id=9724.</w:t>
            </w:r>
            <w:r>
              <w:rPr>
                <w:color w:val="0000FF"/>
                <w:spacing w:val="-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[37]</w:t>
            </w:r>
          </w:p>
        </w:tc>
      </w:tr>
      <w:tr>
        <w:trPr>
          <w:trHeight w:val="1219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681" w:hanging="284"/>
              <w:rPr>
                <w:sz w:val="20"/>
              </w:rPr>
            </w:pPr>
            <w:r>
              <w:rPr>
                <w:sz w:val="20"/>
              </w:rPr>
              <w:t>CVTI (2021), </w:t>
            </w:r>
            <w:r>
              <w:rPr>
                <w:rFonts w:ascii="Arial" w:hAnsi="Arial"/>
                <w:i/>
                <w:sz w:val="20"/>
              </w:rPr>
              <w:t>Štatistická ročenka - vysoké školy [Statistical Yearbook - Universities]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01">
              <w:r>
                <w:rPr>
                  <w:color w:val="0000FF"/>
                  <w:spacing w:val="-1"/>
                  <w:sz w:val="20"/>
                  <w:u w:val="single" w:color="0000FF"/>
                </w:rPr>
                <w:t>www.cvtisr.sk/cvti-sr-vedecka-kniznica/informacie-o-skolstve/statistiky/statisticka-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rocenka-publikacia/statisticka-rocenka-vysoke-skoly.html?page_id=9596</w:t>
            </w:r>
            <w:r>
              <w:rPr>
                <w:color w:val="0000FF"/>
                <w:spacing w:val="5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[30]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4"/>
              <w:ind w:left="483" w:right="822" w:hanging="284"/>
              <w:rPr>
                <w:sz w:val="20"/>
              </w:rPr>
            </w:pPr>
            <w:r>
              <w:rPr>
                <w:sz w:val="20"/>
              </w:rPr>
              <w:t>Danish Ministry of Higher Education and Science (2019), </w:t>
            </w:r>
            <w:r>
              <w:rPr>
                <w:rFonts w:ascii="Arial"/>
                <w:i/>
                <w:sz w:val="20"/>
              </w:rPr>
              <w:t>Funding for Danish Universities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https://ufm.dk/en/education/higher-education/danish-universities/the-universities-in-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denmark/funding-for-danish-universities</w:t>
            </w:r>
            <w:r>
              <w:rPr>
                <w:color w:val="0000FF"/>
                <w:spacing w:val="-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[44]</w:t>
            </w:r>
          </w:p>
        </w:tc>
      </w:tr>
      <w:tr>
        <w:trPr>
          <w:trHeight w:val="148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170" w:hanging="284"/>
              <w:rPr>
                <w:sz w:val="20"/>
              </w:rPr>
            </w:pPr>
            <w:r>
              <w:rPr>
                <w:sz w:val="20"/>
              </w:rPr>
              <w:t>de Boer, H. et al. (2015), </w:t>
            </w:r>
            <w:r>
              <w:rPr>
                <w:rFonts w:ascii="Arial"/>
                <w:i/>
                <w:sz w:val="20"/>
              </w:rPr>
              <w:t>Performance-based funding and performance agreements in fourteen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 education systems</w:t>
            </w:r>
            <w:r>
              <w:rPr>
                <w:sz w:val="20"/>
              </w:rPr>
              <w:t>, Center for Higher Education Policy Studies (CHEPS), Enschede,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https://ris.utwente.nl/ws/portalfiles/portal/5139542/jongbloed+ea+performance-based-funding-</w:t>
            </w:r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and-performance-agreements-in-fourteen-higher-education-systems.pdf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2"/>
              <w:ind w:left="4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[43]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181" w:hanging="284"/>
              <w:rPr>
                <w:sz w:val="20"/>
              </w:rPr>
            </w:pPr>
            <w:r>
              <w:rPr>
                <w:sz w:val="20"/>
              </w:rPr>
              <w:t>Debackere,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Glänzel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(2004),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bibliometric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approach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making: The case of the Flemish BOF-key”, </w:t>
            </w:r>
            <w:r>
              <w:rPr>
                <w:rFonts w:ascii="Arial" w:hAnsi="Arial"/>
                <w:i/>
                <w:sz w:val="20"/>
              </w:rPr>
              <w:t>Scientometrics</w:t>
            </w:r>
            <w:r>
              <w:rPr>
                <w:sz w:val="20"/>
              </w:rPr>
              <w:t>, Vol. 59, pp. 253-276,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http://dx.doi.org/10.1023/b:scie.0000018532.70146.02</w:t>
            </w:r>
            <w:r>
              <w:rPr>
                <w:sz w:val="20"/>
              </w:rPr>
              <w:t>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[47]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902" w:hanging="284"/>
              <w:jc w:val="both"/>
              <w:rPr>
                <w:sz w:val="20"/>
              </w:rPr>
            </w:pPr>
            <w:r>
              <w:rPr>
                <w:sz w:val="20"/>
              </w:rPr>
              <w:t>Dougherty, K. et al. (2014), “Performance Funding for Higher Education: Forms, Origins,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Impacts,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Futures”,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ANNALS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American Academy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Political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Social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Science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Vol.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655/1,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pp. 163-184,</w:t>
            </w:r>
            <w:r>
              <w:rPr>
                <w:spacing w:val="-3"/>
                <w:sz w:val="20"/>
              </w:rPr>
              <w:t> </w:t>
            </w:r>
            <w:hyperlink r:id="rId159">
              <w:r>
                <w:rPr>
                  <w:color w:val="0000FF"/>
                  <w:sz w:val="20"/>
                  <w:u w:val="single" w:color="0000FF"/>
                </w:rPr>
                <w:t>http://dx.doi.org/10.1177/0002716214541042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[40]</w:t>
            </w:r>
          </w:p>
        </w:tc>
      </w:tr>
      <w:tr>
        <w:trPr>
          <w:trHeight w:val="1219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485" w:hanging="284"/>
              <w:rPr>
                <w:sz w:val="20"/>
              </w:rPr>
            </w:pPr>
            <w:r>
              <w:rPr>
                <w:sz w:val="20"/>
              </w:rPr>
              <w:t>EBRD (2017), </w:t>
            </w:r>
            <w:r>
              <w:rPr>
                <w:rFonts w:ascii="Arial"/>
                <w:i/>
                <w:sz w:val="20"/>
              </w:rPr>
              <w:t>The Slovak Republic diagnostic paper: Assessing progress and challenges in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developing a sustainable market economy</w:t>
            </w:r>
            <w:r>
              <w:rPr>
                <w:sz w:val="20"/>
              </w:rPr>
              <w:t>, European Bank for Reconstruction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Development </w:t>
            </w:r>
            <w:r>
              <w:rPr>
                <w:sz w:val="20"/>
              </w:rPr>
              <w:t>(EBRD), London,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0">
              <w:r>
                <w:rPr>
                  <w:color w:val="0000FF"/>
                  <w:sz w:val="20"/>
                  <w:u w:val="single" w:color="0000FF"/>
                </w:rPr>
                <w:t>www.ebrd.com/documents/comms-and-bis/country-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diagnostic-paper-slovak-republic.pdf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[11]</w:t>
            </w:r>
          </w:p>
        </w:tc>
      </w:tr>
      <w:tr>
        <w:trPr>
          <w:trHeight w:val="605" w:hRule="atLeast"/>
        </w:trPr>
        <w:tc>
          <w:tcPr>
            <w:tcW w:w="8939" w:type="dxa"/>
          </w:tcPr>
          <w:p>
            <w:pPr>
              <w:pStyle w:val="TableParagraph"/>
              <w:spacing w:line="260" w:lineRule="atLeast" w:before="65"/>
              <w:ind w:left="483" w:right="539" w:hanging="284"/>
              <w:rPr>
                <w:sz w:val="20"/>
              </w:rPr>
            </w:pPr>
            <w:r>
              <w:rPr>
                <w:sz w:val="20"/>
              </w:rPr>
              <w:t>ECOOM (2021), </w:t>
            </w:r>
            <w:r>
              <w:rPr>
                <w:rFonts w:ascii="Arial"/>
                <w:i/>
                <w:sz w:val="20"/>
              </w:rPr>
              <w:t>Frequently Asked Questions (VABB-SHW)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</w:t>
            </w:r>
            <w:hyperlink r:id="rId161">
              <w:r>
                <w:rPr>
                  <w:color w:val="0000FF"/>
                  <w:sz w:val="20"/>
                  <w:u w:val="single" w:color="0000FF"/>
                </w:rPr>
                <w:t>://www.ec</w:t>
              </w:r>
            </w:hyperlink>
            <w:r>
              <w:rPr>
                <w:color w:val="0000FF"/>
                <w:sz w:val="20"/>
                <w:u w:val="single" w:color="0000FF"/>
              </w:rPr>
              <w:t>oom</w:t>
            </w:r>
            <w:hyperlink r:id="rId161">
              <w:r>
                <w:rPr>
                  <w:color w:val="0000FF"/>
                  <w:sz w:val="20"/>
                  <w:u w:val="single" w:color="0000FF"/>
                </w:rPr>
                <w:t>.be/en/vabb-</w:t>
              </w:r>
            </w:hyperlink>
            <w:r>
              <w:rPr>
                <w:color w:val="0000FF"/>
                <w:spacing w:val="-54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shw/faq#why</w:t>
            </w:r>
            <w:r>
              <w:rPr>
                <w:color w:val="0000FF"/>
                <w:spacing w:val="-4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0" w:type="dxa"/>
          </w:tcPr>
          <w:p>
            <w:pPr>
              <w:pStyle w:val="TableParagraph"/>
              <w:spacing w:before="91"/>
              <w:ind w:left="155" w:right="177"/>
              <w:jc w:val="center"/>
              <w:rPr>
                <w:sz w:val="16"/>
              </w:rPr>
            </w:pPr>
            <w:r>
              <w:rPr>
                <w:sz w:val="16"/>
              </w:rPr>
              <w:t>[53]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0"/>
        <w:gridCol w:w="641"/>
      </w:tblGrid>
      <w:tr>
        <w:trPr>
          <w:trHeight w:val="864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20"/>
              <w:ind w:left="483" w:right="261" w:hanging="284"/>
              <w:rPr>
                <w:sz w:val="20"/>
              </w:rPr>
            </w:pPr>
            <w:r>
              <w:rPr>
                <w:sz w:val="20"/>
              </w:rPr>
              <w:t>Engels, T. and R. Guns (2018), “The Flemish Performance-based Research Funding System: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Unique Variant of the Norwegian Model”, </w:t>
            </w:r>
            <w:r>
              <w:rPr>
                <w:rFonts w:ascii="Arial" w:hAnsi="Arial"/>
                <w:i/>
                <w:sz w:val="20"/>
              </w:rPr>
              <w:t>Journal of Data and Information Science</w:t>
            </w:r>
            <w:r>
              <w:rPr>
                <w:sz w:val="20"/>
              </w:rPr>
              <w:t>, Vol. 3/4,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45-60,</w:t>
            </w:r>
            <w:r>
              <w:rPr>
                <w:spacing w:val="1"/>
                <w:sz w:val="20"/>
              </w:rPr>
              <w:t> </w:t>
            </w:r>
            <w:hyperlink r:id="rId162">
              <w:r>
                <w:rPr>
                  <w:color w:val="0000FF"/>
                  <w:sz w:val="20"/>
                  <w:u w:val="single" w:color="0000FF"/>
                </w:rPr>
                <w:t>http://dx.doi.org/10.2478/jdis-2018-0020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41" w:type="dxa"/>
          </w:tcPr>
          <w:p>
            <w:pPr>
              <w:pStyle w:val="TableParagraph"/>
              <w:spacing w:line="179" w:lineRule="exact" w:before="0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[50]</w:t>
            </w:r>
          </w:p>
        </w:tc>
      </w:tr>
      <w:tr>
        <w:trPr>
          <w:trHeight w:val="1221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6"/>
              <w:ind w:left="483" w:right="438" w:hanging="284"/>
              <w:rPr>
                <w:sz w:val="20"/>
              </w:rPr>
            </w:pPr>
            <w:r>
              <w:rPr>
                <w:sz w:val="20"/>
              </w:rPr>
              <w:t>ETER (2019), </w:t>
            </w:r>
            <w:r>
              <w:rPr>
                <w:rFonts w:ascii="Arial"/>
                <w:i/>
                <w:sz w:val="20"/>
              </w:rPr>
              <w:t>Internationalisation of Academic Staff in European Higher Education</w:t>
            </w:r>
            <w:r>
              <w:rPr>
                <w:sz w:val="20"/>
              </w:rPr>
              <w:t>, European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Tertiary Education Register (ETER),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3">
              <w:r>
                <w:rPr>
                  <w:color w:val="0000FF"/>
                  <w:sz w:val="20"/>
                  <w:u w:val="single" w:color="0000FF"/>
                </w:rPr>
                <w:t>www.joanneum.at/fileadmin/user_upload/ETER_AnalyticalReport_01_final.pdf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August 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[67]</w:t>
            </w:r>
          </w:p>
        </w:tc>
      </w:tr>
      <w:tr>
        <w:trPr>
          <w:trHeight w:val="960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3"/>
              <w:ind w:left="483" w:right="261" w:hanging="284"/>
              <w:rPr>
                <w:sz w:val="20"/>
              </w:rPr>
            </w:pPr>
            <w:r>
              <w:rPr>
                <w:sz w:val="20"/>
              </w:rPr>
              <w:t>European Commission (2018), </w:t>
            </w:r>
            <w:r>
              <w:rPr>
                <w:rFonts w:ascii="Arial"/>
                <w:i/>
                <w:sz w:val="20"/>
              </w:rPr>
              <w:t>Peer Counselling on the Governance of Higher Education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Institutions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Slovak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Republic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document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project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"Improving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Education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Republic".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94"/>
              <w:jc w:val="center"/>
              <w:rPr>
                <w:sz w:val="16"/>
              </w:rPr>
            </w:pPr>
            <w:r>
              <w:rPr>
                <w:sz w:val="16"/>
              </w:rPr>
              <w:t>[8]</w:t>
            </w:r>
          </w:p>
        </w:tc>
      </w:tr>
      <w:tr>
        <w:trPr>
          <w:trHeight w:val="960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3"/>
              <w:ind w:left="483" w:right="1386" w:hanging="284"/>
              <w:jc w:val="both"/>
              <w:rPr>
                <w:sz w:val="20"/>
              </w:rPr>
            </w:pPr>
            <w:r>
              <w:rPr>
                <w:sz w:val="20"/>
              </w:rPr>
              <w:t>European Commission (2017), </w:t>
            </w:r>
            <w:r>
              <w:rPr>
                <w:rFonts w:ascii="Arial"/>
                <w:i/>
                <w:sz w:val="20"/>
              </w:rPr>
              <w:t>Digital Coalition launched in Slovakia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https://digital-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strategy.ec.europa.eu/en/news/digital-coalition-launched-slovakia</w:t>
            </w:r>
            <w:r>
              <w:rPr>
                <w:color w:val="0000FF"/>
                <w:spacing w:val="-1"/>
                <w:sz w:val="20"/>
              </w:rPr>
              <w:t> </w:t>
            </w:r>
            <w:r>
              <w:rPr>
                <w:sz w:val="20"/>
              </w:rPr>
              <w:t>(accessed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[12]</w:t>
            </w:r>
          </w:p>
        </w:tc>
      </w:tr>
      <w:tr>
        <w:trPr>
          <w:trHeight w:val="1219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3"/>
              <w:ind w:left="483" w:right="261" w:hanging="284"/>
              <w:rPr>
                <w:sz w:val="20"/>
              </w:rPr>
            </w:pPr>
            <w:r>
              <w:rPr>
                <w:sz w:val="20"/>
              </w:rPr>
              <w:t>Eurostat (2021), </w:t>
            </w:r>
            <w:r>
              <w:rPr>
                <w:rFonts w:ascii="Arial"/>
                <w:i/>
                <w:sz w:val="20"/>
              </w:rPr>
              <w:t>Distribution of academic staff at education level by age groups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[educ_uoe_perd02]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hyperlink r:id="rId164">
              <w:r>
                <w:rPr>
                  <w:color w:val="0000FF"/>
                  <w:spacing w:val="-1"/>
                  <w:sz w:val="20"/>
                  <w:u w:val="single" w:color="0000FF"/>
                </w:rPr>
                <w:t>http://appsso.eurostat.ec.europa.eu/nui/show.do?dataset=educ_uoe_perd02&amp;lang=en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 August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[36]</w:t>
            </w:r>
          </w:p>
        </w:tc>
      </w:tr>
      <w:tr>
        <w:trPr>
          <w:trHeight w:val="960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3"/>
              <w:ind w:left="483" w:right="351" w:hanging="284"/>
              <w:rPr>
                <w:sz w:val="20"/>
              </w:rPr>
            </w:pPr>
            <w:r>
              <w:rPr>
                <w:sz w:val="20"/>
              </w:rPr>
              <w:t>Eurydice (2020), </w:t>
            </w:r>
            <w:r>
              <w:rPr>
                <w:rFonts w:ascii="Arial"/>
                <w:i/>
                <w:sz w:val="20"/>
              </w:rPr>
              <w:t>Slovakia - Conditions of Service for Academic Staff Working in Higher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Education</w:t>
            </w:r>
            <w:r>
              <w:rPr>
                <w:spacing w:val="-1"/>
                <w:sz w:val="20"/>
              </w:rPr>
              <w:t>,</w:t>
            </w:r>
            <w:r>
              <w:rPr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https://eacea.ec.europa.eu/national-policies/eurydice/content/conditions-service-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academic-staff-working-higher-education-65_en</w:t>
            </w:r>
            <w:r>
              <w:rPr>
                <w:color w:val="0000FF"/>
                <w:spacing w:val="-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[64]</w:t>
            </w:r>
          </w:p>
        </w:tc>
      </w:tr>
      <w:tr>
        <w:trPr>
          <w:trHeight w:val="701" w:hRule="atLeast"/>
        </w:trPr>
        <w:tc>
          <w:tcPr>
            <w:tcW w:w="8940" w:type="dxa"/>
          </w:tcPr>
          <w:p>
            <w:pPr>
              <w:pStyle w:val="TableParagraph"/>
              <w:spacing w:line="273" w:lineRule="auto" w:before="113"/>
              <w:ind w:left="483" w:right="261" w:hanging="284"/>
              <w:rPr>
                <w:sz w:val="20"/>
              </w:rPr>
            </w:pPr>
            <w:r>
              <w:rPr>
                <w:sz w:val="20"/>
              </w:rPr>
              <w:t>Finnish Ministry of Education and Culture (2009), </w:t>
            </w:r>
            <w:r>
              <w:rPr>
                <w:rFonts w:ascii="Arial"/>
                <w:i/>
                <w:sz w:val="20"/>
              </w:rPr>
              <w:t>Universities Act 558/2009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5">
              <w:r>
                <w:rPr>
                  <w:color w:val="0000FF"/>
                  <w:sz w:val="20"/>
                  <w:u w:val="single" w:color="0000FF"/>
                </w:rPr>
                <w:t>www.finlex.fi/en/laki/kaannokset/2009/en20090558.pdf</w:t>
              </w:r>
              <w:r>
                <w:rPr>
                  <w:color w:val="0000FF"/>
                  <w:spacing w:val="-7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[72]</w:t>
            </w:r>
          </w:p>
        </w:tc>
      </w:tr>
      <w:tr>
        <w:trPr>
          <w:trHeight w:val="960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4"/>
              <w:ind w:left="483" w:right="1243" w:hanging="284"/>
              <w:rPr>
                <w:sz w:val="20"/>
              </w:rPr>
            </w:pPr>
            <w:r>
              <w:rPr>
                <w:sz w:val="20"/>
              </w:rPr>
              <w:t>Finnish Ministry of Education and Culture (1997), </w:t>
            </w:r>
            <w:r>
              <w:rPr>
                <w:rFonts w:ascii="Arial"/>
                <w:i/>
                <w:sz w:val="20"/>
              </w:rPr>
              <w:t>Universities Act 645/1997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https://finlex.fi/fi/laki/kaannokset/1997/en19970645_20061453.pdf</w:t>
            </w:r>
            <w:r>
              <w:rPr>
                <w:color w:val="0000FF"/>
                <w:spacing w:val="1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[71]</w:t>
            </w:r>
          </w:p>
        </w:tc>
      </w:tr>
      <w:tr>
        <w:trPr>
          <w:trHeight w:val="1478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3"/>
              <w:ind w:left="483" w:right="253" w:hanging="284"/>
              <w:rPr>
                <w:sz w:val="20"/>
              </w:rPr>
            </w:pPr>
            <w:r>
              <w:rPr>
                <w:sz w:val="20"/>
              </w:rPr>
              <w:t>Flemish Government (2019), </w:t>
            </w:r>
            <w:r>
              <w:rPr>
                <w:rFonts w:ascii="Arial"/>
                <w:i/>
                <w:sz w:val="20"/>
              </w:rPr>
              <w:t>Vlaamse Regering keurt BOF-besluit definitief goed: 35 miljoen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euro extra voor universiteiten [Flemish Government definitively approves BOF decision: 35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million</w:t>
            </w:r>
            <w:r>
              <w:rPr>
                <w:rFonts w:ascii="Arial"/>
                <w:i/>
                <w:spacing w:val="-9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euros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extra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9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universities]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6">
              <w:r>
                <w:rPr>
                  <w:color w:val="0000FF"/>
                  <w:sz w:val="20"/>
                  <w:u w:val="single" w:color="0000FF"/>
                </w:rPr>
                <w:t>www.ewi-vlaanderen.be/nieuws/vlaamse-regering-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keurt-bof-besluit-definitief-goed-35-miljoen-euro-extra-voor-universiteiten</w:t>
            </w:r>
            <w:r>
              <w:rPr>
                <w:color w:val="0000FF"/>
                <w:spacing w:val="-5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line="230" w:lineRule="exact" w:before="0"/>
              <w:ind w:left="4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[52]</w:t>
            </w:r>
          </w:p>
        </w:tc>
      </w:tr>
      <w:tr>
        <w:trPr>
          <w:trHeight w:val="700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6"/>
              <w:ind w:left="483" w:right="239" w:hanging="284"/>
              <w:rPr>
                <w:sz w:val="20"/>
              </w:rPr>
            </w:pPr>
            <w:r>
              <w:rPr>
                <w:sz w:val="20"/>
              </w:rPr>
              <w:t>FNPV (2021), </w:t>
            </w:r>
            <w:r>
              <w:rPr>
                <w:rFonts w:ascii="Arial" w:hAnsi="Arial"/>
                <w:i/>
                <w:sz w:val="20"/>
              </w:rPr>
              <w:t>Pôžička pre študentov [Student loan]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7">
              <w:r>
                <w:rPr>
                  <w:color w:val="0000FF"/>
                  <w:sz w:val="20"/>
                  <w:u w:val="single" w:color="0000FF"/>
                </w:rPr>
                <w:t>www.fnpv.sk/chcem-pozicku-student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June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[31]</w:t>
            </w:r>
          </w:p>
        </w:tc>
      </w:tr>
      <w:tr>
        <w:trPr>
          <w:trHeight w:val="960" w:hRule="atLeast"/>
        </w:trPr>
        <w:tc>
          <w:tcPr>
            <w:tcW w:w="8940" w:type="dxa"/>
          </w:tcPr>
          <w:p>
            <w:pPr>
              <w:pStyle w:val="TableParagraph"/>
              <w:spacing w:line="273" w:lineRule="auto" w:before="113"/>
              <w:ind w:left="483" w:right="261" w:hanging="284"/>
              <w:rPr>
                <w:sz w:val="20"/>
              </w:rPr>
            </w:pPr>
            <w:r>
              <w:rPr>
                <w:sz w:val="20"/>
              </w:rPr>
              <w:t>French Ministry of National Education, Youth and Sport (2020), </w:t>
            </w:r>
            <w:r>
              <w:rPr>
                <w:rFonts w:ascii="Arial" w:hAnsi="Arial"/>
                <w:i/>
                <w:sz w:val="20"/>
              </w:rPr>
              <w:t>Repères et références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statistiques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2020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8">
              <w:r>
                <w:rPr>
                  <w:color w:val="0000FF"/>
                  <w:sz w:val="20"/>
                  <w:u w:val="single" w:color="0000FF"/>
                </w:rPr>
                <w:t>www.education.gouv.fr/reperes-et-references-statistiques-2020-</w:t>
              </w:r>
            </w:hyperlink>
          </w:p>
          <w:p>
            <w:pPr>
              <w:pStyle w:val="TableParagraph"/>
              <w:spacing w:line="227" w:lineRule="exact" w:before="0"/>
              <w:ind w:left="483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1316</w:t>
            </w:r>
            <w:r>
              <w:rPr>
                <w:color w:val="0000FF"/>
                <w:spacing w:val="-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December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[59]</w:t>
            </w:r>
          </w:p>
        </w:tc>
      </w:tr>
      <w:tr>
        <w:trPr>
          <w:trHeight w:val="960" w:hRule="atLeast"/>
        </w:trPr>
        <w:tc>
          <w:tcPr>
            <w:tcW w:w="8940" w:type="dxa"/>
          </w:tcPr>
          <w:p>
            <w:pPr>
              <w:pStyle w:val="TableParagraph"/>
              <w:spacing w:line="271" w:lineRule="auto" w:before="113"/>
              <w:ind w:left="483" w:right="154" w:hanging="284"/>
              <w:rPr>
                <w:sz w:val="20"/>
              </w:rPr>
            </w:pPr>
            <w:r>
              <w:rPr>
                <w:sz w:val="20"/>
              </w:rPr>
              <w:t>Galán-Muros, V. et al. (2018), </w:t>
            </w:r>
            <w:r>
              <w:rPr>
                <w:rFonts w:ascii="Arial" w:hAnsi="Arial"/>
                <w:i/>
                <w:sz w:val="20"/>
              </w:rPr>
              <w:t>State of University-Business Cooperation: Slovakia</w:t>
            </w:r>
            <w:r>
              <w:rPr>
                <w:sz w:val="20"/>
              </w:rPr>
              <w:t>, University-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Business Cooperation in Europe,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9">
              <w:r>
                <w:rPr>
                  <w:color w:val="0000FF"/>
                  <w:sz w:val="20"/>
                  <w:u w:val="single" w:color="0000FF"/>
                </w:rPr>
                <w:t>www.ub-cooperation.eu/index/slovakiabus</w:t>
              </w:r>
              <w:r>
                <w:rPr>
                  <w:color w:val="0000FF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[13]</w:t>
            </w:r>
          </w:p>
        </w:tc>
      </w:tr>
      <w:tr>
        <w:trPr>
          <w:trHeight w:val="864" w:hRule="atLeast"/>
        </w:trPr>
        <w:tc>
          <w:tcPr>
            <w:tcW w:w="8940" w:type="dxa"/>
          </w:tcPr>
          <w:p>
            <w:pPr>
              <w:pStyle w:val="TableParagraph"/>
              <w:spacing w:before="113"/>
              <w:ind w:left="200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Latvia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(2014),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Par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Izglītības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attīstības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pamatnostādņu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2014.-2020.gadam</w:t>
            </w:r>
          </w:p>
          <w:p>
            <w:pPr>
              <w:pStyle w:val="TableParagraph"/>
              <w:spacing w:line="260" w:lineRule="atLeast" w:before="0"/>
              <w:ind w:left="483" w:right="498"/>
              <w:rPr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apstiprināšanu [On approval of the Guidelines for the Development of Education for 2014-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2020]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hyperlink r:id="rId170">
              <w:r>
                <w:rPr>
                  <w:color w:val="0000FF"/>
                  <w:sz w:val="20"/>
                  <w:u w:val="single" w:color="0000FF"/>
                </w:rPr>
                <w:t>http://m.likumi.lv/doc.php?id=266406</w:t>
              </w:r>
              <w:r>
                <w:rPr>
                  <w:color w:val="0000FF"/>
                  <w:sz w:val="20"/>
                </w:rPr>
                <w:t> </w:t>
              </w:r>
            </w:hyperlink>
            <w:r>
              <w:rPr>
                <w:sz w:val="20"/>
              </w:rPr>
              <w:t>(accessed 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 August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1" w:type="dxa"/>
          </w:tcPr>
          <w:p>
            <w:pPr>
              <w:pStyle w:val="TableParagraph"/>
              <w:spacing w:before="91"/>
              <w:ind w:left="154" w:right="179"/>
              <w:jc w:val="center"/>
              <w:rPr>
                <w:sz w:val="16"/>
              </w:rPr>
            </w:pPr>
            <w:r>
              <w:rPr>
                <w:sz w:val="16"/>
              </w:rPr>
              <w:t>[14]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2"/>
        <w:gridCol w:w="639"/>
      </w:tblGrid>
      <w:tr>
        <w:trPr>
          <w:trHeight w:val="864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20"/>
              <w:ind w:left="483" w:right="251" w:hanging="284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Portugal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(2007),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Regime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jurídico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das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instituições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ensino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superior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[Legal</w:t>
            </w:r>
            <w:r>
              <w:rPr>
                <w:rFonts w:ascii="Arial" w:hAnsi="Arial"/>
                <w:i/>
                <w:spacing w:val="-5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framework of higher education institutions]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https://data.dre.pt/eli/lei/62/2007/09/10/p/dre/pt/htm</w:t>
            </w:r>
            <w:r>
              <w:rPr>
                <w:color w:val="0000FF"/>
                <w:sz w:val="20"/>
              </w:rPr>
              <w:t>l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line="179" w:lineRule="exact" w:before="0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[73]</w:t>
            </w:r>
          </w:p>
        </w:tc>
      </w:tr>
      <w:tr>
        <w:trPr>
          <w:trHeight w:val="960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6"/>
              <w:ind w:left="483" w:right="251" w:hanging="284"/>
              <w:rPr>
                <w:sz w:val="20"/>
              </w:rPr>
            </w:pPr>
            <w:r>
              <w:rPr>
                <w:sz w:val="20"/>
              </w:rPr>
              <w:t>Government of the Slovak Republic (2021), </w:t>
            </w:r>
            <w:r>
              <w:rPr>
                <w:rFonts w:ascii="Arial" w:hAnsi="Arial"/>
                <w:i/>
                <w:sz w:val="20"/>
              </w:rPr>
              <w:t>Plán Obnovy - Cestovná mapa k lepšiemu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Slovensku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[Recovery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Plan: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Roadmap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Better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Slovakia]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Republic,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Bratislava.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94"/>
              <w:jc w:val="center"/>
              <w:rPr>
                <w:sz w:val="16"/>
              </w:rPr>
            </w:pPr>
            <w:r>
              <w:rPr>
                <w:sz w:val="16"/>
              </w:rPr>
              <w:t>[7]</w:t>
            </w:r>
          </w:p>
        </w:tc>
      </w:tr>
      <w:tr>
        <w:trPr>
          <w:trHeight w:val="1221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6"/>
              <w:ind w:left="483" w:right="251" w:hanging="284"/>
              <w:rPr>
                <w:sz w:val="20"/>
              </w:rPr>
            </w:pPr>
            <w:r>
              <w:rPr>
                <w:sz w:val="20"/>
              </w:rPr>
              <w:t>Government of the Slovak Republic (2019), </w:t>
            </w:r>
            <w:r>
              <w:rPr>
                <w:rFonts w:ascii="Arial" w:hAnsi="Arial"/>
                <w:i/>
                <w:sz w:val="20"/>
              </w:rPr>
              <w:t>EUROFONDY: Čerpanie peňazí EÚ dosiahlo k 28.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februáru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22,57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percenta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[EUROFUNDS: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EU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money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absorption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reached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22.57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per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cent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28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February]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71">
              <w:r>
                <w:rPr>
                  <w:color w:val="0000FF"/>
                  <w:sz w:val="20"/>
                  <w:u w:val="single" w:color="0000FF"/>
                </w:rPr>
                <w:t>www.partnerskadohoda.gov.sk/eurofondy-cerpanie-penazi-eu-dosiahlo-k-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28-februaru-2257-percenta/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[35]</w:t>
            </w:r>
          </w:p>
        </w:tc>
      </w:tr>
      <w:tr>
        <w:trPr>
          <w:trHeight w:val="960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3"/>
              <w:ind w:left="483" w:right="251" w:hanging="284"/>
              <w:rPr>
                <w:sz w:val="20"/>
              </w:rPr>
            </w:pPr>
            <w:r>
              <w:rPr>
                <w:sz w:val="20"/>
              </w:rPr>
              <w:t>Guiselin,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regroupements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d’établissements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l’enseignement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supérieur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recherche : enjeux politiques et cadrage juridique”, </w:t>
            </w:r>
            <w:r>
              <w:rPr>
                <w:rFonts w:ascii="Arial" w:hAnsi="Arial"/>
                <w:i/>
                <w:sz w:val="20"/>
              </w:rPr>
              <w:t>Revue française d’administration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publique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Vol.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169/1,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pp.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37-50,</w:t>
            </w:r>
            <w:r>
              <w:rPr>
                <w:spacing w:val="-2"/>
                <w:sz w:val="20"/>
              </w:rPr>
              <w:t> </w:t>
            </w:r>
            <w:hyperlink r:id="rId172">
              <w:r>
                <w:rPr>
                  <w:color w:val="0000FF"/>
                  <w:sz w:val="20"/>
                  <w:u w:val="single" w:color="0000FF"/>
                </w:rPr>
                <w:t>http://dx.doi.org/10.3917/rfap.169.0037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[55]</w:t>
            </w:r>
          </w:p>
        </w:tc>
      </w:tr>
      <w:tr>
        <w:trPr>
          <w:trHeight w:val="960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3"/>
              <w:ind w:left="483" w:right="253" w:hanging="284"/>
              <w:jc w:val="both"/>
              <w:rPr>
                <w:sz w:val="20"/>
              </w:rPr>
            </w:pPr>
            <w:r>
              <w:rPr>
                <w:sz w:val="20"/>
              </w:rPr>
              <w:t>Irish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Universities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Association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Code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Governance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Irish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universities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Irish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Universities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"/>
                <w:sz w:val="20"/>
              </w:rPr>
              <w:t>Association, Dublin,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73">
              <w:r>
                <w:rPr>
                  <w:color w:val="0000FF"/>
                  <w:sz w:val="20"/>
                  <w:u w:val="single" w:color="0000FF"/>
                </w:rPr>
                <w:t>www.iua.ie/publications/code-of-governance-for-irish-universities-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2019/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August 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[76]</w:t>
            </w:r>
          </w:p>
        </w:tc>
      </w:tr>
      <w:tr>
        <w:trPr>
          <w:trHeight w:val="1478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3"/>
              <w:ind w:left="483" w:right="249" w:hanging="284"/>
              <w:rPr>
                <w:sz w:val="20"/>
              </w:rPr>
            </w:pPr>
            <w:r>
              <w:rPr>
                <w:sz w:val="20"/>
              </w:rPr>
              <w:t>James, G. et al. (2019), </w:t>
            </w:r>
            <w:r>
              <w:rPr>
                <w:rFonts w:ascii="Arial"/>
                <w:i/>
                <w:sz w:val="20"/>
              </w:rPr>
              <w:t>Evaluation of the Statistical Elements of the Teaching Excellence and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Student Outcomes Framework</w:t>
            </w:r>
            <w:r>
              <w:rPr>
                <w:sz w:val="20"/>
              </w:rPr>
              <w:t>, Office for National Statistics, London,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https://assets.publishing.service.gov.uk/government/uploads/system/uploads/attachment_dat</w:t>
            </w:r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a/file/940301/5._ONS_Statistical_Evaluation_-_accessible_Sept_2020.pdf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line="230" w:lineRule="exact" w:before="0"/>
              <w:ind w:left="4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[22]</w:t>
            </w:r>
          </w:p>
        </w:tc>
      </w:tr>
      <w:tr>
        <w:trPr>
          <w:trHeight w:val="1221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6"/>
              <w:ind w:left="483" w:hanging="284"/>
              <w:rPr>
                <w:sz w:val="20"/>
              </w:rPr>
            </w:pPr>
            <w:r>
              <w:rPr>
                <w:sz w:val="20"/>
              </w:rPr>
              <w:t>Jongbloed, B. and H. de Boer (2020), </w:t>
            </w:r>
            <w:r>
              <w:rPr>
                <w:rFonts w:ascii="Arial"/>
                <w:i/>
                <w:sz w:val="20"/>
              </w:rPr>
              <w:t>Performance Agreements in Denmark, Ontario and the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Netherlands</w:t>
            </w:r>
            <w:r>
              <w:rPr>
                <w:sz w:val="20"/>
              </w:rPr>
              <w:t>, Center for Higher Education Policy Studies (CHEPS), Enschede,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https://ris.utwente.nl/ws/portalfiles/portal/234127256/Performance_Agreements_in_DK_ONT_</w:t>
            </w:r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and_NL.pdf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 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[46]</w:t>
            </w:r>
          </w:p>
        </w:tc>
      </w:tr>
      <w:tr>
        <w:trPr>
          <w:trHeight w:val="960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3"/>
              <w:ind w:left="483" w:right="251" w:hanging="284"/>
              <w:rPr>
                <w:sz w:val="20"/>
              </w:rPr>
            </w:pPr>
            <w:r>
              <w:rPr>
                <w:sz w:val="20"/>
              </w:rPr>
              <w:t>Jonkers,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Zacharewicz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(2017),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Research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Performance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Based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Funding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Systems: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Comparative Assessment</w:t>
            </w:r>
            <w:r>
              <w:rPr>
                <w:sz w:val="20"/>
              </w:rPr>
              <w:t>, Publications Office of the European Union, Luxembourg,</w:t>
            </w:r>
            <w:r>
              <w:rPr>
                <w:spacing w:val="1"/>
                <w:sz w:val="20"/>
              </w:rPr>
              <w:t> </w:t>
            </w:r>
            <w:hyperlink r:id="rId174">
              <w:r>
                <w:rPr>
                  <w:color w:val="0000FF"/>
                  <w:sz w:val="20"/>
                  <w:u w:val="single" w:color="0000FF"/>
                </w:rPr>
                <w:t>http://dx.doi.org/10.2760/70120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[49]</w:t>
            </w:r>
          </w:p>
        </w:tc>
      </w:tr>
      <w:tr>
        <w:trPr>
          <w:trHeight w:val="1999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3"/>
              <w:ind w:left="483" w:right="173" w:hanging="284"/>
              <w:rPr>
                <w:sz w:val="20"/>
              </w:rPr>
            </w:pPr>
            <w:r>
              <w:rPr>
                <w:sz w:val="20"/>
              </w:rPr>
              <w:t>Latvian Ministry of Education and Science (2019), </w:t>
            </w:r>
            <w:r>
              <w:rPr>
                <w:rFonts w:ascii="Arial" w:hAnsi="Arial"/>
                <w:i/>
                <w:sz w:val="20"/>
              </w:rPr>
              <w:t>Informatīvais ziņojums “Par Izglītības attīstības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pamatnostādņu 2014.–2020.gadam īstenošanas 2014.-2017.gadā starpposma novērtējumu”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[Informative Report “On the Interim Evaluation of the Implementation of the Education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Development Guidelines for 2014-2020 in 2014-2017”]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75">
              <w:r>
                <w:rPr>
                  <w:color w:val="0000FF"/>
                  <w:spacing w:val="-1"/>
                  <w:sz w:val="20"/>
                  <w:u w:val="single" w:color="0000FF"/>
                </w:rPr>
                <w:t>www.izm.gov.lv/lv/informativais-zinojums-par-izglitibas-attistibas-pamatnostadnu-2014-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2020gadam-istenosanas-2014-2017gada-starpposma-novertejumu</w:t>
            </w:r>
            <w:r>
              <w:rPr>
                <w:color w:val="0000FF"/>
                <w:spacing w:val="-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48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[16]</w:t>
            </w:r>
          </w:p>
        </w:tc>
      </w:tr>
      <w:tr>
        <w:trPr>
          <w:trHeight w:val="1385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4"/>
              <w:ind w:left="483" w:right="872" w:hanging="284"/>
              <w:rPr>
                <w:sz w:val="20"/>
              </w:rPr>
            </w:pPr>
            <w:r>
              <w:rPr>
                <w:sz w:val="20"/>
              </w:rPr>
              <w:t>Leadership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Foundation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(2017),</w:t>
            </w:r>
            <w:r>
              <w:rPr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Insight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Guide: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governing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bodies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academic assurance</w:t>
            </w:r>
            <w:r>
              <w:rPr>
                <w:sz w:val="20"/>
              </w:rPr>
              <w:t>, Leadership Foundation for Higher Education, London,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76">
              <w:r>
                <w:rPr>
                  <w:color w:val="0000FF"/>
                  <w:sz w:val="20"/>
                  <w:u w:val="single" w:color="0000FF"/>
                </w:rPr>
                <w:t>www.advance-he.ac.uk/sites/default/files/2019-05/Insight%20Guide%20-</w:t>
              </w:r>
            </w:hyperlink>
          </w:p>
          <w:p>
            <w:pPr>
              <w:pStyle w:val="TableParagraph"/>
              <w:spacing w:before="0"/>
              <w:ind w:left="483"/>
              <w:rPr>
                <w:sz w:val="20"/>
              </w:rPr>
            </w:pPr>
            <w:r>
              <w:rPr>
                <w:color w:val="0000FF"/>
                <w:spacing w:val="-1"/>
                <w:sz w:val="20"/>
                <w:u w:val="single" w:color="0000FF"/>
              </w:rPr>
              <w:t>%20governing%20bodies%20and%20academic%20assurance.pdf</w:t>
            </w:r>
            <w:r>
              <w:rPr>
                <w:color w:val="0000FF"/>
                <w:spacing w:val="5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line="210" w:lineRule="exact" w:before="32"/>
              <w:ind w:left="4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[77]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7"/>
        <w:gridCol w:w="643"/>
      </w:tblGrid>
      <w:tr>
        <w:trPr>
          <w:trHeight w:val="1385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20"/>
              <w:ind w:left="483" w:right="243" w:hanging="284"/>
              <w:rPr>
                <w:sz w:val="20"/>
              </w:rPr>
            </w:pPr>
            <w:r>
              <w:rPr>
                <w:sz w:val="20"/>
              </w:rPr>
              <w:t>Légifrance (2018), </w:t>
            </w:r>
            <w:r>
              <w:rPr>
                <w:rFonts w:ascii="Arial" w:hAnsi="Arial"/>
                <w:i/>
                <w:sz w:val="20"/>
              </w:rPr>
              <w:t>Ordonnance n° 2018-1131 du 12 décembre 2018 relative à l’expérimentation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 nouvelles formes de rapprochement, de regroupement ou de fusion des établissements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d’enseignement supérieur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et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recherche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77">
              <w:r>
                <w:rPr>
                  <w:color w:val="0000FF"/>
                  <w:sz w:val="20"/>
                  <w:u w:val="single" w:color="0000FF"/>
                </w:rPr>
                <w:t>www.legifrance.gouv.fr/jorf/id/JORFTEXT000037800979/</w:t>
              </w:r>
              <w:r>
                <w:rPr>
                  <w:color w:val="0000FF"/>
                  <w:spacing w:val="3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line="230" w:lineRule="exact" w:before="0"/>
              <w:ind w:left="483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December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 w:before="0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[58]</w:t>
            </w:r>
          </w:p>
        </w:tc>
      </w:tr>
      <w:tr>
        <w:trPr>
          <w:trHeight w:val="1219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3"/>
              <w:ind w:left="483" w:right="243" w:hanging="284"/>
              <w:rPr>
                <w:sz w:val="20"/>
              </w:rPr>
            </w:pPr>
            <w:r>
              <w:rPr>
                <w:sz w:val="20"/>
              </w:rPr>
              <w:t>Légifrance (2013), </w:t>
            </w:r>
            <w:r>
              <w:rPr>
                <w:rFonts w:ascii="Arial" w:hAnsi="Arial"/>
                <w:i/>
                <w:sz w:val="20"/>
              </w:rPr>
              <w:t>Code de l’éducation - Chapitre VIII bis : Coopération et regroupements des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établissements (Articles L718-2 à L718-16)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78">
              <w:r>
                <w:rPr>
                  <w:color w:val="0000FF"/>
                  <w:spacing w:val="-1"/>
                  <w:sz w:val="20"/>
                  <w:u w:val="single" w:color="0000FF"/>
                </w:rPr>
                <w:t>www.legifrance.gouv.fr/codes/section_lc/LEGITEXT000006071191/LEGISCTA000027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738668/#LEGISCTA000027738668</w:t>
            </w:r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December 2020).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[57]</w:t>
            </w:r>
          </w:p>
        </w:tc>
      </w:tr>
      <w:tr>
        <w:trPr>
          <w:trHeight w:val="960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6"/>
              <w:ind w:left="483" w:right="243" w:hanging="284"/>
              <w:rPr>
                <w:sz w:val="20"/>
              </w:rPr>
            </w:pPr>
            <w:r>
              <w:rPr>
                <w:sz w:val="20"/>
              </w:rPr>
              <w:t>Légifrance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(2013), </w:t>
            </w:r>
            <w:r>
              <w:rPr>
                <w:rFonts w:ascii="Arial" w:hAnsi="Arial"/>
                <w:i/>
                <w:sz w:val="20"/>
              </w:rPr>
              <w:t>LOI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n°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2013-660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du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22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juillet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2013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relative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à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l’enseignement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supérieur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et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à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recherche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79">
              <w:r>
                <w:rPr>
                  <w:color w:val="0000FF"/>
                  <w:sz w:val="20"/>
                  <w:u w:val="single" w:color="0000FF"/>
                </w:rPr>
                <w:t>www.legifrance.gouv.fr/dossierlegislatif/JORFDOLE000027197524/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 December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[56]</w:t>
            </w:r>
          </w:p>
        </w:tc>
      </w:tr>
      <w:tr>
        <w:trPr>
          <w:trHeight w:val="960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6"/>
              <w:ind w:left="483" w:right="243" w:hanging="284"/>
              <w:rPr>
                <w:sz w:val="20"/>
              </w:rPr>
            </w:pPr>
            <w:r>
              <w:rPr>
                <w:sz w:val="20"/>
              </w:rPr>
              <w:t>Machlica,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(2017),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“Enhancing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advanced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market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Slovak Republic”</w:t>
            </w:r>
            <w:r>
              <w:rPr>
                <w:rFonts w:ascii="Arial" w:hAnsi="Arial"/>
                <w:i/>
                <w:sz w:val="20"/>
              </w:rPr>
              <w:t>, OECD Economics Department Working Papers</w:t>
            </w:r>
            <w:r>
              <w:rPr>
                <w:sz w:val="20"/>
              </w:rPr>
              <w:t>, No. 1416, OECD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 </w:t>
            </w:r>
            <w:r>
              <w:rPr>
                <w:color w:val="0000FF"/>
                <w:sz w:val="20"/>
                <w:u w:val="single" w:color="0000FF"/>
              </w:rPr>
              <w:t>https://dx.doi.org/10.1787/72c55c64-en</w:t>
            </w:r>
            <w:r>
              <w:rPr>
                <w:sz w:val="20"/>
              </w:rPr>
              <w:t>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93"/>
              <w:jc w:val="center"/>
              <w:rPr>
                <w:sz w:val="16"/>
              </w:rPr>
            </w:pPr>
            <w:r>
              <w:rPr>
                <w:sz w:val="16"/>
              </w:rPr>
              <w:t>[3]</w:t>
            </w:r>
          </w:p>
        </w:tc>
      </w:tr>
      <w:tr>
        <w:trPr>
          <w:trHeight w:val="1221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6"/>
              <w:ind w:left="483" w:right="243" w:hanging="284"/>
              <w:rPr>
                <w:sz w:val="20"/>
              </w:rPr>
            </w:pPr>
            <w:r>
              <w:rPr>
                <w:sz w:val="20"/>
              </w:rPr>
              <w:t>Martinák, D. and D. Zápražná (2017), </w:t>
            </w:r>
            <w:r>
              <w:rPr>
                <w:rFonts w:ascii="Arial" w:hAnsi="Arial"/>
                <w:i/>
                <w:sz w:val="20"/>
              </w:rPr>
              <w:t>Analýza regulačných nástrojov na zlepšenie súladu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odborov stredných škôl s potrebami trhu práce [Analysis of regulatory tools to improve the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compliance of secondary school departments with labor market needs]</w:t>
            </w:r>
            <w:r>
              <w:rPr>
                <w:sz w:val="20"/>
              </w:rPr>
              <w:t>, Education Policy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Bratislava,</w:t>
            </w:r>
            <w:r>
              <w:rPr>
                <w:spacing w:val="-5"/>
                <w:sz w:val="20"/>
              </w:rPr>
              <w:t> </w:t>
            </w:r>
            <w:hyperlink r:id="rId180">
              <w:r>
                <w:rPr>
                  <w:color w:val="0000FF"/>
                  <w:sz w:val="20"/>
                  <w:u w:val="single" w:color="0000FF"/>
                </w:rPr>
                <w:t>http://www.minedu.sk/data/att/11874.pdf</w:t>
              </w:r>
              <w:r>
                <w:rPr>
                  <w:color w:val="0000FF"/>
                  <w:spacing w:val="-2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[42]</w:t>
            </w:r>
          </w:p>
        </w:tc>
      </w:tr>
      <w:tr>
        <w:trPr>
          <w:trHeight w:val="698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3"/>
              <w:ind w:left="483" w:right="836" w:hanging="284"/>
              <w:rPr>
                <w:sz w:val="20"/>
              </w:rPr>
            </w:pPr>
            <w:r>
              <w:rPr>
                <w:sz w:val="20"/>
              </w:rPr>
              <w:t>MESA10 (2021), </w:t>
            </w:r>
            <w:r>
              <w:rPr>
                <w:rFonts w:ascii="Arial" w:hAnsi="Arial"/>
                <w:i/>
                <w:sz w:val="20"/>
              </w:rPr>
              <w:t>“Learning Makes Sense” Project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https://en.todarozum.sk/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 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93"/>
              <w:jc w:val="center"/>
              <w:rPr>
                <w:sz w:val="16"/>
              </w:rPr>
            </w:pPr>
            <w:r>
              <w:rPr>
                <w:sz w:val="16"/>
              </w:rPr>
              <w:t>[9]</w:t>
            </w:r>
          </w:p>
        </w:tc>
      </w:tr>
      <w:tr>
        <w:trPr>
          <w:trHeight w:val="1221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6"/>
              <w:ind w:left="483" w:right="256" w:hanging="284"/>
              <w:rPr>
                <w:sz w:val="20"/>
              </w:rPr>
            </w:pPr>
            <w:r>
              <w:rPr>
                <w:sz w:val="20"/>
              </w:rPr>
              <w:t>MIRRI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Supporting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transformation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Slovak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economy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by increasing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its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innovation</w:t>
            </w:r>
            <w:r>
              <w:rPr>
                <w:rFonts w:ascii="Arial"/>
                <w:i/>
                <w:spacing w:val="-5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performance</w:t>
            </w:r>
            <w:r>
              <w:rPr>
                <w:sz w:val="20"/>
              </w:rPr>
              <w:t>, Ministry of Investments, Regional Development and Informatization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Republic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(MIRRI),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Bratislava,</w:t>
            </w:r>
            <w:r>
              <w:rPr>
                <w:spacing w:val="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4">
              <w:r>
                <w:rPr>
                  <w:color w:val="0000FF"/>
                  <w:sz w:val="20"/>
                  <w:u w:val="single" w:color="0000FF"/>
                </w:rPr>
                <w:t>www.mirri.gov.sk/wp-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content/uploads/2021/03/RTDI-in-Slovakia-AS-IS-report.pdf</w:t>
            </w:r>
            <w:r>
              <w:rPr>
                <w:color w:val="0000FF"/>
                <w:spacing w:val="-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[26]</w:t>
            </w:r>
          </w:p>
        </w:tc>
      </w:tr>
      <w:tr>
        <w:trPr>
          <w:trHeight w:val="698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3"/>
              <w:ind w:left="483" w:right="369" w:hanging="284"/>
              <w:rPr>
                <w:sz w:val="20"/>
              </w:rPr>
            </w:pPr>
            <w:r>
              <w:rPr>
                <w:sz w:val="20"/>
              </w:rPr>
              <w:t>MoE (2021), </w:t>
            </w:r>
            <w:r>
              <w:rPr>
                <w:rFonts w:ascii="Arial"/>
                <w:i/>
                <w:sz w:val="20"/>
              </w:rPr>
              <w:t>Financovanie [Financing]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81">
              <w:r>
                <w:rPr>
                  <w:color w:val="0000FF"/>
                  <w:sz w:val="20"/>
                  <w:u w:val="single" w:color="0000FF"/>
                </w:rPr>
                <w:t>www.minedu.sk/677-sk/financovanie/</w:t>
              </w:r>
              <w:r>
                <w:rPr>
                  <w:color w:val="0000FF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[38]</w:t>
            </w:r>
          </w:p>
        </w:tc>
      </w:tr>
      <w:tr>
        <w:trPr>
          <w:trHeight w:val="1221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6"/>
              <w:ind w:left="483" w:right="168" w:hanging="284"/>
              <w:rPr>
                <w:sz w:val="20"/>
              </w:rPr>
            </w:pPr>
            <w:r>
              <w:rPr>
                <w:sz w:val="20"/>
              </w:rPr>
              <w:t>MoE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(2021),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National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action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plan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external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quality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assurance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institutions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 Slovak Republic</w:t>
            </w:r>
            <w:r>
              <w:rPr>
                <w:sz w:val="20"/>
              </w:rPr>
              <w:t>, Ministry of Education, Science, Research and Sport of the Slovak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Republic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(MoE),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Bratislava,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82">
              <w:r>
                <w:rPr>
                  <w:color w:val="0000FF"/>
                  <w:sz w:val="20"/>
                  <w:u w:val="single" w:color="0000FF"/>
                </w:rPr>
                <w:t>www.minedu.sk/data/att/20126.pdf</w:t>
              </w:r>
              <w:r>
                <w:rPr>
                  <w:color w:val="0000FF"/>
                  <w:spacing w:val="2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0"/>
              <w:ind w:left="4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93"/>
              <w:jc w:val="center"/>
              <w:rPr>
                <w:sz w:val="16"/>
              </w:rPr>
            </w:pPr>
            <w:r>
              <w:rPr>
                <w:sz w:val="16"/>
              </w:rPr>
              <w:t>[6]</w:t>
            </w:r>
          </w:p>
        </w:tc>
      </w:tr>
      <w:tr>
        <w:trPr>
          <w:trHeight w:val="1219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3"/>
              <w:ind w:left="483" w:right="168" w:hanging="284"/>
              <w:rPr>
                <w:sz w:val="20"/>
              </w:rPr>
            </w:pPr>
            <w:r>
              <w:rPr>
                <w:sz w:val="20"/>
              </w:rPr>
              <w:t>MoE (2019), </w:t>
            </w:r>
            <w:r>
              <w:rPr>
                <w:rFonts w:ascii="Arial" w:hAnsi="Arial"/>
                <w:i/>
                <w:sz w:val="20"/>
              </w:rPr>
              <w:t>Výročná správa o stave vysokého školstva za rok 2019 [Annual Report on the State</w:t>
            </w:r>
            <w:r>
              <w:rPr>
                <w:rFonts w:ascii="Arial" w:hAnsi="Arial"/>
                <w:i/>
                <w:spacing w:val="-5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 Higher Education for 2019]</w:t>
            </w:r>
            <w:r>
              <w:rPr>
                <w:sz w:val="20"/>
              </w:rPr>
              <w:t>, Ministry of Education, Science, Research and Sport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Slovak Republic (MoE), Bratislava,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5">
              <w:r>
                <w:rPr>
                  <w:color w:val="0000FF"/>
                  <w:sz w:val="20"/>
                  <w:u w:val="single" w:color="0000FF"/>
                </w:rPr>
                <w:t>www.minedu.sk/vyrocne-spravy-o-stave-vysokeho-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skolstva/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 on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[33]</w:t>
            </w:r>
          </w:p>
        </w:tc>
      </w:tr>
      <w:tr>
        <w:trPr>
          <w:trHeight w:val="1219" w:hRule="atLeast"/>
        </w:trPr>
        <w:tc>
          <w:tcPr>
            <w:tcW w:w="8937" w:type="dxa"/>
          </w:tcPr>
          <w:p>
            <w:pPr>
              <w:pStyle w:val="TableParagraph"/>
              <w:spacing w:line="271" w:lineRule="auto" w:before="113"/>
              <w:ind w:left="483" w:right="175" w:hanging="284"/>
              <w:rPr>
                <w:sz w:val="20"/>
              </w:rPr>
            </w:pPr>
            <w:r>
              <w:rPr>
                <w:sz w:val="20"/>
              </w:rPr>
              <w:t>MoE (2017), </w:t>
            </w:r>
            <w:r>
              <w:rPr>
                <w:rFonts w:ascii="Arial" w:hAnsi="Arial"/>
                <w:i/>
                <w:sz w:val="20"/>
              </w:rPr>
              <w:t>Revízia výdavkov na vzdelávanie - Záverečná správa [Revision of Education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Expenditure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-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Final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Report]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Science,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Sport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Republic (MoE), Bratislava,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83">
              <w:r>
                <w:rPr>
                  <w:color w:val="0000FF"/>
                  <w:sz w:val="20"/>
                  <w:u w:val="single" w:color="0000FF"/>
                </w:rPr>
                <w:t>www.minedu.sk/21395-sk/revizia-vydavkov-na-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vzdelavanie-2017/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 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178"/>
              <w:jc w:val="center"/>
              <w:rPr>
                <w:sz w:val="16"/>
              </w:rPr>
            </w:pPr>
            <w:r>
              <w:rPr>
                <w:sz w:val="16"/>
              </w:rPr>
              <w:t>[34]</w:t>
            </w:r>
          </w:p>
        </w:tc>
      </w:tr>
      <w:tr>
        <w:trPr>
          <w:trHeight w:val="864" w:hRule="atLeast"/>
        </w:trPr>
        <w:tc>
          <w:tcPr>
            <w:tcW w:w="8937" w:type="dxa"/>
          </w:tcPr>
          <w:p>
            <w:pPr>
              <w:pStyle w:val="TableParagraph"/>
              <w:spacing w:line="260" w:lineRule="atLeast" w:before="66"/>
              <w:ind w:left="483" w:right="173" w:hanging="284"/>
              <w:jc w:val="both"/>
              <w:rPr>
                <w:sz w:val="20"/>
              </w:rPr>
            </w:pPr>
            <w:r>
              <w:rPr>
                <w:sz w:val="20"/>
              </w:rPr>
              <w:t>MoE (2016), </w:t>
            </w:r>
            <w:r>
              <w:rPr>
                <w:rFonts w:ascii="Arial" w:hAnsi="Arial"/>
                <w:i/>
                <w:sz w:val="20"/>
              </w:rPr>
              <w:t>Učiace sa Slovensko [Learning Slovakia]</w:t>
            </w:r>
            <w:r>
              <w:rPr>
                <w:sz w:val="20"/>
              </w:rPr>
              <w:t>, Ministry of Education, Science, Research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Sport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Republic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(MoE),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Bratislava,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6">
              <w:r>
                <w:rPr>
                  <w:color w:val="0000FF"/>
                  <w:sz w:val="20"/>
                  <w:u w:val="single" w:color="0000FF"/>
                </w:rPr>
                <w:t>www.minedu.sk/data/att/10640.pdf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August 2021).</w:t>
            </w:r>
          </w:p>
        </w:tc>
        <w:tc>
          <w:tcPr>
            <w:tcW w:w="643" w:type="dxa"/>
          </w:tcPr>
          <w:p>
            <w:pPr>
              <w:pStyle w:val="TableParagraph"/>
              <w:spacing w:before="91"/>
              <w:ind w:left="157" w:right="93"/>
              <w:jc w:val="center"/>
              <w:rPr>
                <w:sz w:val="16"/>
              </w:rPr>
            </w:pPr>
            <w:r>
              <w:rPr>
                <w:sz w:val="16"/>
              </w:rPr>
              <w:t>[2]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1"/>
        <w:gridCol w:w="679"/>
      </w:tblGrid>
      <w:tr>
        <w:trPr>
          <w:trHeight w:val="1125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20"/>
              <w:ind w:left="483" w:right="204" w:hanging="284"/>
              <w:rPr>
                <w:sz w:val="20"/>
              </w:rPr>
            </w:pPr>
            <w:r>
              <w:rPr>
                <w:sz w:val="20"/>
              </w:rPr>
              <w:t>National Council of the Slovak Republic (2002), </w:t>
            </w:r>
            <w:r>
              <w:rPr>
                <w:rFonts w:ascii="Arial" w:hAnsi="Arial"/>
                <w:i/>
                <w:sz w:val="20"/>
              </w:rPr>
              <w:t>Zákon č. 131/2002 Z.z. o vysokých školách 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zmene a doplnení niektorých zákonov [Act No. 131/2002 on higher education and on the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change and supplement to some acts]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08">
              <w:r>
                <w:rPr>
                  <w:color w:val="0000FF"/>
                  <w:sz w:val="20"/>
                  <w:u w:val="single" w:color="0000FF"/>
                </w:rPr>
                <w:t>www.zakonypreludi.sk/zz/2002-131</w:t>
              </w:r>
              <w:r>
                <w:rPr>
                  <w:color w:val="0000FF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79" w:type="dxa"/>
          </w:tcPr>
          <w:p>
            <w:pPr>
              <w:pStyle w:val="TableParagraph"/>
              <w:spacing w:line="179" w:lineRule="exact" w:before="0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[63]</w:t>
            </w:r>
          </w:p>
        </w:tc>
      </w:tr>
      <w:tr>
        <w:trPr>
          <w:trHeight w:val="698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3"/>
              <w:ind w:left="483" w:right="2578" w:hanging="284"/>
              <w:rPr>
                <w:sz w:val="20"/>
              </w:rPr>
            </w:pPr>
            <w:r>
              <w:rPr>
                <w:sz w:val="20"/>
              </w:rPr>
              <w:t>OECD (2021), </w:t>
            </w:r>
            <w:r>
              <w:rPr>
                <w:rFonts w:ascii="Arial"/>
                <w:i/>
                <w:sz w:val="20"/>
              </w:rPr>
              <w:t>OECD Education Statistics</w:t>
            </w:r>
            <w:r>
              <w:rPr>
                <w:sz w:val="20"/>
              </w:rPr>
              <w:t>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https://dx.doi.org/10.1787/edu-data-en</w:t>
            </w:r>
            <w:r>
              <w:rPr>
                <w:color w:val="0000FF"/>
                <w:spacing w:val="-7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[29]</w:t>
            </w:r>
          </w:p>
        </w:tc>
      </w:tr>
      <w:tr>
        <w:trPr>
          <w:trHeight w:val="700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6"/>
              <w:ind w:left="483" w:right="1010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Glance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2020: OECD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Indicators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https://dx.doi.org/10.1787/69096873-en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[27]</w:t>
            </w:r>
          </w:p>
        </w:tc>
      </w:tr>
      <w:tr>
        <w:trPr>
          <w:trHeight w:val="960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3"/>
              <w:ind w:left="483" w:right="448" w:hanging="284"/>
              <w:rPr>
                <w:sz w:val="20"/>
              </w:rPr>
            </w:pPr>
            <w:r>
              <w:rPr>
                <w:sz w:val="20"/>
              </w:rPr>
              <w:t>OECD (2020), </w:t>
            </w:r>
            <w:r>
              <w:rPr>
                <w:rFonts w:ascii="Arial"/>
                <w:i/>
                <w:sz w:val="20"/>
              </w:rPr>
              <w:t>Labour Market Relevance and Outcomes of Higher Education in Four US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States: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Ohio,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Texas,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Virginia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Washington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https://dx.doi.org/10.1787/38361454-en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[41]</w:t>
            </w:r>
          </w:p>
        </w:tc>
      </w:tr>
      <w:tr>
        <w:trPr>
          <w:trHeight w:val="701" w:hRule="atLeast"/>
        </w:trPr>
        <w:tc>
          <w:tcPr>
            <w:tcW w:w="8901" w:type="dxa"/>
          </w:tcPr>
          <w:p>
            <w:pPr>
              <w:pStyle w:val="TableParagraph"/>
              <w:spacing w:line="273" w:lineRule="auto" w:before="114"/>
              <w:ind w:left="483" w:right="204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Main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Science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Technology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Indicators,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Volume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2020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Issue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https://dx.doi.org/10.1787/e3c3bda6-en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[28]</w:t>
            </w:r>
          </w:p>
        </w:tc>
      </w:tr>
      <w:tr>
        <w:trPr>
          <w:trHeight w:val="698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3"/>
              <w:ind w:left="483" w:right="600" w:hanging="284"/>
              <w:rPr>
                <w:sz w:val="20"/>
              </w:rPr>
            </w:pPr>
            <w:r>
              <w:rPr>
                <w:sz w:val="20"/>
              </w:rPr>
              <w:t>OECD (2020), </w:t>
            </w:r>
            <w:r>
              <w:rPr>
                <w:rFonts w:ascii="Arial"/>
                <w:i/>
                <w:sz w:val="20"/>
              </w:rPr>
              <w:t>OECD Skills Strategy Slovak Republic: Assessment and Recommendations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Studies,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https://dx.doi.org/10.1787/bb688e68-en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91"/>
              <w:jc w:val="center"/>
              <w:rPr>
                <w:sz w:val="16"/>
              </w:rPr>
            </w:pPr>
            <w:r>
              <w:rPr>
                <w:sz w:val="16"/>
              </w:rPr>
              <w:t>[4]</w:t>
            </w:r>
          </w:p>
        </w:tc>
      </w:tr>
      <w:tr>
        <w:trPr>
          <w:trHeight w:val="700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6"/>
              <w:ind w:left="483" w:right="332" w:hanging="284"/>
              <w:rPr>
                <w:sz w:val="20"/>
              </w:rPr>
            </w:pPr>
            <w:r>
              <w:rPr>
                <w:sz w:val="20"/>
              </w:rPr>
              <w:t>OECD (2020), </w:t>
            </w:r>
            <w:r>
              <w:rPr>
                <w:rFonts w:ascii="Arial"/>
                <w:i/>
                <w:sz w:val="20"/>
              </w:rPr>
              <w:t>Resourcing Higher Education: Challenges, Choices and Consequences</w:t>
            </w:r>
            <w:r>
              <w:rPr>
                <w:sz w:val="20"/>
              </w:rPr>
              <w:t>, Higher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https://dx.doi.org/10.1787/735e1f44-en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[32]</w:t>
            </w:r>
          </w:p>
        </w:tc>
      </w:tr>
      <w:tr>
        <w:trPr>
          <w:trHeight w:val="960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3"/>
              <w:ind w:left="483" w:right="811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Strengthening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Governance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Skills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Systems: Lessons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Six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OECD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Countries</w:t>
            </w:r>
            <w:r>
              <w:rPr>
                <w:sz w:val="20"/>
              </w:rPr>
              <w:t>, OECD Skills Studies,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https://dx.doi.org/10.1787/3a4bb6ea-en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[18]</w:t>
            </w:r>
          </w:p>
        </w:tc>
      </w:tr>
      <w:tr>
        <w:trPr>
          <w:trHeight w:val="701" w:hRule="atLeast"/>
        </w:trPr>
        <w:tc>
          <w:tcPr>
            <w:tcW w:w="8901" w:type="dxa"/>
          </w:tcPr>
          <w:p>
            <w:pPr>
              <w:pStyle w:val="TableParagraph"/>
              <w:spacing w:line="273" w:lineRule="auto" w:before="113"/>
              <w:ind w:left="483" w:right="204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Benchmarking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Performance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 </w:t>
            </w:r>
            <w:r>
              <w:rPr>
                <w:color w:val="0000FF"/>
                <w:sz w:val="20"/>
                <w:u w:val="single" w:color="0000FF"/>
              </w:rPr>
              <w:t>https://dx.doi.org/10.1787/be5514d7-en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[48]</w:t>
            </w:r>
          </w:p>
        </w:tc>
      </w:tr>
      <w:tr>
        <w:trPr>
          <w:trHeight w:val="698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3"/>
              <w:ind w:left="483" w:right="204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Policy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Outlook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2019: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Working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Together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Help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Students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Achieve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their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Potential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OECD Publishing,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https://dx.doi.org/10.1787/2b8ad56e-en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[65]</w:t>
            </w:r>
          </w:p>
        </w:tc>
      </w:tr>
      <w:tr>
        <w:trPr>
          <w:trHeight w:val="700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6"/>
              <w:ind w:left="483" w:right="753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OECD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Economic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Surveys: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Slovak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Republic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2019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https://dx.doi.org/10.1787/eco_surveys-svk-2019-en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[25]</w:t>
            </w:r>
          </w:p>
        </w:tc>
      </w:tr>
      <w:tr>
        <w:trPr>
          <w:trHeight w:val="700" w:hRule="atLeast"/>
        </w:trPr>
        <w:tc>
          <w:tcPr>
            <w:tcW w:w="8901" w:type="dxa"/>
          </w:tcPr>
          <w:p>
            <w:pPr>
              <w:pStyle w:val="TableParagraph"/>
              <w:spacing w:line="273" w:lineRule="auto" w:before="113"/>
              <w:ind w:left="483" w:right="345" w:hanging="284"/>
              <w:rPr>
                <w:sz w:val="20"/>
              </w:rPr>
            </w:pPr>
            <w:r>
              <w:rPr>
                <w:sz w:val="20"/>
              </w:rPr>
              <w:t>OECD (2019), </w:t>
            </w:r>
            <w:r>
              <w:rPr>
                <w:rFonts w:ascii="Arial"/>
                <w:i/>
                <w:sz w:val="20"/>
              </w:rPr>
              <w:t>OECD Skills Strategy Latvia: Assessment and Recommendations</w:t>
            </w:r>
            <w:r>
              <w:rPr>
                <w:sz w:val="20"/>
              </w:rPr>
              <w:t>, OECD Skills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Studies,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Publishing, Paris,</w:t>
            </w:r>
            <w:r>
              <w:rPr>
                <w:spacing w:val="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https://dx.doi.org/10.1787/74fe3bf8-en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[15]</w:t>
            </w:r>
          </w:p>
        </w:tc>
      </w:tr>
      <w:tr>
        <w:trPr>
          <w:trHeight w:val="698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3"/>
              <w:ind w:left="483" w:right="256" w:hanging="284"/>
              <w:rPr>
                <w:sz w:val="20"/>
              </w:rPr>
            </w:pPr>
            <w:r>
              <w:rPr>
                <w:sz w:val="20"/>
              </w:rPr>
              <w:t>OECD (2019), </w:t>
            </w:r>
            <w:r>
              <w:rPr>
                <w:rFonts w:ascii="Arial"/>
                <w:i/>
                <w:sz w:val="20"/>
              </w:rPr>
              <w:t>OECD Skills Strategy Poland: Assessment and Recommendations</w:t>
            </w:r>
            <w:r>
              <w:rPr>
                <w:sz w:val="20"/>
              </w:rPr>
              <w:t>, OECD Skills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Studies,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Publishing, Paris,</w:t>
            </w:r>
            <w:r>
              <w:rPr>
                <w:spacing w:val="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https://dx.doi.org/10.1787/b377fbcc-en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[17]</w:t>
            </w:r>
          </w:p>
        </w:tc>
      </w:tr>
      <w:tr>
        <w:trPr>
          <w:trHeight w:val="701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6"/>
              <w:ind w:left="483" w:right="247" w:hanging="284"/>
              <w:rPr>
                <w:sz w:val="20"/>
              </w:rPr>
            </w:pPr>
            <w:r>
              <w:rPr>
                <w:sz w:val="20"/>
              </w:rPr>
              <w:t>OECD (2016), </w:t>
            </w:r>
            <w:r>
              <w:rPr>
                <w:rFonts w:ascii="Arial"/>
                <w:i/>
                <w:sz w:val="20"/>
              </w:rPr>
              <w:t>How good is your job? Measuring and assessing job quality</w:t>
            </w:r>
            <w:r>
              <w:rPr>
                <w:sz w:val="20"/>
              </w:rPr>
              <w:t>, OECD,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84">
              <w:r>
                <w:rPr>
                  <w:color w:val="0000FF"/>
                  <w:sz w:val="20"/>
                  <w:u w:val="single" w:color="0000FF"/>
                </w:rPr>
                <w:t>www.oecd.org/sdd/labour-stats/Job-quality-OECD.pdf</w:t>
              </w:r>
              <w:r>
                <w:rPr>
                  <w:color w:val="0000FF"/>
                  <w:spacing w:val="-8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[39]</w:t>
            </w:r>
          </w:p>
        </w:tc>
      </w:tr>
      <w:tr>
        <w:trPr>
          <w:trHeight w:val="960" w:hRule="atLeast"/>
        </w:trPr>
        <w:tc>
          <w:tcPr>
            <w:tcW w:w="8901" w:type="dxa"/>
          </w:tcPr>
          <w:p>
            <w:pPr>
              <w:pStyle w:val="TableParagraph"/>
              <w:spacing w:line="271" w:lineRule="auto" w:before="113"/>
              <w:ind w:left="483" w:right="442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(2008),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Tertiary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Knowledge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Society: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Volume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Volume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Reviews of Tertiary Education,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https://dx.doi.org/10.1787/9789264046535-en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[70]</w:t>
            </w:r>
          </w:p>
        </w:tc>
      </w:tr>
      <w:tr>
        <w:trPr>
          <w:trHeight w:val="605" w:hRule="atLeast"/>
        </w:trPr>
        <w:tc>
          <w:tcPr>
            <w:tcW w:w="8901" w:type="dxa"/>
          </w:tcPr>
          <w:p>
            <w:pPr>
              <w:pStyle w:val="TableParagraph"/>
              <w:spacing w:line="260" w:lineRule="atLeast" w:before="65"/>
              <w:ind w:left="483" w:right="2309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(2003),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Policy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Analysis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2003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https://dx.doi.org/10.1787/epa-2003-en</w:t>
            </w:r>
            <w:r>
              <w:rPr>
                <w:sz w:val="20"/>
              </w:rPr>
              <w:t>.</w:t>
            </w:r>
          </w:p>
        </w:tc>
        <w:tc>
          <w:tcPr>
            <w:tcW w:w="679" w:type="dxa"/>
          </w:tcPr>
          <w:p>
            <w:pPr>
              <w:pStyle w:val="TableParagraph"/>
              <w:spacing w:before="91"/>
              <w:ind w:left="191" w:right="179"/>
              <w:jc w:val="center"/>
              <w:rPr>
                <w:sz w:val="16"/>
              </w:rPr>
            </w:pPr>
            <w:r>
              <w:rPr>
                <w:sz w:val="16"/>
              </w:rPr>
              <w:t>[69]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2"/>
        <w:gridCol w:w="639"/>
      </w:tblGrid>
      <w:tr>
        <w:trPr>
          <w:trHeight w:val="864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20"/>
              <w:ind w:left="483" w:right="195" w:hanging="284"/>
              <w:rPr>
                <w:sz w:val="20"/>
              </w:rPr>
            </w:pPr>
            <w:r>
              <w:rPr>
                <w:sz w:val="20"/>
              </w:rPr>
              <w:t>OECD/European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(2017),</w:t>
            </w:r>
            <w:r>
              <w:rPr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Supporting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Entrepreneurship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Innovation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 Hungary</w:t>
            </w:r>
            <w:r>
              <w:rPr>
                <w:sz w:val="20"/>
              </w:rPr>
              <w:t>, OECD Skills Studies, OECD Publishing, Paris/European Union, Brussels,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https://dx.doi.org/10.1787/9789264273344-en</w:t>
            </w:r>
            <w:r>
              <w:rPr>
                <w:sz w:val="20"/>
              </w:rPr>
              <w:t>.</w:t>
            </w:r>
          </w:p>
        </w:tc>
        <w:tc>
          <w:tcPr>
            <w:tcW w:w="639" w:type="dxa"/>
          </w:tcPr>
          <w:p>
            <w:pPr>
              <w:pStyle w:val="TableParagraph"/>
              <w:spacing w:line="179" w:lineRule="exact" w:before="0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[10]</w:t>
            </w:r>
          </w:p>
        </w:tc>
      </w:tr>
      <w:tr>
        <w:trPr>
          <w:trHeight w:val="1221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6"/>
              <w:ind w:left="483" w:hanging="284"/>
              <w:rPr>
                <w:sz w:val="20"/>
              </w:rPr>
            </w:pPr>
            <w:r>
              <w:rPr>
                <w:sz w:val="20"/>
              </w:rPr>
              <w:t>OfS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(2018),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Securing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Student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Success: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Regulatory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Framework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England</w:t>
            </w:r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Office for Students (OfS), Bristol,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85">
              <w:r>
                <w:rPr>
                  <w:color w:val="0000FF"/>
                  <w:sz w:val="20"/>
                  <w:u w:val="single" w:color="0000FF"/>
                </w:rPr>
                <w:t>www.officeforstudents.org.uk/media/1406/ofs2018_01.pdf</w:t>
              </w:r>
              <w:r>
                <w:rPr>
                  <w:color w:val="0000FF"/>
                  <w:spacing w:val="3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0"/>
              <w:ind w:left="4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[21]</w:t>
            </w:r>
          </w:p>
        </w:tc>
      </w:tr>
      <w:tr>
        <w:trPr>
          <w:trHeight w:val="1219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Ossenblok,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T.,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Engels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G. Sivertsen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(2012),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representation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humanities in the Web of Science - A comparison of publication patterns and incentive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structures in Flanders and Norway (2005-9)”, </w:t>
            </w:r>
            <w:r>
              <w:rPr>
                <w:rFonts w:ascii="Arial" w:hAnsi="Arial"/>
                <w:i/>
                <w:sz w:val="20"/>
              </w:rPr>
              <w:t>Research Evaluation</w:t>
            </w:r>
            <w:r>
              <w:rPr>
                <w:sz w:val="20"/>
              </w:rPr>
              <w:t>, Vol. 21/4, pp. 280-290,</w:t>
            </w:r>
            <w:r>
              <w:rPr>
                <w:spacing w:val="1"/>
                <w:sz w:val="20"/>
              </w:rPr>
              <w:t> </w:t>
            </w:r>
            <w:hyperlink r:id="rId186">
              <w:r>
                <w:rPr>
                  <w:color w:val="0000FF"/>
                  <w:sz w:val="20"/>
                  <w:u w:val="single" w:color="0000FF"/>
                </w:rPr>
                <w:t>http://dx.doi.org/10.1093/reseval/rvs019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[51]</w:t>
            </w:r>
          </w:p>
        </w:tc>
      </w:tr>
      <w:tr>
        <w:trPr>
          <w:trHeight w:val="1219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4"/>
              <w:ind w:left="483" w:hanging="284"/>
              <w:rPr>
                <w:sz w:val="20"/>
              </w:rPr>
            </w:pPr>
            <w:r>
              <w:rPr>
                <w:sz w:val="20"/>
              </w:rPr>
              <w:t>Pruvot, E. and T. Estermann (2017), </w:t>
            </w:r>
            <w:r>
              <w:rPr>
                <w:rFonts w:ascii="Arial"/>
                <w:i/>
                <w:sz w:val="20"/>
              </w:rPr>
              <w:t>University Autonomy in Europe III: The Scorecard 2017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European University Association, Brussels,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87">
              <w:r>
                <w:rPr>
                  <w:color w:val="0000FF"/>
                  <w:spacing w:val="-1"/>
                  <w:sz w:val="20"/>
                  <w:u w:val="single" w:color="0000FF"/>
                </w:rPr>
                <w:t>www.eua.eu/downloads/publications/university%20autonomy%20in%20europe%20iii%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20the%20scorecard%202017.pdf</w:t>
            </w:r>
            <w:r>
              <w:rPr>
                <w:color w:val="0000FF"/>
                <w:spacing w:val="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[62]</w:t>
            </w:r>
          </w:p>
        </w:tc>
      </w:tr>
      <w:tr>
        <w:trPr>
          <w:trHeight w:val="1480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6"/>
              <w:ind w:left="483" w:right="195" w:hanging="284"/>
              <w:rPr>
                <w:sz w:val="20"/>
              </w:rPr>
            </w:pPr>
            <w:r>
              <w:rPr>
                <w:sz w:val="20"/>
              </w:rPr>
              <w:t>Reichert,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(2009),</w:t>
            </w:r>
            <w:r>
              <w:rPr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Institutional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diversity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European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education:</w:t>
            </w:r>
            <w:r>
              <w:rPr>
                <w:rFonts w:ascii="Arial"/>
                <w:i/>
                <w:spacing w:val="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Tensions</w:t>
            </w:r>
            <w:r>
              <w:rPr>
                <w:rFonts w:ascii="Arial"/>
                <w:i/>
                <w:spacing w:val="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challenges for policy makers and institutional leaders</w:t>
            </w:r>
            <w:r>
              <w:rPr>
                <w:sz w:val="20"/>
              </w:rPr>
              <w:t>, European University Association,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Brussels,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https://eua.eu/downloads/publications/institutional%20diversity%20in%20european%20higher</w:t>
            </w:r>
          </w:p>
          <w:p>
            <w:pPr>
              <w:pStyle w:val="TableParagraph"/>
              <w:spacing w:line="230" w:lineRule="exact" w:before="0"/>
              <w:ind w:left="483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%20education%20%20tensions%20and%20challenges.pdf</w:t>
            </w:r>
            <w:r>
              <w:rPr>
                <w:color w:val="0000FF"/>
                <w:spacing w:val="-4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94"/>
              <w:jc w:val="center"/>
              <w:rPr>
                <w:sz w:val="16"/>
              </w:rPr>
            </w:pPr>
            <w:r>
              <w:rPr>
                <w:sz w:val="16"/>
              </w:rPr>
              <w:t>[1]</w:t>
            </w:r>
          </w:p>
        </w:tc>
      </w:tr>
      <w:tr>
        <w:trPr>
          <w:trHeight w:val="960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3"/>
              <w:ind w:left="483" w:right="246" w:hanging="284"/>
              <w:rPr>
                <w:sz w:val="20"/>
              </w:rPr>
            </w:pPr>
            <w:r>
              <w:rPr>
                <w:sz w:val="20"/>
              </w:rPr>
              <w:t>SAAHE (2021), </w:t>
            </w:r>
            <w:r>
              <w:rPr>
                <w:rFonts w:ascii="Arial"/>
                <w:i/>
                <w:sz w:val="20"/>
              </w:rPr>
              <w:t>Slovak Accreditation Agency for Higher Education published the first results of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 largest survey of student satisfaction in the Slovak Republic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https://saavs.sk/survey-first-</w:t>
            </w:r>
            <w:r>
              <w:rPr>
                <w:color w:val="0000FF"/>
                <w:spacing w:val="-54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results/</w:t>
            </w:r>
            <w:r>
              <w:rPr>
                <w:color w:val="0000FF"/>
                <w:spacing w:val="-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15 July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94"/>
              <w:jc w:val="center"/>
              <w:rPr>
                <w:sz w:val="16"/>
              </w:rPr>
            </w:pPr>
            <w:r>
              <w:rPr>
                <w:sz w:val="16"/>
              </w:rPr>
              <w:t>[5]</w:t>
            </w:r>
          </w:p>
        </w:tc>
      </w:tr>
      <w:tr>
        <w:trPr>
          <w:trHeight w:val="1219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4"/>
              <w:ind w:left="483" w:right="356" w:hanging="284"/>
              <w:rPr>
                <w:sz w:val="20"/>
              </w:rPr>
            </w:pPr>
            <w:r>
              <w:rPr>
                <w:sz w:val="20"/>
              </w:rPr>
              <w:t>Slovak Rectors Conference (2021), </w:t>
            </w:r>
            <w:r>
              <w:rPr>
                <w:rFonts w:ascii="Arial" w:hAnsi="Arial"/>
                <w:i/>
                <w:sz w:val="20"/>
              </w:rPr>
              <w:t>Slovenské univerzity úspešné v iniciatíve European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Universities [Slovak universities successful in the European Universities initiative]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88">
              <w:r>
                <w:rPr>
                  <w:color w:val="0000FF"/>
                  <w:spacing w:val="-1"/>
                  <w:sz w:val="20"/>
                  <w:u w:val="single" w:color="0000FF"/>
                </w:rPr>
                <w:t>www.srk.sk/sk/aktuality/407-slovenske-univerzitu-budu-sucastou-iniciativy-european-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universities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[61]</w:t>
            </w:r>
          </w:p>
        </w:tc>
      </w:tr>
      <w:tr>
        <w:trPr>
          <w:trHeight w:val="960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6"/>
              <w:ind w:left="483" w:right="228" w:hanging="284"/>
              <w:rPr>
                <w:sz w:val="20"/>
              </w:rPr>
            </w:pPr>
            <w:r>
              <w:rPr>
                <w:sz w:val="20"/>
              </w:rPr>
              <w:t>THEA (2018), </w:t>
            </w:r>
            <w:r>
              <w:rPr>
                <w:rFonts w:ascii="Arial"/>
                <w:i/>
                <w:sz w:val="20"/>
              </w:rPr>
              <w:t>THEA Code of Governance forIstitutes of Technology</w:t>
            </w:r>
            <w:r>
              <w:rPr>
                <w:sz w:val="20"/>
              </w:rPr>
              <w:t>, Technological Higher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 Association (THEA), Dublin, </w:t>
            </w:r>
            <w:r>
              <w:rPr>
                <w:color w:val="0000FF"/>
                <w:sz w:val="20"/>
                <w:u w:val="single" w:color="0000FF"/>
              </w:rPr>
              <w:t>https://hea.ie/assets/uploads/2018/01/THEA-Code-of-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Governance-of-Institutes-of-Technology-January-2018.pdf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[75]</w:t>
            </w:r>
          </w:p>
        </w:tc>
      </w:tr>
      <w:tr>
        <w:trPr>
          <w:trHeight w:val="1221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6"/>
              <w:ind w:left="483" w:right="399" w:hanging="284"/>
              <w:rPr>
                <w:sz w:val="20"/>
              </w:rPr>
            </w:pPr>
            <w:r>
              <w:rPr>
                <w:sz w:val="20"/>
              </w:rPr>
              <w:t>UK Department for Education (2019), </w:t>
            </w:r>
            <w:r>
              <w:rPr>
                <w:rFonts w:ascii="Arial"/>
                <w:i/>
                <w:sz w:val="20"/>
              </w:rPr>
              <w:t>Independent Review of the Teaching Excellence and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Student Outcomes Framework (TEF)</w:t>
            </w:r>
            <w:r>
              <w:rPr>
                <w:sz w:val="20"/>
              </w:rPr>
              <w:t>, Department for Education, London,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189">
              <w:r>
                <w:rPr>
                  <w:color w:val="0000FF"/>
                  <w:spacing w:val="-1"/>
                  <w:sz w:val="20"/>
                  <w:u w:val="single" w:color="0000FF"/>
                </w:rPr>
                <w:t>www.gov.uk/government/publications/independent-review-of-tef-report</w:t>
              </w:r>
              <w:r>
                <w:rPr>
                  <w:color w:val="0000FF"/>
                  <w:spacing w:val="8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[24]</w:t>
            </w:r>
          </w:p>
        </w:tc>
      </w:tr>
      <w:tr>
        <w:trPr>
          <w:trHeight w:val="1478" w:hRule="atLeast"/>
        </w:trPr>
        <w:tc>
          <w:tcPr>
            <w:tcW w:w="8942" w:type="dxa"/>
          </w:tcPr>
          <w:p>
            <w:pPr>
              <w:pStyle w:val="TableParagraph"/>
              <w:spacing w:line="271" w:lineRule="auto" w:before="114"/>
              <w:ind w:left="483" w:right="251" w:hanging="284"/>
              <w:rPr>
                <w:sz w:val="20"/>
              </w:rPr>
            </w:pPr>
            <w:r>
              <w:rPr>
                <w:sz w:val="20"/>
              </w:rPr>
              <w:t>UK Department for Education (2017), </w:t>
            </w:r>
            <w:r>
              <w:rPr>
                <w:rFonts w:ascii="Arial"/>
                <w:i/>
                <w:sz w:val="20"/>
              </w:rPr>
              <w:t>Teaching Excellence and Student Outcomes Framework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Specification</w:t>
            </w:r>
            <w:r>
              <w:rPr>
                <w:sz w:val="20"/>
              </w:rPr>
              <w:t>, Department for Education, London,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https://assets.publishing.service.gov.uk/government/uploads/system/uploads/attachment_dat</w:t>
            </w:r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a/file/658490/Teaching_Excellence_and_Student_Outcomes_Framework_Specification.pdf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 August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[20]</w:t>
            </w:r>
          </w:p>
        </w:tc>
      </w:tr>
      <w:tr>
        <w:trPr>
          <w:trHeight w:val="345" w:hRule="atLeast"/>
        </w:trPr>
        <w:tc>
          <w:tcPr>
            <w:tcW w:w="8942" w:type="dxa"/>
          </w:tcPr>
          <w:p>
            <w:pPr>
              <w:pStyle w:val="TableParagraph"/>
              <w:spacing w:line="210" w:lineRule="exact" w:before="116"/>
              <w:ind w:left="200"/>
              <w:rPr>
                <w:sz w:val="20"/>
              </w:rPr>
            </w:pPr>
            <w:r>
              <w:rPr>
                <w:sz w:val="20"/>
              </w:rPr>
              <w:t>Uplatnenie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(2021),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Uplatnenie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hyperlink r:id="rId190">
              <w:r>
                <w:rPr>
                  <w:color w:val="0000FF"/>
                  <w:sz w:val="20"/>
                  <w:u w:val="single" w:color="0000FF"/>
                </w:rPr>
                <w:t>http://www.uplatnenie.sk</w:t>
              </w:r>
              <w:r>
                <w:rPr>
                  <w:color w:val="0000FF"/>
                  <w:spacing w:val="-2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9" w:type="dxa"/>
          </w:tcPr>
          <w:p>
            <w:pPr>
              <w:pStyle w:val="TableParagraph"/>
              <w:spacing w:before="91"/>
              <w:ind w:left="152" w:right="179"/>
              <w:jc w:val="center"/>
              <w:rPr>
                <w:sz w:val="16"/>
              </w:rPr>
            </w:pPr>
            <w:r>
              <w:rPr>
                <w:sz w:val="16"/>
              </w:rPr>
              <w:t>[68]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3"/>
        <w:gridCol w:w="656"/>
      </w:tblGrid>
      <w:tr>
        <w:trPr>
          <w:trHeight w:val="1125" w:hRule="atLeast"/>
        </w:trPr>
        <w:tc>
          <w:tcPr>
            <w:tcW w:w="8923" w:type="dxa"/>
          </w:tcPr>
          <w:p>
            <w:pPr>
              <w:pStyle w:val="TableParagraph"/>
              <w:spacing w:line="271" w:lineRule="auto" w:before="20"/>
              <w:ind w:left="483" w:right="307" w:hanging="284"/>
              <w:rPr>
                <w:sz w:val="20"/>
              </w:rPr>
            </w:pPr>
            <w:r>
              <w:rPr>
                <w:sz w:val="20"/>
              </w:rPr>
              <w:t>Vivian,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Evaluation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Provider-level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TEF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2016-17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(Year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2):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Measuring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initial</w:t>
            </w:r>
            <w:r>
              <w:rPr>
                <w:rFonts w:ascii="Arial"/>
                <w:i/>
                <w:spacing w:val="-5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impact of the TEF on the Higher Education landscape</w:t>
            </w:r>
            <w:r>
              <w:rPr>
                <w:sz w:val="20"/>
              </w:rPr>
              <w:t>, Department for Education, London,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91">
              <w:r>
                <w:rPr>
                  <w:color w:val="0000FF"/>
                  <w:sz w:val="20"/>
                  <w:u w:val="single" w:color="0000FF"/>
                </w:rPr>
                <w:t>www.gov.uk/government/publications/evaluation-of-provider-level-tef-2016-to-2017-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year-2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 on 10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56" w:type="dxa"/>
          </w:tcPr>
          <w:p>
            <w:pPr>
              <w:pStyle w:val="TableParagraph"/>
              <w:spacing w:line="179" w:lineRule="exact" w:before="0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[23]</w:t>
            </w:r>
          </w:p>
        </w:tc>
      </w:tr>
      <w:tr>
        <w:trPr>
          <w:trHeight w:val="960" w:hRule="atLeast"/>
        </w:trPr>
        <w:tc>
          <w:tcPr>
            <w:tcW w:w="8923" w:type="dxa"/>
          </w:tcPr>
          <w:p>
            <w:pPr>
              <w:pStyle w:val="TableParagraph"/>
              <w:spacing w:line="271" w:lineRule="auto" w:before="113"/>
              <w:ind w:left="483" w:right="470" w:hanging="284"/>
              <w:rPr>
                <w:sz w:val="20"/>
              </w:rPr>
            </w:pPr>
            <w:r>
              <w:rPr>
                <w:sz w:val="20"/>
              </w:rPr>
              <w:t>Williams, J. (2017), “Collaboration, alliance, and merger among higher education institutions”</w:t>
            </w:r>
            <w:r>
              <w:rPr>
                <w:rFonts w:ascii="Arial" w:hAnsi="Arial"/>
                <w:i/>
                <w:sz w:val="20"/>
              </w:rPr>
              <w:t>,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OECD Education Working Papers</w:t>
            </w:r>
            <w:r>
              <w:rPr>
                <w:sz w:val="20"/>
              </w:rPr>
              <w:t>, No. 160,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https://dx.doi.org/10.1787/cf14d4b5-en</w:t>
            </w:r>
            <w:r>
              <w:rPr>
                <w:sz w:val="20"/>
              </w:rPr>
              <w:t>.</w:t>
            </w:r>
          </w:p>
        </w:tc>
        <w:tc>
          <w:tcPr>
            <w:tcW w:w="656" w:type="dxa"/>
          </w:tcPr>
          <w:p>
            <w:pPr>
              <w:pStyle w:val="TableParagraph"/>
              <w:spacing w:before="9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[54]</w:t>
            </w:r>
          </w:p>
        </w:tc>
      </w:tr>
      <w:tr>
        <w:trPr>
          <w:trHeight w:val="864" w:hRule="atLeast"/>
        </w:trPr>
        <w:tc>
          <w:tcPr>
            <w:tcW w:w="8923" w:type="dxa"/>
          </w:tcPr>
          <w:p>
            <w:pPr>
              <w:pStyle w:val="TableParagraph"/>
              <w:spacing w:line="271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Zehetner, A. (2021), </w:t>
            </w:r>
            <w:r>
              <w:rPr>
                <w:rFonts w:ascii="Arial" w:hAnsi="Arial"/>
                <w:i/>
                <w:sz w:val="20"/>
              </w:rPr>
              <w:t>Using funding levers to promote higher education performance – An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institutional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perspective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expert-meeting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project</w:t>
            </w:r>
          </w:p>
          <w:p>
            <w:pPr>
              <w:pStyle w:val="TableParagraph"/>
              <w:spacing w:line="210" w:lineRule="exact" w:before="1"/>
              <w:ind w:left="483"/>
              <w:rPr>
                <w:sz w:val="20"/>
              </w:rPr>
            </w:pPr>
            <w:r>
              <w:rPr>
                <w:sz w:val="20"/>
              </w:rPr>
              <w:t>"Improving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Republic".</w:t>
            </w:r>
          </w:p>
        </w:tc>
        <w:tc>
          <w:tcPr>
            <w:tcW w:w="656" w:type="dxa"/>
          </w:tcPr>
          <w:p>
            <w:pPr>
              <w:pStyle w:val="TableParagraph"/>
              <w:spacing w:before="91"/>
              <w:ind w:left="171" w:right="177"/>
              <w:jc w:val="center"/>
              <w:rPr>
                <w:sz w:val="16"/>
              </w:rPr>
            </w:pPr>
            <w:r>
              <w:rPr>
                <w:sz w:val="16"/>
              </w:rPr>
              <w:t>[66]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140" w:bottom="920" w:left="1120" w:right="10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even" r:id="rId192"/>
          <w:footerReference w:type="even" r:id="rId193"/>
          <w:pgSz w:w="11910" w:h="15880"/>
          <w:pgMar w:header="0" w:footer="0" w:top="1500" w:bottom="280" w:left="1120" w:right="1000"/>
        </w:sectPr>
      </w:pPr>
    </w:p>
    <w:p>
      <w:pPr>
        <w:spacing w:line="261" w:lineRule="auto" w:before="194"/>
        <w:ind w:left="183" w:right="441" w:firstLine="0"/>
        <w:jc w:val="left"/>
        <w:rPr>
          <w:rFonts w:ascii="Arial"/>
          <w:b/>
          <w:sz w:val="48"/>
        </w:rPr>
      </w:pPr>
      <w:bookmarkStart w:name="Annex A. Higher education reforms in Por" w:id="170"/>
      <w:bookmarkEnd w:id="170"/>
      <w:r>
        <w:rPr/>
      </w:r>
      <w:bookmarkStart w:name="_bookmark56" w:id="171"/>
      <w:bookmarkEnd w:id="171"/>
      <w:r>
        <w:rPr/>
      </w:r>
      <w:r>
        <w:rPr>
          <w:rFonts w:ascii="Arial"/>
          <w:b/>
          <w:color w:val="4E81BD"/>
          <w:w w:val="80"/>
          <w:sz w:val="48"/>
        </w:rPr>
        <w:t>Annex</w:t>
      </w:r>
      <w:r>
        <w:rPr>
          <w:rFonts w:ascii="Arial"/>
          <w:b/>
          <w:color w:val="4E81BD"/>
          <w:spacing w:val="31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A.</w:t>
      </w:r>
      <w:r>
        <w:rPr>
          <w:rFonts w:ascii="Arial"/>
          <w:b/>
          <w:color w:val="4E81BD"/>
          <w:spacing w:val="62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Higher</w:t>
      </w:r>
      <w:r>
        <w:rPr>
          <w:rFonts w:ascii="Arial"/>
          <w:b/>
          <w:color w:val="4E81BD"/>
          <w:spacing w:val="32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education</w:t>
      </w:r>
      <w:r>
        <w:rPr>
          <w:rFonts w:ascii="Arial"/>
          <w:b/>
          <w:color w:val="4E81BD"/>
          <w:spacing w:val="32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reforms</w:t>
      </w:r>
      <w:r>
        <w:rPr>
          <w:rFonts w:ascii="Arial"/>
          <w:b/>
          <w:color w:val="4E81BD"/>
          <w:spacing w:val="31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in</w:t>
      </w:r>
      <w:r>
        <w:rPr>
          <w:rFonts w:ascii="Arial"/>
          <w:b/>
          <w:color w:val="4E81BD"/>
          <w:spacing w:val="33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Portugal</w:t>
      </w:r>
      <w:r>
        <w:rPr>
          <w:rFonts w:ascii="Arial"/>
          <w:b/>
          <w:color w:val="4E81BD"/>
          <w:spacing w:val="-104"/>
          <w:w w:val="80"/>
          <w:sz w:val="48"/>
        </w:rPr>
        <w:t> </w:t>
      </w:r>
      <w:r>
        <w:rPr>
          <w:rFonts w:ascii="Arial"/>
          <w:b/>
          <w:color w:val="4E81BD"/>
          <w:w w:val="90"/>
          <w:sz w:val="48"/>
        </w:rPr>
        <w:t>and</w:t>
      </w:r>
      <w:r>
        <w:rPr>
          <w:rFonts w:ascii="Arial"/>
          <w:b/>
          <w:color w:val="4E81BD"/>
          <w:spacing w:val="-15"/>
          <w:w w:val="90"/>
          <w:sz w:val="48"/>
        </w:rPr>
        <w:t> </w:t>
      </w:r>
      <w:r>
        <w:rPr>
          <w:rFonts w:ascii="Arial"/>
          <w:b/>
          <w:color w:val="4E81BD"/>
          <w:w w:val="90"/>
          <w:sz w:val="48"/>
        </w:rPr>
        <w:t>Finland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4"/>
        <w:rPr>
          <w:rFonts w:ascii="Arial"/>
          <w:b/>
          <w:sz w:val="76"/>
        </w:rPr>
      </w:pPr>
    </w:p>
    <w:p>
      <w:pPr>
        <w:pStyle w:val="Heading2"/>
      </w:pPr>
      <w:bookmarkStart w:name="_bookmark57" w:id="172"/>
      <w:bookmarkEnd w:id="172"/>
      <w:r>
        <w:rPr>
          <w:b w:val="0"/>
        </w:rPr>
      </w:r>
      <w:r>
        <w:rPr>
          <w:color w:val="4E81BD"/>
        </w:rPr>
        <w:t>Rationale</w:t>
      </w:r>
      <w:r>
        <w:rPr>
          <w:color w:val="4E81BD"/>
          <w:spacing w:val="-3"/>
        </w:rPr>
        <w:t> </w:t>
      </w:r>
      <w:r>
        <w:rPr>
          <w:color w:val="4E81BD"/>
        </w:rPr>
        <w:t>and</w:t>
      </w:r>
      <w:r>
        <w:rPr>
          <w:color w:val="4E81BD"/>
          <w:spacing w:val="-6"/>
        </w:rPr>
        <w:t> </w:t>
      </w:r>
      <w:r>
        <w:rPr>
          <w:color w:val="4E81BD"/>
        </w:rPr>
        <w:t>approach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07"/>
        <w:jc w:val="both"/>
      </w:pPr>
      <w:r>
        <w:rPr/>
        <w:t>This annex examines two cases of higher education (HE) systems reform within OECD countries. The</w:t>
      </w:r>
      <w:r>
        <w:rPr>
          <w:spacing w:val="1"/>
        </w:rPr>
        <w:t> </w:t>
      </w:r>
      <w:r>
        <w:rPr/>
        <w:t>OECD, European Commission and the Slovak government jointly identified Portugal and Finland as</w:t>
      </w:r>
      <w:r>
        <w:rPr>
          <w:spacing w:val="1"/>
        </w:rPr>
        <w:t> </w:t>
      </w:r>
      <w:r>
        <w:rPr/>
        <w:t>relevant comparator countries for the purpose of this project. This is due to the scale and complexity of</w:t>
      </w:r>
      <w:r>
        <w:rPr>
          <w:spacing w:val="1"/>
        </w:rPr>
        <w:t> </w:t>
      </w:r>
      <w:r>
        <w:rPr/>
        <w:t>higher education reforms both countries undertook in the past two decades, the similarity of challenges</w:t>
      </w:r>
      <w:r>
        <w:rPr>
          <w:spacing w:val="1"/>
        </w:rPr>
        <w:t> </w:t>
      </w:r>
      <w:r>
        <w:rPr/>
        <w:t>those reforms sought to address, and the nature of reforms they implemented, namely higher education</w:t>
      </w:r>
      <w:r>
        <w:rPr>
          <w:spacing w:val="1"/>
        </w:rPr>
        <w:t> </w:t>
      </w:r>
      <w:r>
        <w:rPr/>
        <w:t>institution (HEI) governance reform in Portugal and HEI landscape rationalisation in Finland, which are</w:t>
      </w:r>
      <w:r>
        <w:rPr>
          <w:spacing w:val="1"/>
        </w:rPr>
        <w:t> </w:t>
      </w:r>
      <w:r>
        <w:rPr/>
        <w:t>issues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Slovak</w:t>
      </w:r>
      <w:r>
        <w:rPr>
          <w:spacing w:val="2"/>
        </w:rPr>
        <w:t> </w:t>
      </w:r>
      <w:r>
        <w:rPr/>
        <w:t>Republic.</w:t>
      </w:r>
    </w:p>
    <w:p>
      <w:pPr>
        <w:pStyle w:val="BodyText"/>
        <w:spacing w:line="271" w:lineRule="auto" w:before="120"/>
        <w:ind w:left="183" w:right="306"/>
        <w:jc w:val="both"/>
      </w:pPr>
      <w:r>
        <w:rPr/>
        <w:t>Finland,</w:t>
      </w:r>
      <w:r>
        <w:rPr>
          <w:spacing w:val="-9"/>
        </w:rPr>
        <w:t> </w:t>
      </w:r>
      <w:r>
        <w:rPr/>
        <w:t>Portugal,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Slovak</w:t>
      </w:r>
      <w:r>
        <w:rPr>
          <w:spacing w:val="-1"/>
        </w:rPr>
        <w:t> </w:t>
      </w:r>
      <w:r>
        <w:rPr/>
        <w:t>Republic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differences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geography,</w:t>
      </w:r>
      <w:r>
        <w:rPr>
          <w:spacing w:val="-1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history and economy. However, they are small states among the 23 European Union members that are</w:t>
      </w:r>
      <w:r>
        <w:rPr>
          <w:spacing w:val="1"/>
        </w:rPr>
        <w:t> </w:t>
      </w:r>
      <w:r>
        <w:rPr/>
        <w:t>also members of the OECD (the EU23). All three are members of the eurozone. They share challenges</w:t>
      </w:r>
      <w:r>
        <w:rPr>
          <w:spacing w:val="1"/>
        </w:rPr>
        <w:t> </w:t>
      </w:r>
      <w:r>
        <w:rPr/>
        <w:t>related to a declining working-age population and seek to increase the visibility of their higher education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implemented,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considering,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271" w:lineRule="auto" w:before="122"/>
        <w:ind w:left="183" w:right="305"/>
        <w:jc w:val="both"/>
      </w:pPr>
      <w:r>
        <w:rPr/>
        <w:t>As </w:t>
      </w:r>
      <w:hyperlink w:history="true" w:anchor="_bookmark58">
        <w:r>
          <w:rPr/>
          <w:t>Table A A.1</w:t>
        </w:r>
      </w:hyperlink>
      <w:r>
        <w:rPr/>
        <w:t> highlights, the three countries have areas of commonality as well as divergence. The</w:t>
      </w:r>
      <w:r>
        <w:rPr>
          <w:spacing w:val="1"/>
        </w:rPr>
        <w:t> </w:t>
      </w:r>
      <w:r>
        <w:rPr/>
        <w:t>Slovak Republic aligns more closely with Finland, as opposed to Portugal, depending on the indicator of</w:t>
      </w:r>
      <w:r>
        <w:rPr>
          <w:spacing w:val="1"/>
        </w:rPr>
        <w:t> </w:t>
      </w:r>
      <w:r>
        <w:rPr/>
        <w:t>comparison. Points of convergence and divergence inform the comparative approach. For example,</w:t>
      </w:r>
      <w:r>
        <w:rPr>
          <w:spacing w:val="1"/>
        </w:rPr>
        <w:t> </w:t>
      </w:r>
      <w:r>
        <w:rPr/>
        <w:t>Finland is similar to the Slovak Republic in terms of population size, which has implications for the overall</w:t>
      </w:r>
      <w:r>
        <w:rPr>
          <w:spacing w:val="-53"/>
        </w:rPr>
        <w:t> </w:t>
      </w:r>
      <w:r>
        <w:rPr/>
        <w:t>number of HEIs relative to population,</w:t>
      </w:r>
      <w:r>
        <w:rPr>
          <w:spacing w:val="1"/>
        </w:rPr>
        <w:t> </w:t>
      </w:r>
      <w:r>
        <w:rPr/>
        <w:t>which will be further explored</w:t>
      </w:r>
      <w:r>
        <w:rPr>
          <w:spacing w:val="1"/>
        </w:rPr>
        <w:t> </w:t>
      </w:r>
      <w:r>
        <w:rPr/>
        <w:t>with the Finland case study.</w:t>
      </w:r>
      <w:r>
        <w:rPr>
          <w:spacing w:val="1"/>
        </w:rPr>
        <w:t> </w:t>
      </w:r>
      <w:r>
        <w:rPr/>
        <w:t>Conversely, Portugal more closely aligns with the Slovak Republic in terms of the percentage of public</w:t>
      </w:r>
      <w:r>
        <w:rPr>
          <w:spacing w:val="1"/>
        </w:rPr>
        <w:t> </w:t>
      </w:r>
      <w:r>
        <w:rPr/>
        <w:t>expenditure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tertiary</w:t>
      </w:r>
      <w:r>
        <w:rPr>
          <w:spacing w:val="-10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25-34</w:t>
      </w:r>
      <w:r>
        <w:rPr>
          <w:spacing w:val="-6"/>
        </w:rPr>
        <w:t> </w:t>
      </w:r>
      <w:r>
        <w:rPr/>
        <w:t>year-olds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tertiary</w:t>
      </w:r>
      <w:r>
        <w:rPr>
          <w:spacing w:val="-12"/>
        </w:rPr>
        <w:t> </w:t>
      </w:r>
      <w:r>
        <w:rPr/>
        <w:t>credential.</w:t>
      </w:r>
      <w:r>
        <w:rPr>
          <w:spacing w:val="-6"/>
        </w:rPr>
        <w:t> </w:t>
      </w:r>
      <w:r>
        <w:rPr/>
        <w:t>This</w:t>
      </w:r>
      <w:r>
        <w:rPr>
          <w:spacing w:val="-53"/>
        </w:rPr>
        <w:t> </w:t>
      </w:r>
      <w:r>
        <w:rPr/>
        <w:t>may reflect that in both countries, mass participation in higher education is a more recent phenomenon</w:t>
      </w:r>
      <w:r>
        <w:rPr>
          <w:spacing w:val="1"/>
        </w:rPr>
        <w:t> </w:t>
      </w:r>
      <w:r>
        <w:rPr/>
        <w:t>(both Portugal and the Slovak Republic saw rapid increases in HE participation following transitions to</w:t>
      </w:r>
      <w:r>
        <w:rPr>
          <w:spacing w:val="1"/>
        </w:rPr>
        <w:t> </w:t>
      </w:r>
      <w:r>
        <w:rPr/>
        <w:t>democracy).</w:t>
      </w:r>
    </w:p>
    <w:p>
      <w:pPr>
        <w:pStyle w:val="BodyText"/>
        <w:spacing w:line="271" w:lineRule="auto" w:before="122"/>
        <w:ind w:left="183" w:right="298"/>
        <w:jc w:val="both"/>
      </w:pPr>
      <w:r>
        <w:rPr/>
        <w:t>The</w:t>
      </w:r>
      <w:r>
        <w:rPr>
          <w:spacing w:val="-8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taken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case</w:t>
      </w:r>
      <w:r>
        <w:rPr>
          <w:spacing w:val="-7"/>
        </w:rPr>
        <w:t> </w:t>
      </w:r>
      <w:r>
        <w:rPr/>
        <w:t>studies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informed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OECD</w:t>
      </w:r>
      <w:r>
        <w:rPr>
          <w:spacing w:val="-5"/>
        </w:rPr>
        <w:t> </w:t>
      </w:r>
      <w:r>
        <w:rPr/>
        <w:t>work</w:t>
      </w:r>
      <w:r>
        <w:rPr>
          <w:spacing w:val="-4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political</w:t>
      </w:r>
      <w:r>
        <w:rPr>
          <w:spacing w:val="-9"/>
        </w:rPr>
        <w:t> </w:t>
      </w:r>
      <w:r>
        <w:rPr/>
        <w:t>economy</w:t>
      </w:r>
      <w:r>
        <w:rPr>
          <w:spacing w:val="-13"/>
        </w:rPr>
        <w:t> </w:t>
      </w:r>
      <w:r>
        <w:rPr/>
        <w:t>of</w:t>
      </w:r>
      <w:r>
        <w:rPr>
          <w:spacing w:val="-6"/>
        </w:rPr>
        <w:t> </w:t>
      </w:r>
      <w:r>
        <w:rPr/>
        <w:t>reform,</w:t>
      </w:r>
      <w:r>
        <w:rPr>
          <w:spacing w:val="-53"/>
        </w:rPr>
        <w:t> </w:t>
      </w:r>
      <w:r>
        <w:rPr/>
        <w:t>which highlights the importance of focusing attention not just on what type of reforms are desirable to</w:t>
      </w:r>
      <w:r>
        <w:rPr>
          <w:spacing w:val="1"/>
        </w:rPr>
        <w:t> </w:t>
      </w:r>
      <w:r>
        <w:rPr/>
        <w:t>improve policy effectiveness, but also on gaining “better understanding of the conditions which are</w:t>
      </w:r>
      <w:r>
        <w:rPr>
          <w:spacing w:val="1"/>
        </w:rPr>
        <w:t> </w:t>
      </w:r>
      <w:r>
        <w:rPr>
          <w:position w:val="1"/>
        </w:rPr>
        <w:t>conducive – or otherwise – to the implementation of better policies” (Tompson, 2009</w:t>
      </w:r>
      <w:r>
        <w:rPr>
          <w:sz w:val="13"/>
        </w:rPr>
        <w:t>[1]</w:t>
      </w:r>
      <w:r>
        <w:rPr>
          <w:position w:val="1"/>
        </w:rPr>
        <w:t>). This OECD study</w:t>
      </w:r>
      <w:r>
        <w:rPr>
          <w:spacing w:val="-53"/>
          <w:position w:val="1"/>
        </w:rPr>
        <w:t> </w:t>
      </w:r>
      <w:r>
        <w:rPr/>
        <w:t>examines contexts for macroeconomic and structural reform, as well as policy formulation, adoption and</w:t>
      </w:r>
      <w:r>
        <w:rPr>
          <w:spacing w:val="1"/>
        </w:rPr>
        <w:t> </w:t>
      </w:r>
      <w:r>
        <w:rPr/>
        <w:t>implementation in a systematic manner across a number of case studies in policy areas ranging from</w:t>
      </w:r>
      <w:r>
        <w:rPr>
          <w:spacing w:val="1"/>
        </w:rPr>
        <w:t> </w:t>
      </w:r>
      <w:r>
        <w:rPr/>
        <w:t>pension reform to labour-market and product-market regulation. The actors and interests involved include</w:t>
      </w:r>
      <w:r>
        <w:rPr>
          <w:spacing w:val="-53"/>
        </w:rPr>
        <w:t> </w:t>
      </w:r>
      <w:r>
        <w:rPr/>
        <w:t>governments,</w:t>
      </w:r>
      <w:r>
        <w:rPr>
          <w:spacing w:val="-6"/>
        </w:rPr>
        <w:t> </w:t>
      </w:r>
      <w:r>
        <w:rPr/>
        <w:t>political</w:t>
      </w:r>
      <w:r>
        <w:rPr>
          <w:spacing w:val="-5"/>
        </w:rPr>
        <w:t> </w:t>
      </w:r>
      <w:r>
        <w:rPr/>
        <w:t>parties,</w:t>
      </w:r>
      <w:r>
        <w:rPr>
          <w:spacing w:val="-6"/>
        </w:rPr>
        <w:t> </w:t>
      </w:r>
      <w:r>
        <w:rPr/>
        <w:t>business</w:t>
      </w:r>
      <w:r>
        <w:rPr>
          <w:spacing w:val="-5"/>
        </w:rPr>
        <w:t> </w:t>
      </w:r>
      <w:r>
        <w:rPr/>
        <w:t>associations,</w:t>
      </w:r>
      <w:r>
        <w:rPr>
          <w:spacing w:val="-3"/>
        </w:rPr>
        <w:t> </w:t>
      </w:r>
      <w:r>
        <w:rPr/>
        <w:t>labour</w:t>
      </w:r>
      <w:r>
        <w:rPr>
          <w:spacing w:val="-3"/>
        </w:rPr>
        <w:t> </w:t>
      </w:r>
      <w:r>
        <w:rPr/>
        <w:t>organisations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non-profit</w:t>
      </w:r>
      <w:r>
        <w:rPr>
          <w:spacing w:val="-6"/>
        </w:rPr>
        <w:t> </w:t>
      </w:r>
      <w:r>
        <w:rPr/>
        <w:t>organisations.</w:t>
      </w:r>
    </w:p>
    <w:p>
      <w:pPr>
        <w:pStyle w:val="BodyText"/>
        <w:spacing w:line="271" w:lineRule="auto" w:before="120"/>
        <w:ind w:left="183" w:right="304"/>
        <w:jc w:val="both"/>
      </w:pPr>
      <w:r>
        <w:rPr/>
        <w:t>This</w:t>
      </w:r>
      <w:r>
        <w:rPr>
          <w:spacing w:val="-6"/>
        </w:rPr>
        <w:t> </w:t>
      </w:r>
      <w:r>
        <w:rPr/>
        <w:t>annex</w:t>
      </w:r>
      <w:r>
        <w:rPr>
          <w:spacing w:val="-5"/>
        </w:rPr>
        <w:t> </w:t>
      </w:r>
      <w:r>
        <w:rPr/>
        <w:t>examines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key</w:t>
      </w:r>
      <w:r>
        <w:rPr>
          <w:spacing w:val="-11"/>
        </w:rPr>
        <w:t> </w:t>
      </w:r>
      <w:r>
        <w:rPr/>
        <w:t>stakeholders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reform,</w:t>
      </w:r>
      <w:r>
        <w:rPr>
          <w:spacing w:val="-6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leadership,</w:t>
      </w:r>
      <w:r>
        <w:rPr>
          <w:spacing w:val="1"/>
        </w:rPr>
        <w:t> </w:t>
      </w:r>
      <w:r>
        <w:rPr/>
        <w:t>HEI</w:t>
      </w:r>
      <w:r>
        <w:rPr>
          <w:spacing w:val="1"/>
        </w:rPr>
        <w:t> </w:t>
      </w:r>
      <w:r>
        <w:rPr/>
        <w:t>leadership,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organisations,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non-academic</w:t>
      </w:r>
      <w:r>
        <w:rPr>
          <w:spacing w:val="-2"/>
        </w:rPr>
        <w:t> </w:t>
      </w:r>
      <w:r>
        <w:rPr/>
        <w:t>staff,</w:t>
      </w:r>
      <w:r>
        <w:rPr>
          <w:spacing w:val="-3"/>
        </w:rPr>
        <w:t> </w:t>
      </w:r>
      <w:r>
        <w:rPr/>
        <w:t>students,</w:t>
      </w:r>
      <w:r>
        <w:rPr>
          <w:spacing w:val="-4"/>
        </w:rPr>
        <w:t> </w:t>
      </w:r>
      <w:r>
        <w:rPr/>
        <w:t>employers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labour</w:t>
      </w:r>
      <w:r>
        <w:rPr>
          <w:spacing w:val="-3"/>
        </w:rPr>
        <w:t> </w:t>
      </w:r>
      <w:r>
        <w:rPr/>
        <w:t>organisations.</w:t>
      </w:r>
    </w:p>
    <w:p>
      <w:pPr>
        <w:spacing w:after="0" w:line="271" w:lineRule="auto"/>
        <w:jc w:val="both"/>
        <w:sectPr>
          <w:headerReference w:type="default" r:id="rId194"/>
          <w:footerReference w:type="default" r:id="rId195"/>
          <w:footerReference w:type="even" r:id="rId196"/>
          <w:pgSz w:w="11910" w:h="15880"/>
          <w:pgMar w:header="734" w:footer="731" w:top="1140" w:bottom="920" w:left="1120" w:right="1000"/>
          <w:pgNumType w:start="117"/>
        </w:sectPr>
      </w:pPr>
    </w:p>
    <w:p>
      <w:pPr>
        <w:spacing w:before="84"/>
        <w:ind w:left="140" w:right="0" w:firstLine="0"/>
        <w:jc w:val="left"/>
        <w:rPr>
          <w:sz w:val="18"/>
        </w:rPr>
      </w:pPr>
      <w:r>
        <w:rPr>
          <w:rFonts w:ascii="Arial" w:hAnsi="Arial"/>
          <w:b/>
          <w:sz w:val="22"/>
        </w:rPr>
        <w:t>118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Symbol" w:hAnsi="Symbol"/>
          <w:sz w:val="22"/>
        </w:rPr>
        <w:t></w:t>
      </w:r>
      <w:r>
        <w:rPr>
          <w:rFonts w:ascii="Times New Roman" w:hAnsi="Times New Roman"/>
          <w:spacing w:val="4"/>
          <w:sz w:val="22"/>
        </w:rPr>
        <w:t> </w:t>
      </w:r>
      <w:r>
        <w:rPr>
          <w:sz w:val="18"/>
        </w:rPr>
        <w:t>ANNEX</w:t>
      </w:r>
      <w:r>
        <w:rPr>
          <w:spacing w:val="-4"/>
          <w:sz w:val="18"/>
        </w:rPr>
        <w:t> </w:t>
      </w:r>
      <w:r>
        <w:rPr>
          <w:sz w:val="18"/>
        </w:rPr>
        <w:t>A.</w:t>
      </w:r>
      <w:r>
        <w:rPr>
          <w:spacing w:val="-2"/>
          <w:sz w:val="18"/>
        </w:rPr>
        <w:t> </w:t>
      </w:r>
      <w:r>
        <w:rPr>
          <w:sz w:val="18"/>
        </w:rPr>
        <w:t>HIGHER</w:t>
      </w:r>
      <w:r>
        <w:rPr>
          <w:spacing w:val="-2"/>
          <w:sz w:val="18"/>
        </w:rPr>
        <w:t> </w:t>
      </w:r>
      <w:r>
        <w:rPr>
          <w:sz w:val="18"/>
        </w:rPr>
        <w:t>EDUCATION</w:t>
      </w:r>
      <w:r>
        <w:rPr>
          <w:spacing w:val="-3"/>
          <w:sz w:val="18"/>
        </w:rPr>
        <w:t> </w:t>
      </w:r>
      <w:r>
        <w:rPr>
          <w:sz w:val="18"/>
        </w:rPr>
        <w:t>REFORMS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PORTUGAL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FINLAND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100"/>
        <w:ind w:left="140" w:right="0" w:firstLine="0"/>
        <w:jc w:val="both"/>
        <w:rPr>
          <w:rFonts w:ascii="Arial" w:hAnsi="Arial"/>
          <w:b/>
          <w:sz w:val="24"/>
        </w:rPr>
      </w:pPr>
      <w:bookmarkStart w:name="_bookmark58" w:id="173"/>
      <w:bookmarkEnd w:id="173"/>
      <w:r>
        <w:rPr/>
      </w:r>
      <w:r>
        <w:rPr>
          <w:rFonts w:ascii="Arial" w:hAnsi="Arial"/>
          <w:b/>
          <w:color w:val="4E81BD"/>
          <w:w w:val="80"/>
          <w:sz w:val="24"/>
        </w:rPr>
        <w:t>Table</w:t>
      </w:r>
      <w:r>
        <w:rPr>
          <w:rFonts w:ascii="Arial" w:hAnsi="Arial"/>
          <w:b/>
          <w:color w:val="4E81BD"/>
          <w:spacing w:val="16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A</w:t>
      </w:r>
      <w:r>
        <w:rPr>
          <w:rFonts w:ascii="Arial" w:hAnsi="Arial"/>
          <w:b/>
          <w:color w:val="4E81BD"/>
          <w:spacing w:val="15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A.1.</w:t>
      </w:r>
      <w:r>
        <w:rPr>
          <w:rFonts w:ascii="Arial" w:hAnsi="Arial"/>
          <w:b/>
          <w:color w:val="4E81BD"/>
          <w:spacing w:val="15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Key</w:t>
      </w:r>
      <w:r>
        <w:rPr>
          <w:rFonts w:ascii="Arial" w:hAnsi="Arial"/>
          <w:b/>
          <w:color w:val="4E81BD"/>
          <w:spacing w:val="13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indicators</w:t>
      </w:r>
      <w:r>
        <w:rPr>
          <w:rFonts w:ascii="Arial" w:hAnsi="Arial"/>
          <w:b/>
          <w:color w:val="4E81BD"/>
          <w:spacing w:val="16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for</w:t>
      </w:r>
      <w:r>
        <w:rPr>
          <w:rFonts w:ascii="Arial" w:hAnsi="Arial"/>
          <w:b/>
          <w:color w:val="4E81BD"/>
          <w:spacing w:val="14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Finland,</w:t>
      </w:r>
      <w:r>
        <w:rPr>
          <w:rFonts w:ascii="Arial" w:hAnsi="Arial"/>
          <w:b/>
          <w:color w:val="4E81BD"/>
          <w:spacing w:val="12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Portugal</w:t>
      </w:r>
      <w:r>
        <w:rPr>
          <w:rFonts w:ascii="Arial" w:hAnsi="Arial"/>
          <w:b/>
          <w:color w:val="4E81BD"/>
          <w:spacing w:val="16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and</w:t>
      </w:r>
      <w:r>
        <w:rPr>
          <w:rFonts w:ascii="Arial" w:hAnsi="Arial"/>
          <w:b/>
          <w:color w:val="4E81BD"/>
          <w:spacing w:val="15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the</w:t>
      </w:r>
      <w:r>
        <w:rPr>
          <w:rFonts w:ascii="Arial" w:hAnsi="Arial"/>
          <w:b/>
          <w:color w:val="4E81BD"/>
          <w:spacing w:val="14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Slovak</w:t>
      </w:r>
      <w:r>
        <w:rPr>
          <w:rFonts w:ascii="Arial" w:hAnsi="Arial"/>
          <w:b/>
          <w:color w:val="4E81BD"/>
          <w:spacing w:val="17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Republic</w:t>
      </w:r>
      <w:r>
        <w:rPr>
          <w:rFonts w:ascii="Arial" w:hAnsi="Arial"/>
          <w:b/>
          <w:color w:val="4E81BD"/>
          <w:spacing w:val="14"/>
          <w:w w:val="80"/>
          <w:sz w:val="24"/>
        </w:rPr>
        <w:t> </w:t>
      </w:r>
      <w:r>
        <w:rPr>
          <w:rFonts w:ascii="Arial" w:hAnsi="Arial"/>
          <w:b/>
          <w:color w:val="4E81BD"/>
          <w:w w:val="80"/>
          <w:sz w:val="24"/>
        </w:rPr>
        <w:t>(2017–19)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118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269"/>
        <w:gridCol w:w="1267"/>
        <w:gridCol w:w="1270"/>
        <w:gridCol w:w="1267"/>
        <w:gridCol w:w="1267"/>
        <w:gridCol w:w="1270"/>
        <w:gridCol w:w="1267"/>
        <w:gridCol w:w="1268"/>
        <w:gridCol w:w="1270"/>
        <w:gridCol w:w="1253"/>
      </w:tblGrid>
      <w:tr>
        <w:trPr>
          <w:trHeight w:val="2222" w:hRule="atLeast"/>
        </w:trPr>
        <w:tc>
          <w:tcPr>
            <w:tcW w:w="1284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69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32"/>
              <w:ind w:left="292" w:right="26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Population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(millions)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(2018)</w:t>
            </w:r>
          </w:p>
        </w:tc>
        <w:tc>
          <w:tcPr>
            <w:tcW w:w="1267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32"/>
              <w:ind w:left="269" w:right="235" w:hanging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Youth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population</w:t>
            </w:r>
            <w:r>
              <w:rPr>
                <w:rFonts w:ascii="Microsoft Sans Serif"/>
                <w:spacing w:val="-38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(15-24)</w:t>
            </w:r>
            <w:r>
              <w:rPr>
                <w:rFonts w:ascii="Microsoft Sans Serif"/>
                <w:spacing w:val="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(%)</w:t>
            </w:r>
          </w:p>
          <w:p>
            <w:pPr>
              <w:pStyle w:val="TableParagraph"/>
              <w:spacing w:before="1"/>
              <w:ind w:left="118" w:right="8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(2018)</w:t>
            </w:r>
          </w:p>
        </w:tc>
        <w:tc>
          <w:tcPr>
            <w:tcW w:w="127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83" w:lineRule="auto" w:before="32"/>
              <w:ind w:left="228" w:right="19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Working</w:t>
            </w:r>
            <w:r>
              <w:rPr>
                <w:rFonts w:ascii="Microsoft Sans Serif"/>
                <w:spacing w:val="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age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(15-64)</w:t>
            </w:r>
          </w:p>
          <w:p>
            <w:pPr>
              <w:pStyle w:val="TableParagraph"/>
              <w:spacing w:line="184" w:lineRule="exact" w:before="0"/>
              <w:ind w:left="153" w:right="12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population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(%)</w:t>
            </w:r>
          </w:p>
          <w:p>
            <w:pPr>
              <w:pStyle w:val="TableParagraph"/>
              <w:spacing w:before="16"/>
              <w:ind w:left="225" w:right="19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(2018)</w:t>
            </w:r>
          </w:p>
        </w:tc>
        <w:tc>
          <w:tcPr>
            <w:tcW w:w="1267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32"/>
              <w:ind w:left="229" w:right="194" w:hanging="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Old age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dependency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ratio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(65</w:t>
            </w:r>
            <w:r>
              <w:rPr>
                <w:rFonts w:ascii="Microsoft Sans Serif"/>
                <w:spacing w:val="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over/15-64)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(2018)</w:t>
            </w:r>
          </w:p>
        </w:tc>
        <w:tc>
          <w:tcPr>
            <w:tcW w:w="1267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32"/>
              <w:ind w:left="120" w:right="8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25-34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year-olds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with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tertiary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education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(%)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(2019)</w:t>
            </w:r>
          </w:p>
        </w:tc>
        <w:tc>
          <w:tcPr>
            <w:tcW w:w="127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64" w:lineRule="auto" w:before="32"/>
              <w:ind w:left="129" w:right="99" w:firstLine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Tertiary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educational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expenditure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as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percentage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total public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spending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(%)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(2017)</w:t>
            </w:r>
          </w:p>
        </w:tc>
        <w:tc>
          <w:tcPr>
            <w:tcW w:w="1267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32"/>
              <w:ind w:left="121" w:right="8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Completion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rate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of full-time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students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who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entered a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bachelor's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programme,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by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the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theoretical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duration + 3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years</w:t>
            </w:r>
            <w:r>
              <w:rPr>
                <w:rFonts w:ascii="Microsoft Sans Serif"/>
                <w:spacing w:val="-3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(%)</w:t>
            </w:r>
          </w:p>
          <w:p>
            <w:pPr>
              <w:pStyle w:val="TableParagraph"/>
              <w:spacing w:line="189" w:lineRule="exact" w:before="1"/>
              <w:ind w:left="120" w:right="8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(2017)</w:t>
            </w:r>
          </w:p>
        </w:tc>
        <w:tc>
          <w:tcPr>
            <w:tcW w:w="1268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32"/>
              <w:ind w:left="124" w:right="93" w:firstLine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Employment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rates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tertiary-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educated</w:t>
            </w:r>
            <w:r>
              <w:rPr>
                <w:rFonts w:ascii="Microsoft Sans Serif"/>
                <w:spacing w:val="1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25-34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year-olds (%)</w:t>
            </w:r>
            <w:r>
              <w:rPr>
                <w:rFonts w:ascii="Microsoft Sans Serif"/>
                <w:w w:val="85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(2019)</w:t>
            </w:r>
          </w:p>
        </w:tc>
        <w:tc>
          <w:tcPr>
            <w:tcW w:w="127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59" w:lineRule="auto" w:before="32"/>
              <w:ind w:left="116" w:right="87" w:firstLine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Number of</w:t>
            </w:r>
            <w:r>
              <w:rPr>
                <w:rFonts w:ascii="Microsoft Sans Serif"/>
                <w:spacing w:val="1"/>
                <w:w w:val="85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international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or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foreign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students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for</w:t>
            </w:r>
            <w:r>
              <w:rPr>
                <w:rFonts w:ascii="Microsoft Sans Serif"/>
                <w:spacing w:val="-3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every</w:t>
            </w:r>
          </w:p>
          <w:p>
            <w:pPr>
              <w:pStyle w:val="TableParagraph"/>
              <w:spacing w:line="266" w:lineRule="auto" w:before="2"/>
              <w:ind w:left="157" w:right="128" w:hanging="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100</w:t>
            </w:r>
            <w:r>
              <w:rPr>
                <w:rFonts w:ascii="Microsoft Sans Serif"/>
                <w:spacing w:val="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national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students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home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abroad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(2018)</w:t>
            </w:r>
          </w:p>
        </w:tc>
        <w:tc>
          <w:tcPr>
            <w:tcW w:w="1253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259" w:lineRule="auto" w:before="32"/>
              <w:ind w:left="121" w:right="99" w:firstLine="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Percentage</w:t>
            </w:r>
            <w:r>
              <w:rPr>
                <w:rFonts w:ascii="Microsoft Sans Serif"/>
                <w:spacing w:val="6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national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tertiary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students</w:t>
            </w:r>
            <w:r>
              <w:rPr>
                <w:rFonts w:ascii="Microsoft Sans Serif"/>
                <w:spacing w:val="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enrolled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abroad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90"/>
                <w:sz w:val="18"/>
              </w:rPr>
              <w:t>(%)</w:t>
            </w:r>
          </w:p>
          <w:p>
            <w:pPr>
              <w:pStyle w:val="TableParagraph"/>
              <w:spacing w:before="22"/>
              <w:ind w:left="379" w:right="35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(2018)</w:t>
            </w:r>
          </w:p>
        </w:tc>
      </w:tr>
      <w:tr>
        <w:trPr>
          <w:trHeight w:val="229" w:hRule="atLeast"/>
        </w:trPr>
        <w:tc>
          <w:tcPr>
            <w:tcW w:w="1284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Portugal</w:t>
            </w:r>
          </w:p>
        </w:tc>
        <w:tc>
          <w:tcPr>
            <w:tcW w:w="1269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10.3</w:t>
            </w:r>
          </w:p>
        </w:tc>
        <w:tc>
          <w:tcPr>
            <w:tcW w:w="126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</w:t>
            </w:r>
          </w:p>
        </w:tc>
        <w:tc>
          <w:tcPr>
            <w:tcW w:w="127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65</w:t>
            </w:r>
          </w:p>
        </w:tc>
        <w:tc>
          <w:tcPr>
            <w:tcW w:w="126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0.34</w:t>
            </w:r>
          </w:p>
        </w:tc>
        <w:tc>
          <w:tcPr>
            <w:tcW w:w="126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37</w:t>
            </w:r>
          </w:p>
        </w:tc>
        <w:tc>
          <w:tcPr>
            <w:tcW w:w="127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1.8</w:t>
            </w:r>
          </w:p>
        </w:tc>
        <w:tc>
          <w:tcPr>
            <w:tcW w:w="126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65</w:t>
            </w:r>
          </w:p>
        </w:tc>
        <w:tc>
          <w:tcPr>
            <w:tcW w:w="1268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86</w:t>
            </w:r>
          </w:p>
        </w:tc>
        <w:tc>
          <w:tcPr>
            <w:tcW w:w="127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8</w:t>
            </w:r>
          </w:p>
        </w:tc>
        <w:tc>
          <w:tcPr>
            <w:tcW w:w="1253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4</w:t>
            </w:r>
          </w:p>
        </w:tc>
      </w:tr>
      <w:tr>
        <w:trPr>
          <w:trHeight w:val="229" w:hRule="atLeast"/>
        </w:trPr>
        <w:tc>
          <w:tcPr>
            <w:tcW w:w="128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Finland</w:t>
            </w:r>
          </w:p>
        </w:tc>
        <w:tc>
          <w:tcPr>
            <w:tcW w:w="1269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5.5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62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0.35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42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3.1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73</w:t>
            </w:r>
          </w:p>
        </w:tc>
        <w:tc>
          <w:tcPr>
            <w:tcW w:w="126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85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8</w:t>
            </w:r>
          </w:p>
        </w:tc>
        <w:tc>
          <w:tcPr>
            <w:tcW w:w="125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4</w:t>
            </w:r>
          </w:p>
        </w:tc>
      </w:tr>
      <w:tr>
        <w:trPr>
          <w:trHeight w:val="229" w:hRule="atLeast"/>
        </w:trPr>
        <w:tc>
          <w:tcPr>
            <w:tcW w:w="128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269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5.4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69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0.23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39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1.9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62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</w:t>
            </w:r>
          </w:p>
        </w:tc>
        <w:tc>
          <w:tcPr>
            <w:tcW w:w="126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79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7</w:t>
            </w:r>
          </w:p>
        </w:tc>
        <w:tc>
          <w:tcPr>
            <w:tcW w:w="125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right="9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128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OECD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269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a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12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65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0.26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45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2.9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m</w:t>
            </w:r>
          </w:p>
        </w:tc>
        <w:tc>
          <w:tcPr>
            <w:tcW w:w="126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85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6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6</w:t>
            </w:r>
          </w:p>
        </w:tc>
        <w:tc>
          <w:tcPr>
            <w:tcW w:w="125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6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2</w:t>
            </w:r>
          </w:p>
        </w:tc>
      </w:tr>
      <w:tr>
        <w:trPr>
          <w:trHeight w:val="231" w:hRule="atLeast"/>
        </w:trPr>
        <w:tc>
          <w:tcPr>
            <w:tcW w:w="1284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EU23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average</w:t>
            </w:r>
          </w:p>
        </w:tc>
        <w:tc>
          <w:tcPr>
            <w:tcW w:w="1269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a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7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m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m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m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4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44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2.6</w:t>
            </w:r>
          </w:p>
        </w:tc>
        <w:tc>
          <w:tcPr>
            <w:tcW w:w="1267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m</w:t>
            </w:r>
          </w:p>
        </w:tc>
        <w:tc>
          <w:tcPr>
            <w:tcW w:w="1268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85</w:t>
            </w:r>
          </w:p>
        </w:tc>
        <w:tc>
          <w:tcPr>
            <w:tcW w:w="1270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right="8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10</w:t>
            </w:r>
          </w:p>
        </w:tc>
        <w:tc>
          <w:tcPr>
            <w:tcW w:w="1253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4</w:t>
            </w:r>
          </w:p>
        </w:tc>
      </w:tr>
    </w:tbl>
    <w:p>
      <w:pPr>
        <w:spacing w:line="259" w:lineRule="auto" w:before="131"/>
        <w:ind w:left="140" w:right="135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Note: Symbol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“m” data are not available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– either missing or the indicator could not be computed due to low respondent numbers. Symbol</w:t>
      </w:r>
      <w:r>
        <w:rPr>
          <w:rFonts w:ascii="Microsoft Sans Serif" w:hAnsi="Microsoft Sans Serif"/>
          <w:spacing w:val="28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“a” data are not applicable because the category does not apply. Symbol</w:t>
      </w:r>
      <w:r>
        <w:rPr>
          <w:rFonts w:ascii="Microsoft Sans Serif" w:hAnsi="Microsoft Sans Serif"/>
          <w:spacing w:val="29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“r”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means values are below a certain reliability threshold and should be interpreted with caution. In this case, the Slovak Republic’s completion rate is derived from a cross-cohort model and is for completion rate by the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theoretical duration of programme only, whereas completion rates in other countries are calculated based on a true-cohort model, and refer to the share of students from a specific cohort who graduate within the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theoretical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duration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of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the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programme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in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which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they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entered</w:t>
      </w:r>
      <w:r>
        <w:rPr>
          <w:rFonts w:ascii="Microsoft Sans Serif" w:hAnsi="Microsoft Sans Serif"/>
          <w:spacing w:val="-6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plus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three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years.</w:t>
      </w:r>
    </w:p>
    <w:p>
      <w:pPr>
        <w:spacing w:line="259" w:lineRule="auto" w:before="0"/>
        <w:ind w:left="140" w:right="138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EU23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refers</w:t>
      </w:r>
      <w:r>
        <w:rPr>
          <w:rFonts w:ascii="Microsoft Sans Serif"/>
          <w:spacing w:val="1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average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23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EU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countries</w:t>
      </w:r>
      <w:r>
        <w:rPr>
          <w:rFonts w:ascii="Microsoft Sans Serif"/>
          <w:spacing w:val="1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that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were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also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members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OECD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as</w:t>
      </w:r>
      <w:r>
        <w:rPr>
          <w:rFonts w:ascii="Microsoft Sans Serif"/>
          <w:spacing w:val="1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end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of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2019,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namely: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Austria,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Belgium,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1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Czech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Republic,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Denmark,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Estonia,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Finland,</w:t>
      </w:r>
      <w:r>
        <w:rPr>
          <w:rFonts w:ascii="Microsoft Sans Serif"/>
          <w:spacing w:val="1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France,</w:t>
      </w:r>
      <w:r>
        <w:rPr>
          <w:rFonts w:ascii="Microsoft Sans Serif"/>
          <w:spacing w:val="1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Germany,</w:t>
      </w:r>
      <w:r>
        <w:rPr>
          <w:rFonts w:ascii="Microsoft Sans Serif"/>
          <w:spacing w:val="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Greece,</w:t>
      </w:r>
      <w:r>
        <w:rPr>
          <w:rFonts w:ascii="Microsoft Sans Serif"/>
          <w:spacing w:val="3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Hungary,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Ireland,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Italy,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Latvia,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Lithuania,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Luxembourg,</w:t>
      </w:r>
      <w:r>
        <w:rPr>
          <w:rFonts w:ascii="Microsoft Sans Serif"/>
          <w:spacing w:val="6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Netherlands,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Poland,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Portugal,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Slovak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Republic,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Slovenia,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Spain,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Sweden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and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the</w:t>
      </w:r>
      <w:r>
        <w:rPr>
          <w:rFonts w:ascii="Microsoft Sans Serif"/>
          <w:spacing w:val="4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United</w:t>
      </w:r>
      <w:r>
        <w:rPr>
          <w:rFonts w:ascii="Microsoft Sans Serif"/>
          <w:spacing w:val="5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Kingdom.</w:t>
      </w:r>
    </w:p>
    <w:p>
      <w:pPr>
        <w:spacing w:line="256" w:lineRule="auto" w:before="0"/>
        <w:ind w:left="140" w:right="138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Sources: OECD (2019</w:t>
      </w:r>
      <w:r>
        <w:rPr>
          <w:rFonts w:ascii="Microsoft Sans Serif"/>
          <w:w w:val="80"/>
          <w:sz w:val="12"/>
        </w:rPr>
        <w:t>[2]</w:t>
      </w:r>
      <w:r>
        <w:rPr>
          <w:rFonts w:ascii="Microsoft Sans Serif"/>
          <w:w w:val="80"/>
          <w:position w:val="1"/>
          <w:sz w:val="18"/>
        </w:rPr>
        <w:t>), </w:t>
      </w:r>
      <w:r>
        <w:rPr>
          <w:rFonts w:ascii="Arial"/>
          <w:i/>
          <w:w w:val="80"/>
          <w:position w:val="1"/>
          <w:sz w:val="18"/>
        </w:rPr>
        <w:t>Education at a Glance 2019: OECD Indicators</w:t>
      </w:r>
      <w:r>
        <w:rPr>
          <w:rFonts w:ascii="Microsoft Sans Serif"/>
          <w:w w:val="80"/>
          <w:position w:val="1"/>
          <w:sz w:val="18"/>
        </w:rPr>
        <w:t>, </w:t>
      </w:r>
      <w:hyperlink r:id="rId198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https://doi.org/10.1787/f8d7880d-en</w:t>
        </w:r>
        <w:r>
          <w:rPr>
            <w:rFonts w:ascii="Microsoft Sans Serif"/>
            <w:w w:val="80"/>
            <w:position w:val="1"/>
            <w:sz w:val="18"/>
          </w:rPr>
          <w:t>; </w:t>
        </w:r>
      </w:hyperlink>
      <w:r>
        <w:rPr>
          <w:rFonts w:ascii="Microsoft Sans Serif"/>
          <w:w w:val="80"/>
          <w:position w:val="1"/>
          <w:sz w:val="18"/>
        </w:rPr>
        <w:t>OECD (2020</w:t>
      </w:r>
      <w:r>
        <w:rPr>
          <w:rFonts w:ascii="Microsoft Sans Serif"/>
          <w:w w:val="80"/>
          <w:sz w:val="12"/>
        </w:rPr>
        <w:t>[3]</w:t>
      </w:r>
      <w:r>
        <w:rPr>
          <w:rFonts w:ascii="Microsoft Sans Serif"/>
          <w:w w:val="80"/>
          <w:position w:val="1"/>
          <w:sz w:val="18"/>
        </w:rPr>
        <w:t>), </w:t>
      </w:r>
      <w:r>
        <w:rPr>
          <w:rFonts w:ascii="Arial"/>
          <w:i/>
          <w:w w:val="80"/>
          <w:position w:val="1"/>
          <w:sz w:val="18"/>
        </w:rPr>
        <w:t>Education at a Glance 2020: OECD Indicators, </w:t>
      </w:r>
      <w:hyperlink r:id="rId74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https://doi.org/10.1787/69096873-en</w:t>
        </w:r>
        <w:r>
          <w:rPr>
            <w:rFonts w:ascii="Microsoft Sans Serif"/>
            <w:w w:val="80"/>
            <w:position w:val="1"/>
            <w:sz w:val="18"/>
          </w:rPr>
          <w:t>;</w:t>
        </w:r>
      </w:hyperlink>
      <w:r>
        <w:rPr>
          <w:rFonts w:ascii="Microsoft Sans Serif"/>
          <w:spacing w:val="1"/>
          <w:w w:val="8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OECD</w:t>
      </w:r>
      <w:r>
        <w:rPr>
          <w:rFonts w:ascii="Microsoft Sans Serif"/>
          <w:spacing w:val="-8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(2021</w:t>
      </w:r>
      <w:r>
        <w:rPr>
          <w:rFonts w:ascii="Microsoft Sans Serif"/>
          <w:w w:val="90"/>
          <w:sz w:val="12"/>
        </w:rPr>
        <w:t>[4]</w:t>
      </w:r>
      <w:r>
        <w:rPr>
          <w:rFonts w:ascii="Microsoft Sans Serif"/>
          <w:w w:val="90"/>
          <w:position w:val="1"/>
          <w:sz w:val="18"/>
        </w:rPr>
        <w:t>),</w:t>
      </w:r>
      <w:r>
        <w:rPr>
          <w:rFonts w:ascii="Microsoft Sans Serif"/>
          <w:spacing w:val="-4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Historical</w:t>
      </w:r>
      <w:r>
        <w:rPr>
          <w:rFonts w:ascii="Arial"/>
          <w:i/>
          <w:spacing w:val="-8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Population</w:t>
      </w:r>
      <w:r>
        <w:rPr>
          <w:rFonts w:ascii="Arial"/>
          <w:i/>
          <w:spacing w:val="-7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(database),</w:t>
      </w:r>
      <w:r>
        <w:rPr>
          <w:rFonts w:ascii="Microsoft Sans Serif"/>
          <w:spacing w:val="-4"/>
          <w:w w:val="90"/>
          <w:position w:val="1"/>
          <w:sz w:val="18"/>
        </w:rPr>
        <w:t> </w:t>
      </w:r>
      <w:hyperlink r:id="rId90">
        <w:r>
          <w:rPr>
            <w:rFonts w:ascii="Microsoft Sans Serif"/>
            <w:color w:val="0000FF"/>
            <w:w w:val="90"/>
            <w:position w:val="1"/>
            <w:sz w:val="18"/>
            <w:u w:val="single" w:color="0000FF"/>
          </w:rPr>
          <w:t>https://stats.oecd.org/Index.aspx?DataSetCode=HISTPOP</w:t>
        </w:r>
        <w:r>
          <w:rPr>
            <w:rFonts w:ascii="Microsoft Sans Serif"/>
            <w:w w:val="90"/>
            <w:position w:val="1"/>
            <w:sz w:val="18"/>
          </w:rPr>
          <w:t>.</w:t>
        </w:r>
      </w:hyperlink>
    </w:p>
    <w:p>
      <w:pPr>
        <w:spacing w:after="0" w:line="256" w:lineRule="auto"/>
        <w:jc w:val="both"/>
        <w:rPr>
          <w:rFonts w:ascii="Microsoft Sans Serif"/>
          <w:sz w:val="18"/>
        </w:rPr>
        <w:sectPr>
          <w:headerReference w:type="even" r:id="rId197"/>
          <w:pgSz w:w="16820" w:h="10940" w:orient="landscape"/>
          <w:pgMar w:header="0" w:footer="730" w:top="640" w:bottom="920" w:left="1300" w:right="1300"/>
        </w:sectPr>
      </w:pPr>
    </w:p>
    <w:p>
      <w:pPr>
        <w:pStyle w:val="BodyText"/>
        <w:spacing w:line="271" w:lineRule="auto" w:before="122"/>
        <w:ind w:left="183" w:right="305"/>
        <w:jc w:val="both"/>
      </w:pPr>
      <w:r>
        <w:rPr/>
        <w:t>This annex was developed through a review of primary and secondary English-language sources related</w:t>
      </w:r>
      <w:r>
        <w:rPr>
          <w:spacing w:val="1"/>
        </w:rPr>
        <w:t> </w:t>
      </w:r>
      <w:r>
        <w:rPr/>
        <w:t>to the reform processes of focus in Finland and Portugal, and through six stakeholder interviews. Based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approach, it</w:t>
      </w:r>
      <w:r>
        <w:rPr>
          <w:spacing w:val="-1"/>
        </w:rPr>
        <w:t> </w:t>
      </w:r>
      <w:r>
        <w:rPr/>
        <w:t>attempts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capture an</w:t>
      </w:r>
      <w:r>
        <w:rPr>
          <w:spacing w:val="-2"/>
        </w:rPr>
        <w:t> </w:t>
      </w:r>
      <w:r>
        <w:rPr/>
        <w:t>accurate</w:t>
      </w:r>
      <w:r>
        <w:rPr>
          <w:spacing w:val="-1"/>
        </w:rPr>
        <w:t> </w:t>
      </w:r>
      <w:r>
        <w:rPr/>
        <w:t>picture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key</w:t>
      </w:r>
      <w:r>
        <w:rPr>
          <w:spacing w:val="-7"/>
        </w:rPr>
        <w:t> </w:t>
      </w:r>
      <w:r>
        <w:rPr/>
        <w:t>developments.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jc w:val="both"/>
      </w:pPr>
      <w:bookmarkStart w:name="_bookmark59" w:id="174"/>
      <w:bookmarkEnd w:id="174"/>
      <w:r>
        <w:rPr>
          <w:b w:val="0"/>
        </w:rPr>
      </w:r>
      <w:r>
        <w:rPr>
          <w:color w:val="4E81BD"/>
        </w:rPr>
        <w:t>Portugal:</w:t>
      </w:r>
      <w:r>
        <w:rPr>
          <w:color w:val="4E81BD"/>
          <w:spacing w:val="-3"/>
        </w:rPr>
        <w:t> </w:t>
      </w:r>
      <w:r>
        <w:rPr>
          <w:color w:val="4E81BD"/>
        </w:rPr>
        <w:t>HEI</w:t>
      </w:r>
      <w:r>
        <w:rPr>
          <w:color w:val="4E81BD"/>
          <w:spacing w:val="-4"/>
        </w:rPr>
        <w:t> </w:t>
      </w:r>
      <w:r>
        <w:rPr>
          <w:color w:val="4E81BD"/>
        </w:rPr>
        <w:t>governance</w:t>
      </w:r>
      <w:r>
        <w:rPr>
          <w:color w:val="4E81BD"/>
          <w:spacing w:val="-4"/>
        </w:rPr>
        <w:t> </w:t>
      </w:r>
      <w:r>
        <w:rPr>
          <w:color w:val="4E81BD"/>
        </w:rPr>
        <w:t>reform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Heading5"/>
      </w:pPr>
      <w:r>
        <w:rPr>
          <w:color w:val="616161"/>
        </w:rPr>
        <w:t>Key</w:t>
      </w:r>
      <w:r>
        <w:rPr>
          <w:color w:val="616161"/>
          <w:spacing w:val="-2"/>
        </w:rPr>
        <w:t> </w:t>
      </w:r>
      <w:r>
        <w:rPr>
          <w:color w:val="616161"/>
        </w:rPr>
        <w:t>governance</w:t>
      </w:r>
      <w:r>
        <w:rPr>
          <w:color w:val="616161"/>
          <w:spacing w:val="-2"/>
        </w:rPr>
        <w:t> </w:t>
      </w:r>
      <w:r>
        <w:rPr>
          <w:color w:val="616161"/>
        </w:rPr>
        <w:t>actors</w:t>
      </w:r>
      <w:r>
        <w:rPr>
          <w:color w:val="616161"/>
          <w:spacing w:val="-3"/>
        </w:rPr>
        <w:t> </w:t>
      </w:r>
      <w:r>
        <w:rPr>
          <w:color w:val="616161"/>
        </w:rPr>
        <w:t>in</w:t>
      </w:r>
      <w:r>
        <w:rPr>
          <w:color w:val="616161"/>
          <w:spacing w:val="-4"/>
        </w:rPr>
        <w:t> </w:t>
      </w:r>
      <w:r>
        <w:rPr>
          <w:color w:val="616161"/>
        </w:rPr>
        <w:t>the</w:t>
      </w:r>
      <w:r>
        <w:rPr>
          <w:color w:val="616161"/>
          <w:spacing w:val="-5"/>
        </w:rPr>
        <w:t> </w:t>
      </w:r>
      <w:r>
        <w:rPr>
          <w:color w:val="616161"/>
        </w:rPr>
        <w:t>HE</w:t>
      </w:r>
      <w:r>
        <w:rPr>
          <w:color w:val="616161"/>
          <w:spacing w:val="-1"/>
        </w:rPr>
        <w:t> </w:t>
      </w:r>
      <w:r>
        <w:rPr>
          <w:color w:val="616161"/>
        </w:rPr>
        <w:t>system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261" w:lineRule="auto"/>
        <w:ind w:left="183" w:right="298"/>
        <w:jc w:val="both"/>
      </w:pPr>
      <w:r>
        <w:rPr/>
        <w:t>Portugal is a centralised state without independent regional government; local authorities have limited</w:t>
      </w:r>
      <w:r>
        <w:rPr>
          <w:spacing w:val="1"/>
        </w:rPr>
        <w:t> </w:t>
      </w:r>
      <w:r>
        <w:rPr>
          <w:position w:val="1"/>
        </w:rPr>
        <w:t>responsibilities, relative to the role of their peers in other OECD countries (OECD, 2019</w:t>
      </w:r>
      <w:r>
        <w:rPr>
          <w:sz w:val="13"/>
        </w:rPr>
        <w:t>[5]</w:t>
      </w:r>
      <w:r>
        <w:rPr>
          <w:position w:val="1"/>
        </w:rPr>
        <w:t>) The central</w:t>
      </w:r>
      <w:r>
        <w:rPr>
          <w:spacing w:val="1"/>
          <w:position w:val="1"/>
        </w:rPr>
        <w:t> </w:t>
      </w:r>
      <w:r>
        <w:rPr/>
        <w:t>government (through the Council of Ministers) holds exclusive responsibility for HE, which is under the</w:t>
      </w:r>
      <w:r>
        <w:rPr>
          <w:spacing w:val="1"/>
        </w:rPr>
        <w:t> </w:t>
      </w:r>
      <w:r>
        <w:rPr>
          <w:spacing w:val="-4"/>
        </w:rPr>
        <w:t>control of the Ministry of Science, Technology </w:t>
      </w:r>
      <w:r>
        <w:rPr>
          <w:spacing w:val="-3"/>
        </w:rPr>
        <w:t>and Higher Education (Ministe</w:t>
      </w:r>
      <w:r>
        <w:rPr>
          <w:spacing w:val="-3"/>
          <w:position w:val="-2"/>
        </w:rPr>
        <w:t>́</w:t>
      </w:r>
      <w:r>
        <w:rPr>
          <w:spacing w:val="-3"/>
        </w:rPr>
        <w:t>rio da Ciê ncia e Tecnologia</w:t>
      </w:r>
      <w:r>
        <w:rPr>
          <w:spacing w:val="-53"/>
        </w:rPr>
        <w:t> </w:t>
      </w:r>
      <w:r>
        <w:rPr>
          <w:spacing w:val="-2"/>
        </w:rPr>
        <w:t>e Ensino </w:t>
      </w:r>
      <w:r>
        <w:rPr>
          <w:spacing w:val="-1"/>
        </w:rPr>
        <w:t>Superior, MCTES). The Directorate-General of Higher Education (Direç a</w:t>
      </w:r>
      <w:r>
        <w:rPr>
          <w:spacing w:val="-1"/>
          <w:position w:val="-2"/>
        </w:rPr>
        <w:t>̃</w:t>
      </w:r>
      <w:r>
        <w:rPr>
          <w:spacing w:val="-1"/>
        </w:rPr>
        <w:t>o-Geral do </w:t>
      </w:r>
      <w:r>
        <w:rPr>
          <w:spacing w:val="-59"/>
        </w:rPr>
        <w:t>Ensino</w:t>
      </w:r>
      <w:r>
        <w:rPr>
          <w:spacing w:val="-53"/>
        </w:rPr>
        <w:t> </w:t>
      </w:r>
      <w:r>
        <w:rPr/>
        <w:t>Superior, DGES) holds responsibility for the design, implementation and delivery of policy. The ministry</w:t>
      </w:r>
      <w:r>
        <w:rPr>
          <w:spacing w:val="1"/>
        </w:rPr>
        <w:t> </w:t>
      </w:r>
      <w:r>
        <w:rPr/>
        <w:t>holds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central</w:t>
      </w:r>
      <w:r>
        <w:rPr>
          <w:spacing w:val="-3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 administration of</w:t>
      </w:r>
      <w:r>
        <w:rPr>
          <w:spacing w:val="1"/>
        </w:rPr>
        <w:t> </w:t>
      </w:r>
      <w:r>
        <w:rPr/>
        <w:t>the higher</w:t>
      </w:r>
      <w:r>
        <w:rPr>
          <w:spacing w:val="2"/>
        </w:rPr>
        <w:t> </w:t>
      </w:r>
      <w:r>
        <w:rPr/>
        <w:t>education system.</w:t>
      </w:r>
    </w:p>
    <w:p>
      <w:pPr>
        <w:pStyle w:val="BodyText"/>
        <w:spacing w:before="128"/>
        <w:ind w:left="183"/>
        <w:jc w:val="both"/>
      </w:pPr>
      <w:r>
        <w:rPr/>
        <w:t>Additional</w:t>
      </w:r>
      <w:r>
        <w:rPr>
          <w:spacing w:val="-5"/>
        </w:rPr>
        <w:t> </w:t>
      </w:r>
      <w:r>
        <w:rPr/>
        <w:t>key</w:t>
      </w:r>
      <w:r>
        <w:rPr>
          <w:spacing w:val="-6"/>
        </w:rPr>
        <w:t> </w:t>
      </w:r>
      <w:r>
        <w:rPr/>
        <w:t>actors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system are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40" w:lineRule="auto" w:before="131" w:after="0"/>
        <w:ind w:left="862" w:right="303" w:hanging="339"/>
        <w:jc w:val="both"/>
        <w:rPr>
          <w:sz w:val="20"/>
        </w:rPr>
      </w:pPr>
      <w:r>
        <w:rPr>
          <w:sz w:val="20"/>
        </w:rPr>
        <w:t>The Agency for</w:t>
      </w:r>
      <w:r>
        <w:rPr>
          <w:spacing w:val="55"/>
          <w:sz w:val="20"/>
        </w:rPr>
        <w:t> </w:t>
      </w:r>
      <w:r>
        <w:rPr>
          <w:sz w:val="20"/>
        </w:rPr>
        <w:t>Assessment and</w:t>
      </w:r>
      <w:r>
        <w:rPr>
          <w:spacing w:val="56"/>
          <w:sz w:val="20"/>
        </w:rPr>
        <w:t> </w:t>
      </w:r>
      <w:r>
        <w:rPr>
          <w:sz w:val="20"/>
        </w:rPr>
        <w:t>Accreditation</w:t>
      </w:r>
      <w:r>
        <w:rPr>
          <w:spacing w:val="55"/>
          <w:sz w:val="20"/>
        </w:rPr>
        <w:t> </w:t>
      </w:r>
      <w:r>
        <w:rPr>
          <w:sz w:val="20"/>
        </w:rPr>
        <w:t>of</w:t>
      </w:r>
      <w:r>
        <w:rPr>
          <w:spacing w:val="56"/>
          <w:sz w:val="20"/>
        </w:rPr>
        <w:t> </w:t>
      </w:r>
      <w:r>
        <w:rPr>
          <w:sz w:val="20"/>
        </w:rPr>
        <w:t>Higher</w:t>
      </w:r>
      <w:r>
        <w:rPr>
          <w:spacing w:val="55"/>
          <w:sz w:val="20"/>
        </w:rPr>
        <w:t> </w:t>
      </w:r>
      <w:r>
        <w:rPr>
          <w:sz w:val="20"/>
        </w:rPr>
        <w:t>Education</w:t>
      </w:r>
      <w:r>
        <w:rPr>
          <w:spacing w:val="56"/>
          <w:sz w:val="20"/>
        </w:rPr>
        <w:t> </w:t>
      </w:r>
      <w:r>
        <w:rPr>
          <w:sz w:val="20"/>
        </w:rPr>
        <w:t>(Agê ncia de</w:t>
      </w:r>
      <w:r>
        <w:rPr>
          <w:spacing w:val="55"/>
          <w:sz w:val="20"/>
        </w:rPr>
        <w:t> </w:t>
      </w:r>
      <w:r>
        <w:rPr>
          <w:sz w:val="20"/>
        </w:rPr>
        <w:t>Avaliaç</w:t>
      </w:r>
      <w:r>
        <w:rPr>
          <w:spacing w:val="-52"/>
          <w:sz w:val="20"/>
        </w:rPr>
        <w:t> </w:t>
      </w:r>
      <w:r>
        <w:rPr>
          <w:spacing w:val="-113"/>
          <w:sz w:val="20"/>
        </w:rPr>
        <w:t>a</w:t>
      </w:r>
      <w:r>
        <w:rPr>
          <w:spacing w:val="-113"/>
          <w:position w:val="-2"/>
          <w:sz w:val="20"/>
        </w:rPr>
        <w:t>̃</w:t>
      </w:r>
      <w:r>
        <w:rPr>
          <w:spacing w:val="-113"/>
          <w:sz w:val="20"/>
        </w:rPr>
        <w:t>o</w:t>
      </w:r>
      <w:r>
        <w:rPr>
          <w:spacing w:val="-72"/>
          <w:sz w:val="20"/>
        </w:rPr>
        <w:t>e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Acreditaç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2"/>
          <w:position w:val="-2"/>
          <w:sz w:val="20"/>
        </w:rPr>
        <w:t>̃</w:t>
      </w:r>
      <w:r>
        <w:rPr>
          <w:spacing w:val="-2"/>
          <w:sz w:val="20"/>
        </w:rPr>
        <w:t>o</w:t>
      </w:r>
      <w:r>
        <w:rPr>
          <w:spacing w:val="66"/>
          <w:sz w:val="20"/>
        </w:rPr>
        <w:t> </w:t>
      </w:r>
      <w:r>
        <w:rPr>
          <w:spacing w:val="-2"/>
          <w:sz w:val="20"/>
        </w:rPr>
        <w:t>do</w:t>
      </w:r>
      <w:r>
        <w:rPr>
          <w:spacing w:val="65"/>
          <w:sz w:val="20"/>
        </w:rPr>
        <w:t> </w:t>
      </w:r>
      <w:r>
        <w:rPr>
          <w:spacing w:val="-2"/>
          <w:sz w:val="20"/>
        </w:rPr>
        <w:t>Ensino</w:t>
      </w:r>
      <w:r>
        <w:rPr>
          <w:spacing w:val="64"/>
          <w:sz w:val="20"/>
        </w:rPr>
        <w:t> </w:t>
      </w:r>
      <w:r>
        <w:rPr>
          <w:spacing w:val="-2"/>
          <w:sz w:val="20"/>
        </w:rPr>
        <w:t>Superior,</w:t>
      </w:r>
      <w:r>
        <w:rPr>
          <w:spacing w:val="65"/>
          <w:sz w:val="20"/>
        </w:rPr>
        <w:t> </w:t>
      </w:r>
      <w:r>
        <w:rPr>
          <w:spacing w:val="-1"/>
          <w:sz w:val="20"/>
        </w:rPr>
        <w:t>A3ES)</w:t>
      </w:r>
      <w:r>
        <w:rPr>
          <w:spacing w:val="64"/>
          <w:sz w:val="20"/>
        </w:rPr>
        <w:t> </w:t>
      </w:r>
      <w:r>
        <w:rPr>
          <w:spacing w:val="-1"/>
          <w:sz w:val="20"/>
        </w:rPr>
        <w:t>provides</w:t>
      </w:r>
      <w:r>
        <w:rPr>
          <w:spacing w:val="68"/>
          <w:sz w:val="20"/>
        </w:rPr>
        <w:t> </w:t>
      </w:r>
      <w:r>
        <w:rPr>
          <w:spacing w:val="-1"/>
          <w:sz w:val="20"/>
        </w:rPr>
        <w:t>evaluation</w:t>
      </w:r>
      <w:r>
        <w:rPr>
          <w:spacing w:val="63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63"/>
          <w:sz w:val="20"/>
        </w:rPr>
        <w:t> </w:t>
      </w:r>
      <w:r>
        <w:rPr>
          <w:spacing w:val="-1"/>
          <w:sz w:val="20"/>
        </w:rPr>
        <w:t>accreditation</w:t>
      </w:r>
      <w:r>
        <w:rPr>
          <w:spacing w:val="62"/>
          <w:sz w:val="20"/>
        </w:rPr>
        <w:t> </w:t>
      </w:r>
      <w:r>
        <w:rPr>
          <w:spacing w:val="-1"/>
          <w:sz w:val="20"/>
        </w:rPr>
        <w:t>of</w:t>
      </w:r>
      <w:r>
        <w:rPr>
          <w:sz w:val="20"/>
        </w:rPr>
        <w:t> HEIs</w:t>
      </w:r>
      <w:r>
        <w:rPr>
          <w:spacing w:val="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programmes.</w:t>
      </w: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54" w:lineRule="auto" w:before="76" w:after="0"/>
        <w:ind w:left="862" w:right="303" w:hanging="339"/>
        <w:jc w:val="both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Portuguese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Foundation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for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Science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Technology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(Fundaç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"/>
          <w:position w:val="-2"/>
          <w:sz w:val="20"/>
        </w:rPr>
        <w:t>̃</w:t>
      </w:r>
      <w:r>
        <w:rPr>
          <w:spacing w:val="-1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Ciê</w:t>
      </w:r>
      <w:r>
        <w:rPr>
          <w:sz w:val="20"/>
        </w:rPr>
        <w:t> </w:t>
      </w:r>
      <w:r>
        <w:rPr>
          <w:spacing w:val="-1"/>
          <w:sz w:val="20"/>
        </w:rPr>
        <w:t>ncia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3"/>
          <w:sz w:val="20"/>
        </w:rPr>
        <w:t> </w:t>
      </w:r>
      <w:r>
        <w:rPr>
          <w:spacing w:val="-51"/>
          <w:sz w:val="20"/>
        </w:rPr>
        <w:t>Tecnologia,</w:t>
      </w:r>
      <w:r>
        <w:rPr>
          <w:spacing w:val="-53"/>
          <w:sz w:val="20"/>
        </w:rPr>
        <w:t> </w:t>
      </w:r>
      <w:r>
        <w:rPr>
          <w:sz w:val="20"/>
        </w:rPr>
        <w:t>FCT) is the leading public funder of research (FCT is an independent foundation and research</w:t>
      </w:r>
      <w:r>
        <w:rPr>
          <w:spacing w:val="1"/>
          <w:sz w:val="20"/>
        </w:rPr>
        <w:t> </w:t>
      </w:r>
      <w:r>
        <w:rPr>
          <w:sz w:val="20"/>
        </w:rPr>
        <w:t>agency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MCTES).</w:t>
      </w: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68" w:lineRule="auto" w:before="62" w:after="0"/>
        <w:ind w:left="862" w:right="300" w:hanging="339"/>
        <w:jc w:val="both"/>
        <w:rPr>
          <w:sz w:val="20"/>
        </w:rPr>
      </w:pPr>
      <w:r>
        <w:rPr>
          <w:sz w:val="20"/>
        </w:rPr>
        <w:t>Strategic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operating</w:t>
      </w:r>
      <w:r>
        <w:rPr>
          <w:spacing w:val="1"/>
          <w:sz w:val="20"/>
        </w:rPr>
        <w:t> </w:t>
      </w:r>
      <w:r>
        <w:rPr>
          <w:sz w:val="20"/>
        </w:rPr>
        <w:t>bodies</w:t>
      </w:r>
      <w:r>
        <w:rPr>
          <w:spacing w:val="1"/>
          <w:sz w:val="20"/>
        </w:rPr>
        <w:t> </w:t>
      </w:r>
      <w:r>
        <w:rPr>
          <w:sz w:val="20"/>
        </w:rPr>
        <w:t>within</w:t>
      </w:r>
      <w:r>
        <w:rPr>
          <w:spacing w:val="1"/>
          <w:sz w:val="20"/>
        </w:rPr>
        <w:t> </w:t>
      </w:r>
      <w:r>
        <w:rPr>
          <w:sz w:val="20"/>
        </w:rPr>
        <w:t>government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administer</w:t>
      </w:r>
      <w:r>
        <w:rPr>
          <w:spacing w:val="1"/>
          <w:sz w:val="20"/>
        </w:rPr>
        <w:t> </w:t>
      </w:r>
      <w:r>
        <w:rPr>
          <w:sz w:val="20"/>
        </w:rPr>
        <w:t>European</w:t>
      </w:r>
      <w:r>
        <w:rPr>
          <w:spacing w:val="1"/>
          <w:sz w:val="20"/>
        </w:rPr>
        <w:t> </w:t>
      </w:r>
      <w:r>
        <w:rPr>
          <w:sz w:val="20"/>
        </w:rPr>
        <w:t>Structural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Investment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Funds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(ESIF)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areas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HE,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research,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innovation</w:t>
      </w:r>
      <w:r>
        <w:rPr>
          <w:spacing w:val="-10"/>
          <w:sz w:val="20"/>
        </w:rPr>
        <w:t> </w:t>
      </w:r>
      <w:r>
        <w:rPr>
          <w:sz w:val="20"/>
        </w:rPr>
        <w:t>are</w:t>
      </w:r>
      <w:r>
        <w:rPr>
          <w:spacing w:val="-13"/>
          <w:sz w:val="20"/>
        </w:rPr>
        <w:t> </w:t>
      </w:r>
      <w:r>
        <w:rPr>
          <w:sz w:val="20"/>
        </w:rPr>
        <w:t>also</w:t>
      </w:r>
      <w:r>
        <w:rPr>
          <w:spacing w:val="-12"/>
          <w:sz w:val="20"/>
        </w:rPr>
        <w:t> </w:t>
      </w:r>
      <w:r>
        <w:rPr>
          <w:sz w:val="20"/>
        </w:rPr>
        <w:t>important</w:t>
      </w:r>
      <w:r>
        <w:rPr>
          <w:spacing w:val="-13"/>
          <w:sz w:val="20"/>
        </w:rPr>
        <w:t> </w:t>
      </w:r>
      <w:r>
        <w:rPr>
          <w:sz w:val="20"/>
        </w:rPr>
        <w:t>system</w:t>
      </w:r>
      <w:r>
        <w:rPr>
          <w:spacing w:val="-8"/>
          <w:sz w:val="20"/>
        </w:rPr>
        <w:t> </w:t>
      </w:r>
      <w:r>
        <w:rPr>
          <w:sz w:val="20"/>
        </w:rPr>
        <w:t>actors</w:t>
      </w:r>
      <w:r>
        <w:rPr>
          <w:spacing w:val="-53"/>
          <w:sz w:val="20"/>
        </w:rPr>
        <w:t> </w:t>
      </w:r>
      <w:r>
        <w:rPr>
          <w:position w:val="1"/>
          <w:sz w:val="20"/>
        </w:rPr>
        <w:t>(OECD,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2019</w:t>
      </w:r>
      <w:r>
        <w:rPr>
          <w:sz w:val="13"/>
        </w:rPr>
        <w:t>[5]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32"/>
        <w:ind w:left="183" w:right="302"/>
        <w:jc w:val="both"/>
      </w:pPr>
      <w:r>
        <w:rPr/>
        <w:t>In 2016, EU Structural Funds accounted for 13% of income for research activities in public research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programmes under the management of subject-area aligned ministries, for example, the Ministry of</w:t>
      </w:r>
      <w:r>
        <w:rPr>
          <w:spacing w:val="1"/>
        </w:rPr>
        <w:t> </w:t>
      </w:r>
      <w:r>
        <w:rPr/>
        <w:t>Agriculture, Ministry of Economy, Ministry of Health, or Ministry of Planning and Infrastructure (OECD,</w:t>
      </w:r>
      <w:r>
        <w:rPr>
          <w:spacing w:val="1"/>
        </w:rPr>
        <w:t> </w:t>
      </w:r>
      <w:r>
        <w:rPr>
          <w:position w:val="1"/>
        </w:rPr>
        <w:t>2019</w:t>
      </w:r>
      <w:r>
        <w:rPr>
          <w:sz w:val="13"/>
        </w:rPr>
        <w:t>[5]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0"/>
        <w:jc w:val="both"/>
      </w:pPr>
      <w:r>
        <w:rPr/>
        <w:t>As of 2019, core institutional funding for HEIs in Portugal was delivered on a historical basis and is not</w:t>
      </w:r>
      <w:r>
        <w:rPr>
          <w:spacing w:val="1"/>
        </w:rPr>
        <w:t> </w:t>
      </w:r>
      <w:r>
        <w:rPr/>
        <w:t>based on HEI performance. In 2006, MCTES had proposed a formula-based institutional funding model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based,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output-based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(e.g. “graduation</w:t>
      </w:r>
      <w:r>
        <w:rPr>
          <w:spacing w:val="1"/>
        </w:rPr>
        <w:t> </w:t>
      </w:r>
      <w:r>
        <w:rPr/>
        <w:t>rate</w:t>
      </w:r>
      <w:r>
        <w:rPr>
          <w:spacing w:val="-53"/>
        </w:rPr>
        <w:t> </w:t>
      </w:r>
      <w:r>
        <w:rPr>
          <w:position w:val="1"/>
        </w:rPr>
        <w:t>efficiency”) (OECD, 2019</w:t>
      </w:r>
      <w:r>
        <w:rPr>
          <w:sz w:val="13"/>
        </w:rPr>
        <w:t>[5]</w:t>
      </w:r>
      <w:r>
        <w:rPr>
          <w:position w:val="1"/>
        </w:rPr>
        <w:t>). Despite “repeated efforts to develop a budget framework that is pluri-annual</w:t>
      </w:r>
      <w:r>
        <w:rPr>
          <w:spacing w:val="1"/>
          <w:position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performance”,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proposal)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>
          <w:w w:val="95"/>
        </w:rPr>
        <w:t>implemented, and instead, incremental adjustments have been made to historical institutional base funding</w:t>
      </w:r>
      <w:r>
        <w:rPr>
          <w:spacing w:val="1"/>
          <w:w w:val="95"/>
        </w:rPr>
        <w:t> </w:t>
      </w:r>
      <w:r>
        <w:rPr>
          <w:position w:val="1"/>
        </w:rPr>
        <w:t>annually, with mid-year budget reductions at times occurring to balance public accounts (OECD, 2019</w:t>
      </w:r>
      <w:r>
        <w:rPr>
          <w:sz w:val="13"/>
        </w:rPr>
        <w:t>[5]</w:t>
      </w:r>
      <w:r>
        <w:rPr>
          <w:position w:val="1"/>
        </w:rPr>
        <w:t>).</w:t>
      </w:r>
      <w:r>
        <w:rPr>
          <w:spacing w:val="-53"/>
          <w:position w:val="1"/>
        </w:rPr>
        <w:t> </w:t>
      </w:r>
      <w:r>
        <w:rPr/>
        <w:t>Core institutional funding delivered in this manner accounts for roughly half of total institutional income,</w:t>
      </w:r>
      <w:r>
        <w:rPr>
          <w:spacing w:val="1"/>
        </w:rPr>
        <w:t> </w:t>
      </w:r>
      <w:r>
        <w:rPr/>
        <w:t>with tuition and research funding delivered on a competitive basis, including through European Structural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Funds,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balance.</w:t>
      </w:r>
    </w:p>
    <w:p>
      <w:pPr>
        <w:pStyle w:val="BodyText"/>
        <w:spacing w:line="266" w:lineRule="auto" w:before="121"/>
        <w:ind w:left="183" w:right="302"/>
        <w:jc w:val="both"/>
      </w:pPr>
      <w:r>
        <w:rPr/>
        <w:t>The Co-ordinating Council for Higher Education (Conselho Co-ordenador do Ensino Superior, CCES)</w:t>
      </w:r>
      <w:r>
        <w:rPr>
          <w:spacing w:val="1"/>
        </w:rPr>
        <w:t> </w:t>
      </w:r>
      <w:r>
        <w:rPr/>
        <w:t>serves an advisory role to MCTES. The president of CCES and six other members are appointed by</w:t>
      </w:r>
      <w:r>
        <w:rPr>
          <w:spacing w:val="1"/>
        </w:rPr>
        <w:t> </w:t>
      </w:r>
      <w:r>
        <w:rPr/>
        <w:t>MCTES. Further members of CCES include two representatives of the Council of University Rectors</w:t>
      </w:r>
      <w:r>
        <w:rPr>
          <w:spacing w:val="1"/>
        </w:rPr>
        <w:t> </w:t>
      </w:r>
      <w:r>
        <w:rPr/>
        <w:t>(Conselho de Reitores das Universidades Portuguesas, CRUP), two representatives of the Council of</w:t>
      </w:r>
      <w:r>
        <w:rPr>
          <w:spacing w:val="1"/>
        </w:rPr>
        <w:t> </w:t>
      </w:r>
      <w:r>
        <w:rPr/>
        <w:t>Polytechnics</w:t>
      </w:r>
      <w:r>
        <w:rPr>
          <w:spacing w:val="-1"/>
        </w:rPr>
        <w:t> </w:t>
      </w:r>
      <w:r>
        <w:rPr/>
        <w:t>(Conselho</w:t>
      </w:r>
      <w:r>
        <w:rPr>
          <w:spacing w:val="-2"/>
        </w:rPr>
        <w:t> </w:t>
      </w:r>
      <w:r>
        <w:rPr/>
        <w:t>Coordenador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Institutos</w:t>
      </w:r>
      <w:r>
        <w:rPr>
          <w:spacing w:val="-2"/>
        </w:rPr>
        <w:t> </w:t>
      </w:r>
      <w:r>
        <w:rPr/>
        <w:t>Superiores Polite</w:t>
      </w:r>
      <w:r>
        <w:rPr>
          <w:position w:val="-2"/>
        </w:rPr>
        <w:t>́</w:t>
      </w:r>
      <w:r>
        <w:rPr/>
        <w:t>cnicos,</w:t>
      </w:r>
      <w:r>
        <w:rPr>
          <w:spacing w:val="-1"/>
        </w:rPr>
        <w:t> </w:t>
      </w:r>
      <w:r>
        <w:rPr/>
        <w:t>CCISP), a</w:t>
      </w:r>
      <w:r>
        <w:rPr>
          <w:spacing w:val="-2"/>
        </w:rPr>
        <w:t> </w:t>
      </w:r>
      <w:r>
        <w:rPr/>
        <w:t>representative</w:t>
      </w:r>
      <w:r>
        <w:rPr>
          <w:spacing w:val="-2"/>
        </w:rPr>
        <w:t> </w:t>
      </w:r>
      <w:r>
        <w:rPr>
          <w:spacing w:val="-67"/>
        </w:rPr>
        <w:t>of</w:t>
      </w:r>
      <w:r>
        <w:rPr>
          <w:spacing w:val="-1"/>
          <w:w w:val="99"/>
        </w:rPr>
        <w:t> </w:t>
      </w:r>
      <w:r>
        <w:rPr>
          <w:spacing w:val="-5"/>
        </w:rPr>
        <w:t>the</w:t>
      </w:r>
      <w:r>
        <w:rPr>
          <w:spacing w:val="-6"/>
        </w:rPr>
        <w:t> </w:t>
      </w:r>
      <w:r>
        <w:rPr>
          <w:spacing w:val="-5"/>
        </w:rPr>
        <w:t>association</w:t>
      </w:r>
      <w:r>
        <w:rPr>
          <w:spacing w:val="-6"/>
        </w:rPr>
        <w:t> </w:t>
      </w:r>
      <w:r>
        <w:rPr>
          <w:spacing w:val="-5"/>
        </w:rPr>
        <w:t>of</w:t>
      </w:r>
      <w:r>
        <w:rPr>
          <w:spacing w:val="-4"/>
        </w:rPr>
        <w:t> </w:t>
      </w:r>
      <w:r>
        <w:rPr>
          <w:spacing w:val="-5"/>
        </w:rPr>
        <w:t>private</w:t>
      </w:r>
      <w:r>
        <w:rPr>
          <w:spacing w:val="-4"/>
        </w:rPr>
        <w:t> </w:t>
      </w:r>
      <w:r>
        <w:rPr>
          <w:spacing w:val="-5"/>
        </w:rPr>
        <w:t>higher</w:t>
      </w:r>
      <w:r>
        <w:rPr>
          <w:spacing w:val="-4"/>
        </w:rPr>
        <w:t> </w:t>
      </w:r>
      <w:r>
        <w:rPr>
          <w:spacing w:val="-5"/>
        </w:rPr>
        <w:t>education</w:t>
      </w:r>
      <w:r>
        <w:rPr>
          <w:spacing w:val="-6"/>
        </w:rPr>
        <w:t> </w:t>
      </w:r>
      <w:r>
        <w:rPr>
          <w:spacing w:val="-5"/>
        </w:rPr>
        <w:t>(Associaç</w:t>
      </w:r>
      <w:r>
        <w:rPr>
          <w:spacing w:val="-13"/>
        </w:rPr>
        <w:t> </w:t>
      </w:r>
      <w:r>
        <w:rPr>
          <w:spacing w:val="-5"/>
        </w:rPr>
        <w:t>a</w:t>
      </w:r>
      <w:r>
        <w:rPr>
          <w:spacing w:val="-5"/>
          <w:position w:val="-2"/>
        </w:rPr>
        <w:t>̃</w:t>
      </w:r>
      <w:r>
        <w:rPr>
          <w:spacing w:val="-5"/>
        </w:rPr>
        <w:t>o</w:t>
      </w:r>
      <w:r>
        <w:rPr>
          <w:spacing w:val="-6"/>
        </w:rPr>
        <w:t> </w:t>
      </w:r>
      <w:r>
        <w:rPr>
          <w:spacing w:val="-5"/>
        </w:rPr>
        <w:t>Portuguesa de</w:t>
      </w:r>
      <w:r>
        <w:rPr>
          <w:spacing w:val="-4"/>
        </w:rPr>
        <w:t> </w:t>
      </w:r>
      <w:r>
        <w:rPr>
          <w:spacing w:val="-5"/>
        </w:rPr>
        <w:t>Ensino</w:t>
      </w:r>
      <w:r>
        <w:rPr>
          <w:spacing w:val="-4"/>
        </w:rPr>
        <w:t> </w:t>
      </w:r>
      <w:r>
        <w:rPr>
          <w:spacing w:val="-5"/>
        </w:rPr>
        <w:t>Superior</w:t>
      </w:r>
      <w:r>
        <w:rPr>
          <w:spacing w:val="-3"/>
        </w:rPr>
        <w:t> </w:t>
      </w:r>
      <w:r>
        <w:rPr>
          <w:spacing w:val="-4"/>
        </w:rPr>
        <w:t>Privado,</w:t>
      </w:r>
      <w:r>
        <w:rPr>
          <w:spacing w:val="-6"/>
        </w:rPr>
        <w:t> </w:t>
      </w:r>
      <w:r>
        <w:rPr>
          <w:spacing w:val="-4"/>
        </w:rPr>
        <w:t>APESP),</w:t>
      </w:r>
    </w:p>
    <w:p>
      <w:pPr>
        <w:pStyle w:val="BodyText"/>
        <w:spacing w:line="198" w:lineRule="exact"/>
        <w:ind w:left="183"/>
        <w:jc w:val="both"/>
      </w:pPr>
      <w:r>
        <w:rPr/>
        <w:t>one</w:t>
      </w:r>
      <w:r>
        <w:rPr>
          <w:spacing w:val="13"/>
        </w:rPr>
        <w:t> </w:t>
      </w:r>
      <w:r>
        <w:rPr/>
        <w:t>university</w:t>
      </w:r>
      <w:r>
        <w:rPr>
          <w:spacing w:val="8"/>
        </w:rPr>
        <w:t> </w:t>
      </w:r>
      <w:r>
        <w:rPr/>
        <w:t>student</w:t>
      </w:r>
      <w:r>
        <w:rPr>
          <w:spacing w:val="12"/>
        </w:rPr>
        <w:t> </w:t>
      </w:r>
      <w:r>
        <w:rPr/>
        <w:t>representative,</w:t>
      </w:r>
      <w:r>
        <w:rPr>
          <w:spacing w:val="13"/>
        </w:rPr>
        <w:t> </w:t>
      </w:r>
      <w:r>
        <w:rPr/>
        <w:t>one</w:t>
      </w:r>
      <w:r>
        <w:rPr>
          <w:spacing w:val="14"/>
        </w:rPr>
        <w:t> </w:t>
      </w:r>
      <w:r>
        <w:rPr/>
        <w:t>polytechnic</w:t>
      </w:r>
      <w:r>
        <w:rPr>
          <w:spacing w:val="13"/>
        </w:rPr>
        <w:t> </w:t>
      </w:r>
      <w:r>
        <w:rPr/>
        <w:t>student</w:t>
      </w:r>
      <w:r>
        <w:rPr>
          <w:spacing w:val="13"/>
        </w:rPr>
        <w:t> </w:t>
      </w:r>
      <w:r>
        <w:rPr/>
        <w:t>representative,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heads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DGES,</w:t>
      </w:r>
    </w:p>
    <w:p>
      <w:pPr>
        <w:spacing w:after="0" w:line="198" w:lineRule="exact"/>
        <w:jc w:val="both"/>
        <w:sectPr>
          <w:headerReference w:type="default" r:id="rId199"/>
          <w:headerReference w:type="even" r:id="rId200"/>
          <w:footerReference w:type="default" r:id="rId201"/>
          <w:footerReference w:type="even" r:id="rId202"/>
          <w:pgSz w:w="11910" w:h="15880"/>
          <w:pgMar w:header="734" w:footer="731" w:top="1200" w:bottom="920" w:left="1120" w:right="1000"/>
          <w:pgNumType w:start="119"/>
        </w:sectPr>
      </w:pPr>
    </w:p>
    <w:p>
      <w:pPr>
        <w:pStyle w:val="BodyText"/>
        <w:spacing w:line="271" w:lineRule="auto" w:before="122"/>
        <w:ind w:left="183" w:right="309"/>
        <w:jc w:val="both"/>
      </w:pPr>
      <w:r>
        <w:rPr>
          <w:position w:val="1"/>
        </w:rPr>
        <w:t>FCT and A3ES (DGES, 2020</w:t>
      </w:r>
      <w:r>
        <w:rPr>
          <w:sz w:val="13"/>
        </w:rPr>
        <w:t>[6]</w:t>
      </w:r>
      <w:r>
        <w:rPr>
          <w:position w:val="1"/>
        </w:rPr>
        <w:t>). Two other advisory councils, dedicated respectively to science and to</w:t>
      </w:r>
      <w:r>
        <w:rPr>
          <w:spacing w:val="1"/>
          <w:position w:val="1"/>
        </w:rPr>
        <w:t> </w:t>
      </w:r>
      <w:r>
        <w:rPr/>
        <w:t>innovation, have been largely inactive in recent years and CCES lacks “the clear mandate and sufficient</w:t>
      </w:r>
      <w:r>
        <w:rPr>
          <w:spacing w:val="1"/>
        </w:rPr>
        <w:t> </w:t>
      </w:r>
      <w:r>
        <w:rPr/>
        <w:t>resources to act as an independent advisory body, which combines higher education, research and</w:t>
      </w:r>
      <w:r>
        <w:rPr>
          <w:spacing w:val="1"/>
        </w:rPr>
        <w:t> </w:t>
      </w:r>
      <w:r>
        <w:rPr>
          <w:position w:val="1"/>
        </w:rPr>
        <w:t>innovation” (OECD,</w:t>
      </w:r>
      <w:r>
        <w:rPr>
          <w:spacing w:val="-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[5]</w:t>
      </w:r>
      <w:r>
        <w:rPr>
          <w:position w:val="1"/>
        </w:rPr>
        <w:t>).</w:t>
      </w:r>
    </w:p>
    <w:p>
      <w:pPr>
        <w:pStyle w:val="BodyText"/>
        <w:spacing w:line="261" w:lineRule="auto" w:before="120"/>
        <w:ind w:left="183" w:right="307"/>
        <w:jc w:val="both"/>
      </w:pPr>
      <w:r>
        <w:rPr/>
        <w:t>Governance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HEIs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addressed</w:t>
      </w:r>
      <w:r>
        <w:rPr>
          <w:spacing w:val="-9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sections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follow</w:t>
      </w:r>
      <w:r>
        <w:rPr>
          <w:spacing w:val="-13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discussion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2007</w:t>
      </w:r>
      <w:r>
        <w:rPr>
          <w:spacing w:val="-54"/>
        </w:rPr>
        <w:t> </w:t>
      </w:r>
      <w:r>
        <w:rPr>
          <w:spacing w:val="-1"/>
        </w:rPr>
        <w:t>Legal</w:t>
      </w:r>
      <w:r>
        <w:rPr>
          <w:spacing w:val="53"/>
        </w:rPr>
        <w:t> </w:t>
      </w:r>
      <w:r>
        <w:rPr>
          <w:spacing w:val="-1"/>
        </w:rPr>
        <w:t>Regime</w:t>
      </w:r>
      <w:r>
        <w:rPr>
          <w:spacing w:val="54"/>
        </w:rPr>
        <w:t> </w:t>
      </w:r>
      <w:r>
        <w:rPr>
          <w:spacing w:val="-1"/>
        </w:rPr>
        <w:t>for Higher</w:t>
      </w:r>
      <w:r>
        <w:rPr>
          <w:spacing w:val="53"/>
        </w:rPr>
        <w:t> </w:t>
      </w:r>
      <w:r>
        <w:rPr>
          <w:spacing w:val="-1"/>
        </w:rPr>
        <w:t>Education</w:t>
      </w:r>
      <w:r>
        <w:rPr>
          <w:spacing w:val="54"/>
        </w:rPr>
        <w:t> </w:t>
      </w:r>
      <w:r>
        <w:rPr>
          <w:spacing w:val="-1"/>
        </w:rPr>
        <w:t>Institutions</w:t>
      </w:r>
      <w:r>
        <w:rPr>
          <w:spacing w:val="53"/>
        </w:rPr>
        <w:t> </w:t>
      </w:r>
      <w:r>
        <w:rPr>
          <w:spacing w:val="-1"/>
        </w:rPr>
        <w:t>(Regime</w:t>
      </w:r>
      <w:r>
        <w:rPr>
          <w:spacing w:val="54"/>
        </w:rPr>
        <w:t> </w:t>
      </w:r>
      <w:r>
        <w:rPr>
          <w:spacing w:val="-1"/>
        </w:rPr>
        <w:t>Juri</w:t>
      </w:r>
      <w:r>
        <w:rPr>
          <w:spacing w:val="-1"/>
          <w:position w:val="-2"/>
        </w:rPr>
        <w:t>́</w:t>
      </w:r>
      <w:r>
        <w:rPr>
          <w:spacing w:val="-1"/>
        </w:rPr>
        <w:t>dico</w:t>
      </w:r>
      <w:r>
        <w:rPr>
          <w:spacing w:val="53"/>
        </w:rPr>
        <w:t> </w:t>
      </w:r>
      <w:r>
        <w:rPr/>
        <w:t>das</w:t>
      </w:r>
      <w:r>
        <w:rPr>
          <w:spacing w:val="56"/>
        </w:rPr>
        <w:t> </w:t>
      </w:r>
      <w:r>
        <w:rPr/>
        <w:t>Instituiç o</w:t>
      </w:r>
      <w:r>
        <w:rPr>
          <w:position w:val="-2"/>
        </w:rPr>
        <w:t>̃</w:t>
      </w:r>
      <w:r>
        <w:rPr/>
        <w:t>es de Ensino</w:t>
      </w:r>
      <w:r>
        <w:rPr>
          <w:spacing w:val="1"/>
        </w:rPr>
        <w:t> </w:t>
      </w:r>
      <w:r>
        <w:rPr>
          <w:spacing w:val="-61"/>
        </w:rPr>
        <w:t>Superior,</w:t>
      </w:r>
      <w:r>
        <w:rPr>
          <w:spacing w:val="-2"/>
        </w:rPr>
        <w:t> </w:t>
      </w:r>
      <w:r>
        <w:rPr>
          <w:spacing w:val="-1"/>
        </w:rPr>
        <w:t>RJIES), development and implementation </w:t>
      </w:r>
      <w:r>
        <w:rPr/>
        <w:t>of which forms the key area of focus of this case study on</w:t>
      </w:r>
      <w:r>
        <w:rPr>
          <w:spacing w:val="1"/>
        </w:rPr>
        <w:t> </w:t>
      </w:r>
      <w:r>
        <w:rPr/>
        <w:t>HEI</w:t>
      </w:r>
      <w:r>
        <w:rPr>
          <w:spacing w:val="-1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modernisation.</w:t>
      </w:r>
    </w:p>
    <w:p>
      <w:pPr>
        <w:pStyle w:val="BodyText"/>
        <w:spacing w:before="11"/>
        <w:rPr>
          <w:sz w:val="23"/>
        </w:rPr>
      </w:pPr>
    </w:p>
    <w:p>
      <w:pPr>
        <w:pStyle w:val="Heading5"/>
      </w:pPr>
      <w:r>
        <w:rPr>
          <w:color w:val="616161"/>
        </w:rPr>
        <w:t>The</w:t>
      </w:r>
      <w:r>
        <w:rPr>
          <w:color w:val="616161"/>
          <w:spacing w:val="-4"/>
        </w:rPr>
        <w:t> </w:t>
      </w:r>
      <w:r>
        <w:rPr>
          <w:color w:val="616161"/>
        </w:rPr>
        <w:t>context</w:t>
      </w:r>
      <w:r>
        <w:rPr>
          <w:color w:val="616161"/>
          <w:spacing w:val="-4"/>
        </w:rPr>
        <w:t> </w:t>
      </w:r>
      <w:r>
        <w:rPr>
          <w:color w:val="616161"/>
        </w:rPr>
        <w:t>for</w:t>
      </w:r>
      <w:r>
        <w:rPr>
          <w:color w:val="616161"/>
          <w:spacing w:val="-2"/>
        </w:rPr>
        <w:t> </w:t>
      </w:r>
      <w:r>
        <w:rPr>
          <w:color w:val="616161"/>
        </w:rPr>
        <w:t>HEI</w:t>
      </w:r>
      <w:r>
        <w:rPr>
          <w:color w:val="616161"/>
          <w:spacing w:val="-2"/>
        </w:rPr>
        <w:t> </w:t>
      </w:r>
      <w:r>
        <w:rPr>
          <w:color w:val="616161"/>
        </w:rPr>
        <w:t>governance</w:t>
      </w:r>
      <w:r>
        <w:rPr>
          <w:color w:val="616161"/>
          <w:spacing w:val="-3"/>
        </w:rPr>
        <w:t> </w:t>
      </w:r>
      <w:r>
        <w:rPr>
          <w:color w:val="616161"/>
        </w:rPr>
        <w:t>reform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The period between the democratic revolution of 1974 and 1986, when Portugal joined the European</w:t>
      </w:r>
      <w:r>
        <w:rPr>
          <w:spacing w:val="1"/>
        </w:rPr>
        <w:t> </w:t>
      </w:r>
      <w:r>
        <w:rPr/>
        <w:t>Economic Community (EEC), saw substantial growth in HE with this expansion supported by World Bank</w:t>
      </w:r>
      <w:r>
        <w:rPr>
          <w:spacing w:val="-53"/>
        </w:rPr>
        <w:t> </w:t>
      </w:r>
      <w:r>
        <w:rPr>
          <w:position w:val="1"/>
        </w:rPr>
        <w:t>and OECD technical assistance and advice (Kauko and Diogo, 2012</w:t>
      </w:r>
      <w:r>
        <w:rPr>
          <w:sz w:val="13"/>
        </w:rPr>
        <w:t>[7]</w:t>
      </w:r>
      <w:r>
        <w:rPr>
          <w:position w:val="1"/>
        </w:rPr>
        <w:t>). Formalisation of HE governance</w:t>
      </w:r>
      <w:r>
        <w:rPr>
          <w:spacing w:val="1"/>
          <w:position w:val="1"/>
        </w:rPr>
        <w:t> </w:t>
      </w:r>
      <w:r>
        <w:rPr/>
        <w:t>in Portugal began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-2"/>
        </w:rPr>
        <w:t> </w:t>
      </w:r>
      <w:r>
        <w:rPr/>
        <w:t>1980s.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1980s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1990s,</w:t>
      </w:r>
      <w:r>
        <w:rPr>
          <w:spacing w:val="-4"/>
        </w:rPr>
        <w:t> </w:t>
      </w:r>
      <w:r>
        <w:rPr/>
        <w:t>demand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spaces</w:t>
      </w:r>
      <w:r>
        <w:rPr>
          <w:spacing w:val="-6"/>
        </w:rPr>
        <w:t> </w:t>
      </w:r>
      <w:r>
        <w:rPr/>
        <w:t>grew,</w:t>
      </w:r>
      <w:r>
        <w:rPr>
          <w:spacing w:val="-4"/>
        </w:rPr>
        <w:t> </w:t>
      </w:r>
      <w:r>
        <w:rPr/>
        <w:t>driving</w:t>
      </w:r>
      <w:r>
        <w:rPr>
          <w:spacing w:val="-7"/>
        </w:rPr>
        <w:t> </w:t>
      </w:r>
      <w:r>
        <w:rPr/>
        <w:t>public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private</w:t>
      </w:r>
      <w:r>
        <w:rPr>
          <w:spacing w:val="-7"/>
        </w:rPr>
        <w:t> </w:t>
      </w:r>
      <w:r>
        <w:rPr/>
        <w:t>system</w:t>
      </w:r>
      <w:r>
        <w:rPr>
          <w:spacing w:val="-2"/>
        </w:rPr>
        <w:t> </w:t>
      </w:r>
      <w:r>
        <w:rPr/>
        <w:t>expansion,</w:t>
      </w:r>
      <w:r>
        <w:rPr>
          <w:spacing w:val="-5"/>
        </w:rPr>
        <w:t> </w:t>
      </w:r>
      <w:r>
        <w:rPr/>
        <w:t>which</w:t>
      </w:r>
      <w:r>
        <w:rPr>
          <w:spacing w:val="1"/>
        </w:rPr>
        <w:t> </w:t>
      </w:r>
      <w:r>
        <w:rPr/>
        <w:t>saw</w:t>
      </w:r>
      <w:r>
        <w:rPr>
          <w:spacing w:val="-10"/>
        </w:rPr>
        <w:t> </w:t>
      </w:r>
      <w:r>
        <w:rPr/>
        <w:t>new</w:t>
      </w:r>
      <w:r>
        <w:rPr>
          <w:spacing w:val="-8"/>
        </w:rPr>
        <w:t> </w:t>
      </w:r>
      <w:r>
        <w:rPr/>
        <w:t>institutions</w:t>
      </w:r>
      <w:r>
        <w:rPr>
          <w:spacing w:val="-8"/>
        </w:rPr>
        <w:t> </w:t>
      </w:r>
      <w:r>
        <w:rPr/>
        <w:t>founded,</w:t>
      </w:r>
      <w:r>
        <w:rPr>
          <w:spacing w:val="-10"/>
        </w:rPr>
        <w:t> </w:t>
      </w:r>
      <w:r>
        <w:rPr/>
        <w:t>including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smaller</w:t>
      </w:r>
      <w:r>
        <w:rPr>
          <w:spacing w:val="-9"/>
        </w:rPr>
        <w:t> </w:t>
      </w:r>
      <w:r>
        <w:rPr/>
        <w:t>centres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rural</w:t>
      </w:r>
      <w:r>
        <w:rPr>
          <w:spacing w:val="-10"/>
        </w:rPr>
        <w:t> </w:t>
      </w:r>
      <w:r>
        <w:rPr/>
        <w:t>areas</w:t>
      </w:r>
      <w:r>
        <w:rPr>
          <w:spacing w:val="-9"/>
        </w:rPr>
        <w:t> </w:t>
      </w:r>
      <w:r>
        <w:rPr/>
        <w:t>outside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traditional</w:t>
      </w:r>
      <w:r>
        <w:rPr>
          <w:spacing w:val="-11"/>
        </w:rPr>
        <w:t> </w:t>
      </w:r>
      <w:r>
        <w:rPr/>
        <w:t>centres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>
          <w:position w:val="1"/>
        </w:rPr>
        <w:t>HE</w:t>
      </w:r>
      <w:r>
        <w:rPr>
          <w:spacing w:val="1"/>
          <w:position w:val="1"/>
        </w:rPr>
        <w:t> </w:t>
      </w:r>
      <w:r>
        <w:rPr>
          <w:position w:val="1"/>
        </w:rPr>
        <w:t>in</w:t>
      </w:r>
      <w:r>
        <w:rPr>
          <w:spacing w:val="1"/>
          <w:position w:val="1"/>
        </w:rPr>
        <w:t> </w:t>
      </w:r>
      <w:r>
        <w:rPr>
          <w:position w:val="1"/>
        </w:rPr>
        <w:t>Lisbon,</w:t>
      </w:r>
      <w:r>
        <w:rPr>
          <w:spacing w:val="1"/>
          <w:position w:val="1"/>
        </w:rPr>
        <w:t> </w:t>
      </w:r>
      <w:r>
        <w:rPr>
          <w:position w:val="1"/>
        </w:rPr>
        <w:t>Porto</w:t>
      </w:r>
      <w:r>
        <w:rPr>
          <w:spacing w:val="1"/>
          <w:position w:val="1"/>
        </w:rPr>
        <w:t> </w:t>
      </w:r>
      <w:r>
        <w:rPr>
          <w:position w:val="1"/>
        </w:rPr>
        <w:t>and</w:t>
      </w:r>
      <w:r>
        <w:rPr>
          <w:spacing w:val="1"/>
          <w:position w:val="1"/>
        </w:rPr>
        <w:t> </w:t>
      </w:r>
      <w:r>
        <w:rPr>
          <w:position w:val="1"/>
        </w:rPr>
        <w:t>Coimbra</w:t>
      </w:r>
      <w:r>
        <w:rPr>
          <w:spacing w:val="1"/>
          <w:position w:val="1"/>
        </w:rPr>
        <w:t> </w:t>
      </w:r>
      <w:r>
        <w:rPr>
          <w:position w:val="1"/>
        </w:rPr>
        <w:t>(Fonseca,</w:t>
      </w:r>
      <w:r>
        <w:rPr>
          <w:spacing w:val="1"/>
          <w:position w:val="1"/>
        </w:rPr>
        <w:t> </w:t>
      </w:r>
      <w:r>
        <w:rPr>
          <w:position w:val="1"/>
        </w:rPr>
        <w:t>Encarnação</w:t>
      </w:r>
      <w:r>
        <w:rPr>
          <w:spacing w:val="1"/>
          <w:position w:val="1"/>
        </w:rPr>
        <w:t> </w:t>
      </w:r>
      <w:r>
        <w:rPr>
          <w:position w:val="1"/>
        </w:rPr>
        <w:t>and</w:t>
      </w:r>
      <w:r>
        <w:rPr>
          <w:spacing w:val="1"/>
          <w:position w:val="1"/>
        </w:rPr>
        <w:t> </w:t>
      </w:r>
      <w:r>
        <w:rPr>
          <w:position w:val="1"/>
        </w:rPr>
        <w:t>Justino,</w:t>
      </w:r>
      <w:r>
        <w:rPr>
          <w:spacing w:val="1"/>
          <w:position w:val="1"/>
        </w:rPr>
        <w:t> </w:t>
      </w:r>
      <w:r>
        <w:rPr>
          <w:position w:val="1"/>
        </w:rPr>
        <w:t>2014</w:t>
      </w:r>
      <w:r>
        <w:rPr>
          <w:sz w:val="13"/>
        </w:rPr>
        <w:t>[8]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>
          <w:position w:val="1"/>
        </w:rPr>
        <w:t>In</w:t>
      </w:r>
      <w:r>
        <w:rPr>
          <w:spacing w:val="1"/>
          <w:position w:val="1"/>
        </w:rPr>
        <w:t> </w:t>
      </w:r>
      <w:r>
        <w:rPr>
          <w:position w:val="1"/>
        </w:rPr>
        <w:t>1973,</w:t>
      </w:r>
      <w:r>
        <w:rPr>
          <w:spacing w:val="1"/>
          <w:position w:val="1"/>
        </w:rPr>
        <w:t> </w:t>
      </w:r>
      <w:r>
        <w:rPr>
          <w:position w:val="1"/>
        </w:rPr>
        <w:t>a</w:t>
      </w:r>
      <w:r>
        <w:rPr>
          <w:spacing w:val="-53"/>
          <w:position w:val="1"/>
        </w:rPr>
        <w:t> </w:t>
      </w:r>
      <w:r>
        <w:rPr/>
        <w:t>“polytechnic/vocational subsystem” was formally established (and a binary system inaugurated), though</w:t>
      </w:r>
      <w:r>
        <w:rPr>
          <w:spacing w:val="1"/>
        </w:rPr>
        <w:t> </w:t>
      </w:r>
      <w:r>
        <w:rPr/>
        <w:t>its roots can be traced back to the OECD’s 1959 “Mediterranean Regional Project (MRP)”, which focused</w:t>
      </w:r>
      <w:r>
        <w:rPr>
          <w:spacing w:val="-53"/>
        </w:rPr>
        <w:t> </w:t>
      </w:r>
      <w:r>
        <w:rPr>
          <w:spacing w:val="-1"/>
          <w:position w:val="1"/>
        </w:rPr>
        <w:t>on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addressing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skills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needs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in</w:t>
      </w:r>
      <w:r>
        <w:rPr>
          <w:spacing w:val="-16"/>
          <w:position w:val="1"/>
        </w:rPr>
        <w:t> </w:t>
      </w:r>
      <w:r>
        <w:rPr>
          <w:spacing w:val="-1"/>
          <w:position w:val="1"/>
        </w:rPr>
        <w:t>participating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countries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(MTCES,</w:t>
      </w:r>
      <w:r>
        <w:rPr>
          <w:spacing w:val="-15"/>
          <w:position w:val="1"/>
        </w:rPr>
        <w:t> </w:t>
      </w:r>
      <w:r>
        <w:rPr>
          <w:position w:val="1"/>
        </w:rPr>
        <w:t>2006</w:t>
      </w:r>
      <w:r>
        <w:rPr>
          <w:sz w:val="13"/>
        </w:rPr>
        <w:t>[9]</w:t>
      </w:r>
      <w:r>
        <w:rPr>
          <w:position w:val="1"/>
        </w:rPr>
        <w:t>).</w:t>
      </w:r>
      <w:r>
        <w:rPr>
          <w:spacing w:val="-14"/>
          <w:position w:val="1"/>
        </w:rPr>
        <w:t> </w:t>
      </w:r>
      <w:r>
        <w:rPr>
          <w:position w:val="1"/>
        </w:rPr>
        <w:t>Implementation</w:t>
      </w:r>
      <w:r>
        <w:rPr>
          <w:spacing w:val="-14"/>
          <w:position w:val="1"/>
        </w:rPr>
        <w:t> </w:t>
      </w:r>
      <w:r>
        <w:rPr>
          <w:position w:val="1"/>
        </w:rPr>
        <w:t>of</w:t>
      </w:r>
      <w:r>
        <w:rPr>
          <w:spacing w:val="-14"/>
          <w:position w:val="1"/>
        </w:rPr>
        <w:t> </w:t>
      </w:r>
      <w:r>
        <w:rPr>
          <w:position w:val="1"/>
        </w:rPr>
        <w:t>the</w:t>
      </w:r>
      <w:r>
        <w:rPr>
          <w:spacing w:val="-13"/>
          <w:position w:val="1"/>
        </w:rPr>
        <w:t> </w:t>
      </w:r>
      <w:r>
        <w:rPr>
          <w:position w:val="1"/>
        </w:rPr>
        <w:t>binary</w:t>
      </w:r>
      <w:r>
        <w:rPr>
          <w:spacing w:val="-19"/>
          <w:position w:val="1"/>
        </w:rPr>
        <w:t> </w:t>
      </w:r>
      <w:r>
        <w:rPr>
          <w:position w:val="1"/>
        </w:rPr>
        <w:t>system</w:t>
      </w:r>
      <w:r>
        <w:rPr>
          <w:spacing w:val="1"/>
          <w:position w:val="1"/>
        </w:rPr>
        <w:t> </w:t>
      </w:r>
      <w:r>
        <w:rPr/>
        <w:t>began in 1977, following the transition to democracy. Additionally, focus on expansion of vocational HE</w:t>
      </w:r>
      <w:r>
        <w:rPr>
          <w:spacing w:val="1"/>
        </w:rPr>
        <w:t> </w:t>
      </w:r>
      <w:r>
        <w:rPr/>
        <w:t>was a key World Bank recommendation for Portugal during the post-revolution transition period (Kauko</w:t>
      </w:r>
      <w:r>
        <w:rPr>
          <w:spacing w:val="1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Diogo,</w:t>
      </w:r>
      <w:r>
        <w:rPr>
          <w:spacing w:val="1"/>
          <w:position w:val="1"/>
        </w:rPr>
        <w:t> </w:t>
      </w:r>
      <w:r>
        <w:rPr>
          <w:position w:val="1"/>
        </w:rPr>
        <w:t>2012</w:t>
      </w:r>
      <w:r>
        <w:rPr>
          <w:sz w:val="13"/>
        </w:rPr>
        <w:t>[7]</w:t>
      </w:r>
      <w:r>
        <w:rPr>
          <w:position w:val="1"/>
        </w:rPr>
        <w:t>).</w:t>
      </w:r>
    </w:p>
    <w:p>
      <w:pPr>
        <w:pStyle w:val="BodyText"/>
        <w:spacing w:line="266" w:lineRule="auto" w:before="121"/>
        <w:ind w:left="183" w:right="302"/>
        <w:jc w:val="both"/>
      </w:pPr>
      <w:r>
        <w:rPr/>
        <w:t>Only recently, in 2014, short-cycle post-secondary higher-education programmes were established in</w:t>
      </w:r>
      <w:r>
        <w:rPr>
          <w:spacing w:val="1"/>
        </w:rPr>
        <w:t> </w:t>
      </w:r>
      <w:r>
        <w:rPr>
          <w:spacing w:val="-1"/>
        </w:rPr>
        <w:t>Portugal</w:t>
      </w:r>
      <w:r>
        <w:rPr>
          <w:spacing w:val="-11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Technical</w:t>
      </w:r>
      <w:r>
        <w:rPr>
          <w:spacing w:val="-11"/>
        </w:rPr>
        <w:t> </w:t>
      </w:r>
      <w:r>
        <w:rPr>
          <w:spacing w:val="-1"/>
        </w:rPr>
        <w:t>Professional</w:t>
      </w:r>
      <w:r>
        <w:rPr>
          <w:spacing w:val="-9"/>
        </w:rPr>
        <w:t> </w:t>
      </w:r>
      <w:r>
        <w:rPr>
          <w:spacing w:val="-1"/>
        </w:rPr>
        <w:t>Higher</w:t>
      </w:r>
      <w:r>
        <w:rPr>
          <w:spacing w:val="-9"/>
        </w:rPr>
        <w:t> </w:t>
      </w:r>
      <w:r>
        <w:rPr>
          <w:spacing w:val="-1"/>
        </w:rPr>
        <w:t>Education</w:t>
      </w:r>
      <w:r>
        <w:rPr>
          <w:spacing w:val="-13"/>
        </w:rPr>
        <w:t> </w:t>
      </w:r>
      <w:r>
        <w:rPr>
          <w:spacing w:val="-1"/>
        </w:rPr>
        <w:t>Courses</w:t>
      </w:r>
      <w:r>
        <w:rPr>
          <w:spacing w:val="-11"/>
        </w:rPr>
        <w:t> </w:t>
      </w:r>
      <w:r>
        <w:rPr/>
        <w:t>(Cursos</w:t>
      </w:r>
      <w:r>
        <w:rPr>
          <w:spacing w:val="-12"/>
        </w:rPr>
        <w:t> </w:t>
      </w:r>
      <w:r>
        <w:rPr/>
        <w:t>Te</w:t>
      </w:r>
      <w:r>
        <w:rPr>
          <w:position w:val="-2"/>
        </w:rPr>
        <w:t>́</w:t>
      </w:r>
      <w:r>
        <w:rPr/>
        <w:t>cnicos</w:t>
      </w:r>
      <w:r>
        <w:rPr>
          <w:spacing w:val="-12"/>
        </w:rPr>
        <w:t> </w:t>
      </w:r>
      <w:r>
        <w:rPr/>
        <w:t>Superiores</w:t>
      </w:r>
      <w:r>
        <w:rPr>
          <w:spacing w:val="-11"/>
        </w:rPr>
        <w:t> </w:t>
      </w:r>
      <w:r>
        <w:rPr/>
        <w:t>Profissionais,</w:t>
      </w:r>
      <w:r>
        <w:rPr>
          <w:spacing w:val="-53"/>
        </w:rPr>
        <w:t> </w:t>
      </w:r>
      <w:r>
        <w:rPr>
          <w:position w:val="1"/>
        </w:rPr>
        <w:t>CTeSP) (OECD, 2019</w:t>
      </w:r>
      <w:r>
        <w:rPr>
          <w:sz w:val="13"/>
        </w:rPr>
        <w:t>[5]</w:t>
      </w:r>
      <w:r>
        <w:rPr>
          <w:position w:val="1"/>
        </w:rPr>
        <w:t>). While initially intended to support direct labour market entrance, about half of</w:t>
      </w:r>
      <w:r>
        <w:rPr>
          <w:spacing w:val="1"/>
          <w:position w:val="1"/>
        </w:rPr>
        <w:t> </w:t>
      </w:r>
      <w:r>
        <w:rPr/>
        <w:t>CTeSP students continue their studies at the bachelor level. As of the completion of the OECD Review of</w:t>
      </w:r>
      <w:r>
        <w:rPr>
          <w:spacing w:val="-53"/>
        </w:rPr>
        <w:t> </w:t>
      </w:r>
      <w:r>
        <w:rPr>
          <w:position w:val="1"/>
        </w:rPr>
        <w:t>Higher Education; Research and Innovation: Portugal (2019</w:t>
      </w:r>
      <w:r>
        <w:rPr>
          <w:sz w:val="13"/>
        </w:rPr>
        <w:t>[5]</w:t>
      </w:r>
      <w:r>
        <w:rPr>
          <w:position w:val="1"/>
        </w:rPr>
        <w:t>), uncertainty remains regarding the extent</w:t>
      </w:r>
      <w:r>
        <w:rPr>
          <w:spacing w:val="1"/>
          <w:position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who</w:t>
      </w:r>
      <w:r>
        <w:rPr>
          <w:spacing w:val="-8"/>
        </w:rPr>
        <w:t> </w:t>
      </w:r>
      <w:r>
        <w:rPr/>
        <w:t>transition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bachelor-level</w:t>
      </w:r>
      <w:r>
        <w:rPr>
          <w:spacing w:val="-9"/>
        </w:rPr>
        <w:t> </w:t>
      </w:r>
      <w:r>
        <w:rPr/>
        <w:t>studies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CTeSP</w:t>
      </w:r>
      <w:r>
        <w:rPr>
          <w:spacing w:val="-7"/>
        </w:rPr>
        <w:t> </w:t>
      </w:r>
      <w:r>
        <w:rPr/>
        <w:t>programmes</w:t>
      </w:r>
      <w:r>
        <w:rPr>
          <w:spacing w:val="-9"/>
        </w:rPr>
        <w:t> </w:t>
      </w:r>
      <w:r>
        <w:rPr/>
        <w:t>were</w:t>
      </w:r>
      <w:r>
        <w:rPr>
          <w:spacing w:val="-7"/>
        </w:rPr>
        <w:t> </w:t>
      </w:r>
      <w:r>
        <w:rPr/>
        <w:t>prepared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</w:p>
    <w:p>
      <w:pPr>
        <w:pStyle w:val="BodyText"/>
        <w:spacing w:line="271" w:lineRule="auto"/>
        <w:ind w:left="183" w:right="302"/>
        <w:jc w:val="both"/>
      </w:pPr>
      <w:r>
        <w:rPr/>
        <w:t>demands of these programmes. In addition, “it was acknowledged by HEI administrators and instructors</w:t>
      </w:r>
      <w:r>
        <w:rPr>
          <w:spacing w:val="1"/>
        </w:rPr>
        <w:t> </w:t>
      </w:r>
      <w:r>
        <w:rPr/>
        <w:t>that employers and wider society do not yet have a clear understanding of the CTeSP credential and the</w:t>
      </w:r>
      <w:r>
        <w:rPr>
          <w:spacing w:val="1"/>
        </w:rPr>
        <w:t> </w:t>
      </w:r>
      <w:r>
        <w:rPr/>
        <w:t>labour</w:t>
      </w:r>
      <w:r>
        <w:rPr>
          <w:spacing w:val="42"/>
        </w:rPr>
        <w:t> </w:t>
      </w:r>
      <w:r>
        <w:rPr/>
        <w:t>market</w:t>
      </w:r>
      <w:r>
        <w:rPr>
          <w:spacing w:val="40"/>
        </w:rPr>
        <w:t> </w:t>
      </w:r>
      <w:r>
        <w:rPr/>
        <w:t>outcomes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initial</w:t>
      </w:r>
      <w:r>
        <w:rPr>
          <w:spacing w:val="40"/>
        </w:rPr>
        <w:t> </w:t>
      </w:r>
      <w:r>
        <w:rPr/>
        <w:t>cohorts</w:t>
      </w:r>
      <w:r>
        <w:rPr>
          <w:spacing w:val="42"/>
        </w:rPr>
        <w:t> </w:t>
      </w:r>
      <w:r>
        <w:rPr/>
        <w:t>completing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CTeSP</w:t>
      </w:r>
      <w:r>
        <w:rPr>
          <w:spacing w:val="42"/>
        </w:rPr>
        <w:t> </w:t>
      </w:r>
      <w:r>
        <w:rPr/>
        <w:t>are</w:t>
      </w:r>
      <w:r>
        <w:rPr>
          <w:spacing w:val="43"/>
        </w:rPr>
        <w:t> </w:t>
      </w:r>
      <w:r>
        <w:rPr/>
        <w:t>not</w:t>
      </w:r>
      <w:r>
        <w:rPr>
          <w:spacing w:val="43"/>
        </w:rPr>
        <w:t> </w:t>
      </w:r>
      <w:r>
        <w:rPr/>
        <w:t>documented”</w:t>
      </w:r>
      <w:r>
        <w:rPr>
          <w:spacing w:val="52"/>
        </w:rPr>
        <w:t> </w:t>
      </w:r>
      <w:r>
        <w:rPr/>
        <w:t>(OECD,</w:t>
      </w:r>
      <w:r>
        <w:rPr>
          <w:spacing w:val="41"/>
        </w:rPr>
        <w:t> </w:t>
      </w:r>
      <w:r>
        <w:rPr/>
        <w:t>2019,</w:t>
      </w:r>
      <w:r>
        <w:rPr>
          <w:spacing w:val="1"/>
        </w:rPr>
        <w:t> </w:t>
      </w:r>
      <w:r>
        <w:rPr>
          <w:position w:val="1"/>
        </w:rPr>
        <w:t>p.</w:t>
      </w:r>
      <w:r>
        <w:rPr>
          <w:spacing w:val="-2"/>
          <w:position w:val="1"/>
        </w:rPr>
        <w:t> </w:t>
      </w:r>
      <w:r>
        <w:rPr>
          <w:position w:val="1"/>
        </w:rPr>
        <w:t>179</w:t>
      </w:r>
      <w:r>
        <w:rPr>
          <w:sz w:val="13"/>
        </w:rPr>
        <w:t>[5]</w:t>
      </w:r>
      <w:r>
        <w:rPr>
          <w:position w:val="1"/>
        </w:rPr>
        <w:t>).</w:t>
      </w:r>
    </w:p>
    <w:p>
      <w:pPr>
        <w:pStyle w:val="BodyText"/>
        <w:spacing w:line="271" w:lineRule="auto" w:before="119"/>
        <w:ind w:left="183" w:right="303"/>
        <w:jc w:val="both"/>
      </w:pP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Portugal’s</w:t>
      </w:r>
      <w:r>
        <w:rPr>
          <w:spacing w:val="-11"/>
        </w:rPr>
        <w:t> </w:t>
      </w:r>
      <w:r>
        <w:rPr>
          <w:spacing w:val="-1"/>
        </w:rPr>
        <w:t>gross</w:t>
      </w:r>
      <w:r>
        <w:rPr>
          <w:spacing w:val="-11"/>
        </w:rPr>
        <w:t> </w:t>
      </w:r>
      <w:r>
        <w:rPr>
          <w:spacing w:val="-1"/>
        </w:rPr>
        <w:t>domestic</w:t>
      </w:r>
      <w:r>
        <w:rPr>
          <w:spacing w:val="-11"/>
        </w:rPr>
        <w:t> </w:t>
      </w:r>
      <w:r>
        <w:rPr>
          <w:spacing w:val="-1"/>
        </w:rPr>
        <w:t>product</w:t>
      </w:r>
      <w:r>
        <w:rPr>
          <w:spacing w:val="-13"/>
        </w:rPr>
        <w:t> </w:t>
      </w:r>
      <w:r>
        <w:rPr/>
        <w:t>(GDP)</w:t>
      </w:r>
      <w:r>
        <w:rPr>
          <w:spacing w:val="-12"/>
        </w:rPr>
        <w:t> </w:t>
      </w:r>
      <w:r>
        <w:rPr/>
        <w:t>had</w:t>
      </w:r>
      <w:r>
        <w:rPr>
          <w:spacing w:val="-12"/>
        </w:rPr>
        <w:t> </w:t>
      </w:r>
      <w:r>
        <w:rPr/>
        <w:t>“started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converge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European</w:t>
      </w:r>
      <w:r>
        <w:rPr>
          <w:spacing w:val="-13"/>
        </w:rPr>
        <w:t> </w:t>
      </w:r>
      <w:r>
        <w:rPr/>
        <w:t>Union</w:t>
      </w:r>
      <w:r>
        <w:rPr>
          <w:spacing w:val="-12"/>
        </w:rPr>
        <w:t> </w:t>
      </w:r>
      <w:r>
        <w:rPr/>
        <w:t>average</w:t>
      </w:r>
      <w:r>
        <w:rPr>
          <w:spacing w:val="1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late</w:t>
      </w:r>
      <w:r>
        <w:rPr>
          <w:spacing w:val="-3"/>
        </w:rPr>
        <w:t> </w:t>
      </w:r>
      <w:r>
        <w:rPr/>
        <w:t>1980s”,</w:t>
      </w:r>
      <w:r>
        <w:rPr>
          <w:spacing w:val="-3"/>
        </w:rPr>
        <w:t> </w:t>
      </w:r>
      <w:r>
        <w:rPr/>
        <w:t>“growth</w:t>
      </w:r>
      <w:r>
        <w:rPr>
          <w:spacing w:val="-2"/>
        </w:rPr>
        <w:t> </w:t>
      </w:r>
      <w:r>
        <w:rPr/>
        <w:t>slowed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early</w:t>
      </w:r>
      <w:r>
        <w:rPr>
          <w:spacing w:val="-6"/>
        </w:rPr>
        <w:t> </w:t>
      </w:r>
      <w:r>
        <w:rPr/>
        <w:t>2000s,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2008</w:t>
      </w:r>
      <w:r>
        <w:rPr>
          <w:spacing w:val="-4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crisis</w:t>
      </w:r>
      <w:r>
        <w:rPr>
          <w:spacing w:val="-3"/>
        </w:rPr>
        <w:t> </w:t>
      </w:r>
      <w:r>
        <w:rPr/>
        <w:t>brought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position w:val="1"/>
        </w:rPr>
        <w:t>economic convergence to a halt” (OECD, 2019, p. 60</w:t>
      </w:r>
      <w:r>
        <w:rPr>
          <w:sz w:val="13"/>
        </w:rPr>
        <w:t>[5]</w:t>
      </w:r>
      <w:r>
        <w:rPr>
          <w:position w:val="1"/>
        </w:rPr>
        <w:t>). While growth recovered in 2014, poverty and</w:t>
      </w:r>
      <w:r>
        <w:rPr>
          <w:spacing w:val="1"/>
          <w:position w:val="1"/>
        </w:rPr>
        <w:t> </w:t>
      </w:r>
      <w:r>
        <w:rPr/>
        <w:t>inequality caused by unemployment due to the crisis continued to be felt. The impact of the post-2008</w:t>
      </w:r>
      <w:r>
        <w:rPr>
          <w:spacing w:val="1"/>
        </w:rPr>
        <w:t> </w:t>
      </w:r>
      <w:r>
        <w:rPr/>
        <w:t>recession</w:t>
      </w:r>
      <w:r>
        <w:rPr>
          <w:spacing w:val="-13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0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Portuguese</w:t>
      </w:r>
      <w:r>
        <w:rPr>
          <w:spacing w:val="-10"/>
        </w:rPr>
        <w:t> </w:t>
      </w:r>
      <w:r>
        <w:rPr/>
        <w:t>HE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governance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HEIs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particular,</w:t>
      </w:r>
      <w:r>
        <w:rPr>
          <w:spacing w:val="-9"/>
        </w:rPr>
        <w:t> </w:t>
      </w:r>
      <w:r>
        <w:rPr/>
        <w:t>with</w:t>
      </w:r>
      <w:r>
        <w:rPr>
          <w:spacing w:val="1"/>
        </w:rPr>
        <w:t> </w:t>
      </w:r>
      <w:r>
        <w:rPr/>
        <w:t>a large impact on funding resulting from the 2011-14 Economic Adjustment Programme for Portugal from</w:t>
      </w:r>
      <w:r>
        <w:rPr>
          <w:spacing w:val="-53"/>
        </w:rPr>
        <w:t> </w:t>
      </w:r>
      <w:r>
        <w:rPr/>
        <w:t>the European Commission (EC), European Central Bank (ECB) and the International Monetary Fund</w:t>
      </w:r>
      <w:r>
        <w:rPr>
          <w:spacing w:val="1"/>
        </w:rPr>
        <w:t> </w:t>
      </w:r>
      <w:r>
        <w:rPr/>
        <w:t>(IMF). As will be discussed, planned steps forward in institutional financial autonomy that had been put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motion</w:t>
      </w:r>
      <w:r>
        <w:rPr>
          <w:spacing w:val="-2"/>
        </w:rPr>
        <w:t> </w:t>
      </w:r>
      <w:r>
        <w:rPr/>
        <w:t>immediately</w:t>
      </w:r>
      <w:r>
        <w:rPr>
          <w:spacing w:val="-4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crisis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subsequently</w:t>
      </w:r>
      <w:r>
        <w:rPr>
          <w:spacing w:val="-5"/>
        </w:rPr>
        <w:t> </w:t>
      </w:r>
      <w:r>
        <w:rPr/>
        <w:t>paused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reversed.</w:t>
      </w:r>
    </w:p>
    <w:p>
      <w:pPr>
        <w:pStyle w:val="BodyText"/>
        <w:spacing w:line="271" w:lineRule="auto" w:before="121"/>
        <w:ind w:left="183" w:right="305"/>
        <w:jc w:val="both"/>
      </w:pPr>
      <w:r>
        <w:rPr/>
        <w:t>The governance of the HE system in Portugal, like in many other European countries, has developed in</w:t>
      </w:r>
      <w:r>
        <w:rPr>
          <w:spacing w:val="1"/>
        </w:rPr>
        <w:t> </w:t>
      </w:r>
      <w:r>
        <w:rPr/>
        <w:t>the Humboldtian tradition, which is characterised by institutional autonomy with respect to standards,</w:t>
      </w:r>
      <w:r>
        <w:rPr>
          <w:spacing w:val="1"/>
        </w:rPr>
        <w:t> </w:t>
      </w:r>
      <w:r>
        <w:rPr/>
        <w:t>curriculum and research, coupled with state control within areas falling outside of the realm of direct</w:t>
      </w:r>
      <w:r>
        <w:rPr>
          <w:spacing w:val="1"/>
        </w:rPr>
        <w:t> </w:t>
      </w:r>
      <w:r>
        <w:rPr>
          <w:position w:val="1"/>
        </w:rPr>
        <w:t>academic decision making (OECD, 2008</w:t>
      </w:r>
      <w:r>
        <w:rPr>
          <w:sz w:val="13"/>
        </w:rPr>
        <w:t>[10]</w:t>
      </w:r>
      <w:r>
        <w:rPr>
          <w:position w:val="1"/>
        </w:rPr>
        <w:t>). This approach contrasts with systems in which “institutions</w:t>
      </w:r>
      <w:r>
        <w:rPr>
          <w:spacing w:val="1"/>
          <w:position w:val="1"/>
        </w:rPr>
        <w:t> </w:t>
      </w:r>
      <w:r>
        <w:rPr/>
        <w:t>have</w:t>
      </w:r>
      <w:r>
        <w:rPr>
          <w:spacing w:val="28"/>
        </w:rPr>
        <w:t> </w:t>
      </w:r>
      <w:r>
        <w:rPr/>
        <w:t>by</w:t>
      </w:r>
      <w:r>
        <w:rPr>
          <w:spacing w:val="28"/>
        </w:rPr>
        <w:t> </w:t>
      </w:r>
      <w:r>
        <w:rPr/>
        <w:t>law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custom</w:t>
      </w:r>
      <w:r>
        <w:rPr>
          <w:spacing w:val="30"/>
        </w:rPr>
        <w:t> </w:t>
      </w:r>
      <w:r>
        <w:rPr/>
        <w:t>been</w:t>
      </w:r>
      <w:r>
        <w:rPr>
          <w:spacing w:val="29"/>
        </w:rPr>
        <w:t> </w:t>
      </w:r>
      <w:r>
        <w:rPr/>
        <w:t>substantially</w:t>
      </w:r>
      <w:r>
        <w:rPr>
          <w:spacing w:val="28"/>
        </w:rPr>
        <w:t> </w:t>
      </w:r>
      <w:r>
        <w:rPr/>
        <w:t>independent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state</w:t>
      </w:r>
      <w:r>
        <w:rPr>
          <w:spacing w:val="29"/>
        </w:rPr>
        <w:t> </w:t>
      </w:r>
      <w:r>
        <w:rPr/>
        <w:t>authority”,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tradition</w:t>
      </w:r>
      <w:r>
        <w:rPr>
          <w:spacing w:val="30"/>
        </w:rPr>
        <w:t> </w:t>
      </w:r>
      <w:r>
        <w:rPr/>
        <w:t>predominantly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/>
      </w:pPr>
      <w:r>
        <w:rPr>
          <w:position w:val="1"/>
        </w:rPr>
        <w:t>reflected</w:t>
      </w:r>
      <w:r>
        <w:rPr>
          <w:spacing w:val="-4"/>
          <w:position w:val="1"/>
        </w:rPr>
        <w:t> </w:t>
      </w:r>
      <w:r>
        <w:rPr>
          <w:position w:val="1"/>
        </w:rPr>
        <w:t>in</w:t>
      </w:r>
      <w:r>
        <w:rPr>
          <w:spacing w:val="-5"/>
          <w:position w:val="1"/>
        </w:rPr>
        <w:t> </w:t>
      </w:r>
      <w:r>
        <w:rPr>
          <w:position w:val="1"/>
        </w:rPr>
        <w:t>the</w:t>
      </w:r>
      <w:r>
        <w:rPr>
          <w:spacing w:val="-4"/>
          <w:position w:val="1"/>
        </w:rPr>
        <w:t> </w:t>
      </w:r>
      <w:r>
        <w:rPr>
          <w:position w:val="1"/>
        </w:rPr>
        <w:t>HE</w:t>
      </w:r>
      <w:r>
        <w:rPr>
          <w:spacing w:val="-7"/>
          <w:position w:val="1"/>
        </w:rPr>
        <w:t> </w:t>
      </w:r>
      <w:r>
        <w:rPr>
          <w:position w:val="1"/>
        </w:rPr>
        <w:t>systems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-5"/>
          <w:position w:val="1"/>
        </w:rPr>
        <w:t> </w:t>
      </w:r>
      <w:r>
        <w:rPr>
          <w:position w:val="1"/>
        </w:rPr>
        <w:t>English-speaking</w:t>
      </w:r>
      <w:r>
        <w:rPr>
          <w:spacing w:val="-5"/>
          <w:position w:val="1"/>
        </w:rPr>
        <w:t> </w:t>
      </w:r>
      <w:r>
        <w:rPr>
          <w:position w:val="1"/>
        </w:rPr>
        <w:t>countries</w:t>
      </w:r>
      <w:r>
        <w:rPr>
          <w:spacing w:val="-6"/>
          <w:position w:val="1"/>
        </w:rPr>
        <w:t> </w:t>
      </w:r>
      <w:r>
        <w:rPr>
          <w:position w:val="1"/>
        </w:rPr>
        <w:t>and</w:t>
      </w:r>
      <w:r>
        <w:rPr>
          <w:spacing w:val="-7"/>
          <w:position w:val="1"/>
        </w:rPr>
        <w:t> </w:t>
      </w:r>
      <w:r>
        <w:rPr>
          <w:position w:val="1"/>
        </w:rPr>
        <w:t>in</w:t>
      </w:r>
      <w:r>
        <w:rPr>
          <w:spacing w:val="-7"/>
          <w:position w:val="1"/>
        </w:rPr>
        <w:t> </w:t>
      </w:r>
      <w:r>
        <w:rPr>
          <w:position w:val="1"/>
        </w:rPr>
        <w:t>the</w:t>
      </w:r>
      <w:r>
        <w:rPr>
          <w:spacing w:val="-5"/>
          <w:position w:val="1"/>
        </w:rPr>
        <w:t> </w:t>
      </w:r>
      <w:r>
        <w:rPr>
          <w:position w:val="1"/>
        </w:rPr>
        <w:t>Netherlands</w:t>
      </w:r>
      <w:r>
        <w:rPr>
          <w:spacing w:val="-1"/>
          <w:position w:val="1"/>
        </w:rPr>
        <w:t> </w:t>
      </w:r>
      <w:r>
        <w:rPr>
          <w:position w:val="1"/>
        </w:rPr>
        <w:t>(OECD,</w:t>
      </w:r>
      <w:r>
        <w:rPr>
          <w:spacing w:val="-4"/>
          <w:position w:val="1"/>
        </w:rPr>
        <w:t> </w:t>
      </w:r>
      <w:r>
        <w:rPr>
          <w:position w:val="1"/>
        </w:rPr>
        <w:t>2008,</w:t>
      </w:r>
      <w:r>
        <w:rPr>
          <w:spacing w:val="-5"/>
          <w:position w:val="1"/>
        </w:rPr>
        <w:t> </w:t>
      </w:r>
      <w:r>
        <w:rPr>
          <w:position w:val="1"/>
        </w:rPr>
        <w:t>p.</w:t>
      </w:r>
      <w:r>
        <w:rPr>
          <w:spacing w:val="-3"/>
          <w:position w:val="1"/>
        </w:rPr>
        <w:t> </w:t>
      </w:r>
      <w:r>
        <w:rPr>
          <w:position w:val="1"/>
        </w:rPr>
        <w:t>94</w:t>
      </w:r>
      <w:r>
        <w:rPr>
          <w:sz w:val="13"/>
        </w:rPr>
        <w:t>[10]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autonomy</w:t>
      </w:r>
      <w:r>
        <w:rPr>
          <w:spacing w:val="-4"/>
        </w:rPr>
        <w:t> </w:t>
      </w:r>
      <w:r>
        <w:rPr/>
        <w:t>(or</w:t>
      </w:r>
      <w:r>
        <w:rPr>
          <w:spacing w:val="-1"/>
        </w:rPr>
        <w:t> </w:t>
      </w:r>
      <w:r>
        <w:rPr/>
        <w:t>control)</w:t>
      </w:r>
      <w:r>
        <w:rPr>
          <w:spacing w:val="-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areas,</w:t>
      </w:r>
      <w:r>
        <w:rPr>
          <w:spacing w:val="-2"/>
        </w:rPr>
        <w:t> </w:t>
      </w:r>
      <w:r>
        <w:rPr/>
        <w:t>freedom</w:t>
      </w:r>
      <w:r>
        <w:rPr>
          <w:spacing w:val="3"/>
        </w:rPr>
        <w:t> </w:t>
      </w:r>
      <w:r>
        <w:rPr/>
        <w:t>to: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98" w:after="0"/>
        <w:ind w:left="862" w:right="0" w:hanging="339"/>
        <w:jc w:val="left"/>
        <w:rPr>
          <w:sz w:val="20"/>
        </w:rPr>
      </w:pPr>
      <w:r>
        <w:rPr>
          <w:sz w:val="20"/>
        </w:rPr>
        <w:t>set</w:t>
      </w:r>
      <w:r>
        <w:rPr>
          <w:spacing w:val="-6"/>
          <w:sz w:val="20"/>
        </w:rPr>
        <w:t> </w:t>
      </w:r>
      <w:r>
        <w:rPr>
          <w:sz w:val="20"/>
        </w:rPr>
        <w:t>up</w:t>
      </w:r>
      <w:r>
        <w:rPr>
          <w:spacing w:val="-4"/>
          <w:sz w:val="20"/>
        </w:rPr>
        <w:t> </w:t>
      </w:r>
      <w:r>
        <w:rPr>
          <w:sz w:val="20"/>
        </w:rPr>
        <w:t>internal</w:t>
      </w:r>
      <w:r>
        <w:rPr>
          <w:spacing w:val="-6"/>
          <w:sz w:val="20"/>
        </w:rPr>
        <w:t> </w:t>
      </w:r>
      <w:r>
        <w:rPr>
          <w:sz w:val="20"/>
        </w:rPr>
        <w:t>governance</w:t>
      </w:r>
      <w:r>
        <w:rPr>
          <w:spacing w:val="-3"/>
          <w:sz w:val="20"/>
        </w:rPr>
        <w:t> </w:t>
      </w:r>
      <w:r>
        <w:rPr>
          <w:sz w:val="20"/>
        </w:rPr>
        <w:t>structures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77" w:after="0"/>
        <w:ind w:left="862" w:right="0" w:hanging="339"/>
        <w:jc w:val="left"/>
        <w:rPr>
          <w:sz w:val="20"/>
        </w:rPr>
      </w:pPr>
      <w:r>
        <w:rPr>
          <w:sz w:val="20"/>
        </w:rPr>
        <w:t>set</w:t>
      </w:r>
      <w:r>
        <w:rPr>
          <w:spacing w:val="-6"/>
          <w:sz w:val="20"/>
        </w:rPr>
        <w:t> </w:t>
      </w:r>
      <w:r>
        <w:rPr>
          <w:sz w:val="20"/>
        </w:rPr>
        <w:t>staff</w:t>
      </w:r>
      <w:r>
        <w:rPr>
          <w:spacing w:val="-2"/>
          <w:sz w:val="20"/>
        </w:rPr>
        <w:t> </w:t>
      </w:r>
      <w:r>
        <w:rPr>
          <w:sz w:val="20"/>
        </w:rPr>
        <w:t>salaries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set</w:t>
      </w:r>
      <w:r>
        <w:rPr>
          <w:spacing w:val="-6"/>
          <w:sz w:val="20"/>
        </w:rPr>
        <w:t> </w:t>
      </w:r>
      <w:r>
        <w:rPr>
          <w:sz w:val="20"/>
        </w:rPr>
        <w:t>academic</w:t>
      </w:r>
      <w:r>
        <w:rPr>
          <w:spacing w:val="-4"/>
          <w:sz w:val="20"/>
        </w:rPr>
        <w:t> </w:t>
      </w:r>
      <w:r>
        <w:rPr>
          <w:sz w:val="20"/>
        </w:rPr>
        <w:t>staff</w:t>
      </w:r>
      <w:r>
        <w:rPr>
          <w:spacing w:val="-3"/>
          <w:sz w:val="20"/>
        </w:rPr>
        <w:t> </w:t>
      </w:r>
      <w:r>
        <w:rPr>
          <w:sz w:val="20"/>
        </w:rPr>
        <w:t>appointment</w:t>
      </w:r>
      <w:r>
        <w:rPr>
          <w:spacing w:val="-5"/>
          <w:sz w:val="20"/>
        </w:rPr>
        <w:t> </w:t>
      </w:r>
      <w:r>
        <w:rPr>
          <w:sz w:val="20"/>
        </w:rPr>
        <w:t>processes,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frame</w:t>
      </w:r>
      <w:r>
        <w:rPr>
          <w:spacing w:val="-4"/>
          <w:sz w:val="20"/>
        </w:rPr>
        <w:t> </w:t>
      </w:r>
      <w:r>
        <w:rPr>
          <w:sz w:val="20"/>
        </w:rPr>
        <w:t>career</w:t>
      </w:r>
      <w:r>
        <w:rPr>
          <w:spacing w:val="-4"/>
          <w:sz w:val="20"/>
        </w:rPr>
        <w:t> </w:t>
      </w:r>
      <w:r>
        <w:rPr>
          <w:sz w:val="20"/>
        </w:rPr>
        <w:t>structures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select</w:t>
      </w:r>
      <w:r>
        <w:rPr>
          <w:spacing w:val="-5"/>
          <w:sz w:val="20"/>
        </w:rPr>
        <w:t> </w:t>
      </w:r>
      <w:r>
        <w:rPr>
          <w:sz w:val="20"/>
        </w:rPr>
        <w:t>students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set</w:t>
      </w:r>
      <w:r>
        <w:rPr>
          <w:spacing w:val="-2"/>
          <w:sz w:val="20"/>
        </w:rPr>
        <w:t> </w:t>
      </w:r>
      <w:r>
        <w:rPr>
          <w:sz w:val="20"/>
        </w:rPr>
        <w:t>student</w:t>
      </w:r>
      <w:r>
        <w:rPr>
          <w:spacing w:val="-3"/>
          <w:sz w:val="20"/>
        </w:rPr>
        <w:t> </w:t>
      </w:r>
      <w:r>
        <w:rPr>
          <w:sz w:val="20"/>
        </w:rPr>
        <w:t>numbers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77" w:after="0"/>
        <w:ind w:left="862" w:right="0" w:hanging="339"/>
        <w:jc w:val="left"/>
        <w:rPr>
          <w:sz w:val="20"/>
        </w:rPr>
      </w:pPr>
      <w:r>
        <w:rPr>
          <w:sz w:val="20"/>
        </w:rPr>
        <w:t>borrow</w:t>
      </w:r>
      <w:r>
        <w:rPr>
          <w:spacing w:val="-7"/>
          <w:sz w:val="20"/>
        </w:rPr>
        <w:t> </w:t>
      </w:r>
      <w:r>
        <w:rPr>
          <w:sz w:val="20"/>
        </w:rPr>
        <w:t>funds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set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differentiate</w:t>
      </w:r>
      <w:r>
        <w:rPr>
          <w:spacing w:val="-5"/>
          <w:sz w:val="20"/>
        </w:rPr>
        <w:t> </w:t>
      </w:r>
      <w:r>
        <w:rPr>
          <w:sz w:val="20"/>
        </w:rPr>
        <w:t>tuition</w:t>
      </w:r>
      <w:r>
        <w:rPr>
          <w:spacing w:val="-3"/>
          <w:sz w:val="20"/>
        </w:rPr>
        <w:t> </w:t>
      </w:r>
      <w:r>
        <w:rPr>
          <w:sz w:val="20"/>
        </w:rPr>
        <w:t>fees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accumulate</w:t>
      </w:r>
      <w:r>
        <w:rPr>
          <w:spacing w:val="-8"/>
          <w:sz w:val="20"/>
        </w:rPr>
        <w:t> </w:t>
      </w:r>
      <w:r>
        <w:rPr>
          <w:sz w:val="20"/>
        </w:rPr>
        <w:t>financial</w:t>
      </w:r>
      <w:r>
        <w:rPr>
          <w:spacing w:val="-7"/>
          <w:sz w:val="20"/>
        </w:rPr>
        <w:t> </w:t>
      </w:r>
      <w:r>
        <w:rPr>
          <w:sz w:val="20"/>
        </w:rPr>
        <w:t>capital</w:t>
      </w:r>
    </w:p>
    <w:p>
      <w:pPr>
        <w:pStyle w:val="ListParagraph"/>
        <w:numPr>
          <w:ilvl w:val="0"/>
          <w:numId w:val="30"/>
        </w:numPr>
        <w:tabs>
          <w:tab w:pos="862" w:val="left" w:leader="none"/>
          <w:tab w:pos="863" w:val="left" w:leader="none"/>
        </w:tabs>
        <w:spacing w:line="240" w:lineRule="auto" w:before="76" w:after="0"/>
        <w:ind w:left="862" w:right="0" w:hanging="339"/>
        <w:jc w:val="left"/>
        <w:rPr>
          <w:sz w:val="20"/>
        </w:rPr>
      </w:pPr>
      <w:r>
        <w:rPr>
          <w:position w:val="1"/>
          <w:sz w:val="20"/>
        </w:rPr>
        <w:t>undertake</w:t>
      </w:r>
      <w:r>
        <w:rPr>
          <w:spacing w:val="-7"/>
          <w:position w:val="1"/>
          <w:sz w:val="20"/>
        </w:rPr>
        <w:t> </w:t>
      </w:r>
      <w:r>
        <w:rPr>
          <w:position w:val="1"/>
          <w:sz w:val="20"/>
        </w:rPr>
        <w:t>income-generating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activities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(OECD,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2008</w:t>
      </w:r>
      <w:r>
        <w:rPr>
          <w:sz w:val="13"/>
        </w:rPr>
        <w:t>[10]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55"/>
        <w:ind w:left="183" w:right="301"/>
        <w:jc w:val="both"/>
      </w:pPr>
      <w:r>
        <w:rPr/>
        <w:t>In Portugal, as in several other European countries, the general trend has been toward increased</w:t>
      </w:r>
      <w:r>
        <w:rPr>
          <w:spacing w:val="1"/>
        </w:rPr>
        <w:t> </w:t>
      </w:r>
      <w:r>
        <w:rPr>
          <w:spacing w:val="-1"/>
        </w:rPr>
        <w:t>institutional</w:t>
      </w:r>
      <w:r>
        <w:rPr>
          <w:spacing w:val="-14"/>
        </w:rPr>
        <w:t> </w:t>
      </w:r>
      <w:r>
        <w:rPr>
          <w:spacing w:val="-1"/>
        </w:rPr>
        <w:t>autonomy,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allow</w:t>
      </w:r>
      <w:r>
        <w:rPr>
          <w:spacing w:val="-15"/>
        </w:rPr>
        <w:t> </w:t>
      </w:r>
      <w:r>
        <w:rPr>
          <w:spacing w:val="-1"/>
        </w:rPr>
        <w:t>institutions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manage</w:t>
      </w:r>
      <w:r>
        <w:rPr>
          <w:spacing w:val="-13"/>
        </w:rPr>
        <w:t> </w:t>
      </w:r>
      <w:r>
        <w:rPr/>
        <w:t>their</w:t>
      </w:r>
      <w:r>
        <w:rPr>
          <w:spacing w:val="-15"/>
        </w:rPr>
        <w:t> </w:t>
      </w:r>
      <w:r>
        <w:rPr/>
        <w:t>resources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more</w:t>
      </w:r>
      <w:r>
        <w:rPr>
          <w:spacing w:val="-15"/>
        </w:rPr>
        <w:t> </w:t>
      </w:r>
      <w:r>
        <w:rPr/>
        <w:t>quickly</w:t>
      </w:r>
      <w:r>
        <w:rPr>
          <w:spacing w:val="-19"/>
        </w:rPr>
        <w:t> </w:t>
      </w:r>
      <w:r>
        <w:rPr/>
        <w:t>respond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 their environment, coupled with accountability mechanisms providing transparent information about</w:t>
      </w:r>
      <w:r>
        <w:rPr>
          <w:spacing w:val="1"/>
        </w:rPr>
        <w:t> </w:t>
      </w:r>
      <w:r>
        <w:rPr>
          <w:position w:val="1"/>
        </w:rPr>
        <w:t>HEIs’</w:t>
      </w:r>
      <w:r>
        <w:rPr>
          <w:spacing w:val="-1"/>
          <w:position w:val="1"/>
        </w:rPr>
        <w:t> </w:t>
      </w:r>
      <w:r>
        <w:rPr>
          <w:position w:val="1"/>
        </w:rPr>
        <w:t>operations and</w:t>
      </w:r>
      <w:r>
        <w:rPr>
          <w:spacing w:val="-1"/>
          <w:position w:val="1"/>
        </w:rPr>
        <w:t> </w:t>
      </w:r>
      <w:r>
        <w:rPr>
          <w:position w:val="1"/>
        </w:rPr>
        <w:t>output (OECD,</w:t>
      </w:r>
      <w:r>
        <w:rPr>
          <w:spacing w:val="1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[11]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>
          <w:position w:val="1"/>
        </w:rPr>
        <w:t>Institutional autonomy is a separate concept from institutional governance. Following Mora (2001</w:t>
      </w:r>
      <w:r>
        <w:rPr>
          <w:sz w:val="13"/>
        </w:rPr>
        <w:t>[12]</w:t>
      </w:r>
      <w:r>
        <w:rPr>
          <w:position w:val="1"/>
        </w:rPr>
        <w:t>),</w:t>
      </w:r>
      <w:r>
        <w:rPr>
          <w:spacing w:val="1"/>
          <w:position w:val="1"/>
        </w:rPr>
        <w:t> </w:t>
      </w:r>
      <w:r>
        <w:rPr>
          <w:spacing w:val="-1"/>
        </w:rPr>
        <w:t>institutional</w:t>
      </w:r>
      <w:r>
        <w:rPr>
          <w:spacing w:val="-14"/>
        </w:rPr>
        <w:t> </w:t>
      </w:r>
      <w:r>
        <w:rPr>
          <w:spacing w:val="-1"/>
        </w:rPr>
        <w:t>autonomy</w:t>
      </w:r>
      <w:r>
        <w:rPr>
          <w:spacing w:val="-19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defined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“right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institution,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its</w:t>
      </w:r>
      <w:r>
        <w:rPr>
          <w:spacing w:val="-12"/>
        </w:rPr>
        <w:t> </w:t>
      </w:r>
      <w:r>
        <w:rPr/>
        <w:t>employees,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set</w:t>
      </w:r>
      <w:r>
        <w:rPr>
          <w:spacing w:val="-13"/>
        </w:rPr>
        <w:t> </w:t>
      </w:r>
      <w:r>
        <w:rPr/>
        <w:t>its</w:t>
      </w:r>
      <w:r>
        <w:rPr>
          <w:spacing w:val="-12"/>
        </w:rPr>
        <w:t> </w:t>
      </w:r>
      <w:r>
        <w:rPr/>
        <w:t>own</w:t>
      </w:r>
      <w:r>
        <w:rPr>
          <w:spacing w:val="-13"/>
        </w:rPr>
        <w:t> </w:t>
      </w:r>
      <w:r>
        <w:rPr/>
        <w:t>objectives</w:t>
      </w:r>
      <w:r>
        <w:rPr>
          <w:spacing w:val="1"/>
        </w:rPr>
        <w:t> </w:t>
      </w:r>
      <w:r>
        <w:rPr>
          <w:position w:val="1"/>
        </w:rPr>
        <w:t>and manage its own affairs without interference from the State” (OECD, 2008, p. 81</w:t>
      </w:r>
      <w:r>
        <w:rPr>
          <w:sz w:val="13"/>
        </w:rPr>
        <w:t>[10]</w:t>
      </w:r>
      <w:r>
        <w:rPr>
          <w:position w:val="1"/>
        </w:rPr>
        <w:t>). Institutional</w:t>
      </w:r>
      <w:r>
        <w:rPr>
          <w:spacing w:val="1"/>
          <w:position w:val="1"/>
        </w:rPr>
        <w:t> </w:t>
      </w:r>
      <w:r>
        <w:rPr>
          <w:spacing w:val="-1"/>
        </w:rPr>
        <w:t>governance</w:t>
      </w:r>
      <w:r>
        <w:rPr>
          <w:spacing w:val="-13"/>
        </w:rPr>
        <w:t> </w:t>
      </w:r>
      <w:r>
        <w:rPr>
          <w:spacing w:val="-1"/>
        </w:rPr>
        <w:t>refers</w:t>
      </w:r>
      <w:r>
        <w:rPr>
          <w:spacing w:val="-11"/>
        </w:rPr>
        <w:t> </w:t>
      </w:r>
      <w:r>
        <w:rPr>
          <w:spacing w:val="-1"/>
        </w:rPr>
        <w:t>instead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way</w:t>
      </w:r>
      <w:r>
        <w:rPr>
          <w:spacing w:val="-14"/>
        </w:rPr>
        <w:t> </w:t>
      </w:r>
      <w:r>
        <w:rPr>
          <w:spacing w:val="-1"/>
        </w:rPr>
        <w:t>institutions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autonomous</w:t>
      </w:r>
      <w:r>
        <w:rPr>
          <w:spacing w:val="-12"/>
        </w:rPr>
        <w:t> </w:t>
      </w:r>
      <w:r>
        <w:rPr>
          <w:spacing w:val="-1"/>
        </w:rPr>
        <w:t>entities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0"/>
        </w:rPr>
        <w:t> </w:t>
      </w:r>
      <w:r>
        <w:rPr/>
        <w:t>governed,</w:t>
      </w:r>
      <w:r>
        <w:rPr>
          <w:spacing w:val="-11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1"/>
        </w:rPr>
        <w:t> </w:t>
      </w:r>
      <w:r>
        <w:rPr/>
        <w:t>to which responsibilities are distributed among the various groups that may participate in the institution’s</w:t>
      </w:r>
      <w:r>
        <w:rPr>
          <w:spacing w:val="1"/>
        </w:rPr>
        <w:t> </w:t>
      </w:r>
      <w:r>
        <w:rPr/>
        <w:t>governance, including institutional leaders, academic and non-academic staff, students, and broader</w:t>
      </w:r>
      <w:r>
        <w:rPr>
          <w:spacing w:val="1"/>
        </w:rPr>
        <w:t> </w:t>
      </w:r>
      <w:r>
        <w:rPr/>
        <w:t>community actors. For example, participation of employers in HEI governance bodies, on a voluntary or</w:t>
      </w:r>
      <w:r>
        <w:rPr>
          <w:spacing w:val="1"/>
        </w:rPr>
        <w:t> </w:t>
      </w:r>
      <w:r>
        <w:rPr/>
        <w:t>state-mandated basis, is becoming more common as a societal accountability mechanism and tool 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(OECD,</w:t>
      </w:r>
      <w:r>
        <w:rPr>
          <w:spacing w:val="1"/>
        </w:rPr>
        <w:t> </w:t>
      </w:r>
      <w:r>
        <w:rPr>
          <w:position w:val="1"/>
        </w:rPr>
        <w:t>2019</w:t>
      </w:r>
      <w:r>
        <w:rPr>
          <w:sz w:val="13"/>
        </w:rPr>
        <w:t>[11]</w:t>
      </w:r>
      <w:r>
        <w:rPr>
          <w:position w:val="1"/>
        </w:rPr>
        <w:t>).</w:t>
      </w:r>
    </w:p>
    <w:p>
      <w:pPr>
        <w:pStyle w:val="BodyText"/>
        <w:spacing w:line="271" w:lineRule="auto" w:before="124"/>
        <w:ind w:left="183" w:right="300"/>
        <w:jc w:val="both"/>
      </w:pPr>
      <w:r>
        <w:rPr/>
        <w:t>Portugal’s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country’s</w:t>
      </w:r>
      <w:r>
        <w:rPr>
          <w:spacing w:val="1"/>
        </w:rPr>
        <w:t> </w:t>
      </w:r>
      <w:r>
        <w:rPr/>
        <w:t>trajectory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HEI</w:t>
      </w:r>
      <w:r>
        <w:rPr>
          <w:spacing w:val="1"/>
        </w:rPr>
        <w:t> </w:t>
      </w:r>
      <w:r>
        <w:rPr/>
        <w:t>governances</w:t>
      </w:r>
      <w:r>
        <w:rPr>
          <w:spacing w:val="1"/>
        </w:rPr>
        <w:t> </w:t>
      </w:r>
      <w:r>
        <w:rPr/>
        <w:t>and autonomy.</w:t>
      </w:r>
      <w:r>
        <w:rPr>
          <w:spacing w:val="1"/>
        </w:rPr>
        <w:t> </w:t>
      </w:r>
      <w:r>
        <w:rPr/>
        <w:t>Among other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including the confirmation of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1"/>
        </w:rPr>
        <w:t>scientific autonomy, it transferred ownership of buildings to universities (MTCES, 2006</w:t>
      </w:r>
      <w:r>
        <w:rPr>
          <w:sz w:val="13"/>
        </w:rPr>
        <w:t>[9]</w:t>
      </w:r>
      <w:r>
        <w:rPr>
          <w:position w:val="1"/>
        </w:rPr>
        <w:t>). Expectations</w:t>
      </w:r>
      <w:r>
        <w:rPr>
          <w:spacing w:val="1"/>
          <w:position w:val="1"/>
        </w:rPr>
        <w:t> </w:t>
      </w:r>
      <w:r>
        <w:rPr>
          <w:spacing w:val="-1"/>
        </w:rPr>
        <w:t>surrounding</w:t>
      </w:r>
      <w:r>
        <w:rPr>
          <w:spacing w:val="-9"/>
        </w:rPr>
        <w:t> </w:t>
      </w:r>
      <w:r>
        <w:rPr/>
        <w:t>what</w:t>
      </w:r>
      <w:r>
        <w:rPr>
          <w:spacing w:val="-8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institutional</w:t>
      </w:r>
      <w:r>
        <w:rPr>
          <w:spacing w:val="-11"/>
        </w:rPr>
        <w:t> </w:t>
      </w:r>
      <w:r>
        <w:rPr/>
        <w:t>autonomy,</w:t>
      </w:r>
      <w:r>
        <w:rPr>
          <w:spacing w:val="-7"/>
        </w:rPr>
        <w:t> </w:t>
      </w:r>
      <w:r>
        <w:rPr/>
        <w:t>accountability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arrangements</w:t>
      </w:r>
      <w:r>
        <w:rPr>
          <w:spacing w:val="-10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continued to evolve with time, domestically and internationally. In 2005, the Portuguese Minister of</w:t>
      </w:r>
      <w:r>
        <w:rPr>
          <w:spacing w:val="1"/>
        </w:rPr>
        <w:t> </w:t>
      </w:r>
      <w:r>
        <w:rPr/>
        <w:t>Science, Technology and Higher Education of the then new socialist-led majority government requested</w:t>
      </w:r>
      <w:r>
        <w:rPr>
          <w:spacing w:val="1"/>
        </w:rPr>
        <w:t> </w:t>
      </w:r>
      <w:r>
        <w:rPr/>
        <w:t>that the OECD undertake a review of the Portuguese system of HE to support government commitments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advance</w:t>
      </w:r>
      <w:r>
        <w:rPr>
          <w:spacing w:val="-7"/>
        </w:rPr>
        <w:t> </w:t>
      </w:r>
      <w:r>
        <w:rPr/>
        <w:t>higher</w:t>
      </w:r>
      <w:r>
        <w:rPr>
          <w:spacing w:val="-5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reform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fulfilment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legal</w:t>
      </w:r>
      <w:r>
        <w:rPr>
          <w:spacing w:val="-8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periodic</w:t>
      </w:r>
      <w:r>
        <w:rPr>
          <w:spacing w:val="-6"/>
        </w:rPr>
        <w:t> </w:t>
      </w:r>
      <w:r>
        <w:rPr/>
        <w:t>review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</w:t>
      </w:r>
      <w:r>
        <w:rPr>
          <w:spacing w:val="1"/>
        </w:rPr>
        <w:t> </w:t>
      </w:r>
      <w:r>
        <w:rPr>
          <w:spacing w:val="-1"/>
          <w:position w:val="1"/>
        </w:rPr>
        <w:t>systems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(OECD,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2007</w:t>
      </w:r>
      <w:r>
        <w:rPr>
          <w:spacing w:val="-1"/>
          <w:sz w:val="13"/>
        </w:rPr>
        <w:t>[13]</w:t>
      </w:r>
      <w:r>
        <w:rPr>
          <w:spacing w:val="-1"/>
          <w:position w:val="1"/>
        </w:rPr>
        <w:t>).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The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OECD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review</w:t>
      </w:r>
      <w:r>
        <w:rPr>
          <w:spacing w:val="-12"/>
          <w:position w:val="1"/>
        </w:rPr>
        <w:t> </w:t>
      </w:r>
      <w:r>
        <w:rPr>
          <w:position w:val="1"/>
        </w:rPr>
        <w:t>team</w:t>
      </w:r>
      <w:r>
        <w:rPr>
          <w:spacing w:val="-7"/>
          <w:position w:val="1"/>
        </w:rPr>
        <w:t> </w:t>
      </w:r>
      <w:r>
        <w:rPr>
          <w:position w:val="1"/>
        </w:rPr>
        <w:t>published</w:t>
      </w:r>
      <w:r>
        <w:rPr>
          <w:spacing w:val="-11"/>
          <w:position w:val="1"/>
        </w:rPr>
        <w:t> </w:t>
      </w:r>
      <w:r>
        <w:rPr>
          <w:position w:val="1"/>
        </w:rPr>
        <w:t>its</w:t>
      </w:r>
      <w:r>
        <w:rPr>
          <w:spacing w:val="-9"/>
          <w:position w:val="1"/>
        </w:rPr>
        <w:t> </w:t>
      </w:r>
      <w:r>
        <w:rPr>
          <w:position w:val="1"/>
        </w:rPr>
        <w:t>work</w:t>
      </w:r>
      <w:r>
        <w:rPr>
          <w:spacing w:val="-8"/>
          <w:position w:val="1"/>
        </w:rPr>
        <w:t> </w:t>
      </w:r>
      <w:r>
        <w:rPr>
          <w:position w:val="1"/>
        </w:rPr>
        <w:t>in</w:t>
      </w:r>
      <w:r>
        <w:rPr>
          <w:spacing w:val="-12"/>
          <w:position w:val="1"/>
        </w:rPr>
        <w:t> </w:t>
      </w:r>
      <w:r>
        <w:rPr>
          <w:position w:val="1"/>
        </w:rPr>
        <w:t>2007,</w:t>
      </w:r>
      <w:r>
        <w:rPr>
          <w:spacing w:val="-13"/>
          <w:position w:val="1"/>
        </w:rPr>
        <w:t> </w:t>
      </w:r>
      <w:r>
        <w:rPr>
          <w:position w:val="1"/>
        </w:rPr>
        <w:t>finding</w:t>
      </w:r>
      <w:r>
        <w:rPr>
          <w:spacing w:val="-13"/>
          <w:position w:val="1"/>
        </w:rPr>
        <w:t> </w:t>
      </w:r>
      <w:r>
        <w:rPr>
          <w:position w:val="1"/>
        </w:rPr>
        <w:t>that</w:t>
      </w:r>
      <w:r>
        <w:rPr>
          <w:spacing w:val="-12"/>
          <w:position w:val="1"/>
        </w:rPr>
        <w:t> </w:t>
      </w:r>
      <w:r>
        <w:rPr>
          <w:position w:val="1"/>
        </w:rPr>
        <w:t>both</w:t>
      </w:r>
      <w:r>
        <w:rPr>
          <w:spacing w:val="-11"/>
          <w:position w:val="1"/>
        </w:rPr>
        <w:t> </w:t>
      </w:r>
      <w:r>
        <w:rPr>
          <w:position w:val="1"/>
        </w:rPr>
        <w:t>institutional</w:t>
      </w:r>
      <w:r>
        <w:rPr>
          <w:spacing w:val="1"/>
          <w:position w:val="1"/>
        </w:rPr>
        <w:t> </w:t>
      </w:r>
      <w:r>
        <w:rPr/>
        <w:t>autonomy</w:t>
      </w:r>
      <w:r>
        <w:rPr>
          <w:spacing w:val="-8"/>
        </w:rPr>
        <w:t> </w:t>
      </w:r>
      <w:r>
        <w:rPr/>
        <w:t>and institutional</w:t>
      </w:r>
      <w:r>
        <w:rPr>
          <w:spacing w:val="-1"/>
        </w:rPr>
        <w:t> </w:t>
      </w:r>
      <w:r>
        <w:rPr/>
        <w:t>governance</w:t>
      </w:r>
      <w:r>
        <w:rPr>
          <w:spacing w:val="2"/>
        </w:rPr>
        <w:t> </w:t>
      </w:r>
      <w:r>
        <w:rPr/>
        <w:t>needed</w:t>
      </w:r>
      <w:r>
        <w:rPr>
          <w:spacing w:val="-2"/>
        </w:rPr>
        <w:t> </w:t>
      </w:r>
      <w:r>
        <w:rPr/>
        <w:t>“a</w:t>
      </w:r>
      <w:r>
        <w:rPr>
          <w:spacing w:val="-1"/>
        </w:rPr>
        <w:t> </w:t>
      </w:r>
      <w:r>
        <w:rPr/>
        <w:t>radical</w:t>
      </w:r>
      <w:r>
        <w:rPr>
          <w:spacing w:val="-3"/>
        </w:rPr>
        <w:t> </w:t>
      </w:r>
      <w:r>
        <w:rPr/>
        <w:t>overhaul”.</w:t>
      </w:r>
    </w:p>
    <w:p>
      <w:pPr>
        <w:pStyle w:val="BodyText"/>
        <w:spacing w:before="120"/>
        <w:ind w:left="183"/>
        <w:jc w:val="both"/>
      </w:pPr>
      <w:r>
        <w:rPr/>
        <w:t>Specific</w:t>
      </w:r>
      <w:r>
        <w:rPr>
          <w:spacing w:val="-4"/>
        </w:rPr>
        <w:t> </w:t>
      </w:r>
      <w:r>
        <w:rPr/>
        <w:t>concerns</w:t>
      </w:r>
      <w:r>
        <w:rPr>
          <w:spacing w:val="-4"/>
        </w:rPr>
        <w:t> </w:t>
      </w:r>
      <w:r>
        <w:rPr/>
        <w:t>raised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2007</w:t>
      </w:r>
      <w:r>
        <w:rPr>
          <w:spacing w:val="-5"/>
        </w:rPr>
        <w:t> </w:t>
      </w:r>
      <w:r>
        <w:rPr/>
        <w:t>OECD</w:t>
      </w:r>
      <w:r>
        <w:rPr>
          <w:spacing w:val="-2"/>
        </w:rPr>
        <w:t> </w:t>
      </w:r>
      <w:r>
        <w:rPr/>
        <w:t>Review</w:t>
      </w:r>
      <w:r>
        <w:rPr>
          <w:spacing w:val="-4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that:</w:t>
      </w: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71" w:lineRule="auto" w:before="129" w:after="0"/>
        <w:ind w:left="862" w:right="303" w:hanging="339"/>
        <w:jc w:val="both"/>
        <w:rPr>
          <w:sz w:val="20"/>
        </w:rPr>
      </w:pPr>
      <w:r>
        <w:rPr>
          <w:sz w:val="20"/>
        </w:rPr>
        <w:t>The civil servant status of academic and non-academic staff at both universities and polytechnics</w:t>
      </w:r>
      <w:r>
        <w:rPr>
          <w:spacing w:val="-53"/>
          <w:sz w:val="20"/>
        </w:rPr>
        <w:t> </w:t>
      </w:r>
      <w:r>
        <w:rPr>
          <w:sz w:val="20"/>
        </w:rPr>
        <w:t>formed</w:t>
      </w:r>
      <w:r>
        <w:rPr>
          <w:spacing w:val="-10"/>
          <w:sz w:val="20"/>
        </w:rPr>
        <w:t> </w:t>
      </w:r>
      <w:r>
        <w:rPr>
          <w:sz w:val="20"/>
        </w:rPr>
        <w:t>an</w:t>
      </w:r>
      <w:r>
        <w:rPr>
          <w:spacing w:val="-10"/>
          <w:sz w:val="20"/>
        </w:rPr>
        <w:t> </w:t>
      </w:r>
      <w:r>
        <w:rPr>
          <w:sz w:val="20"/>
        </w:rPr>
        <w:t>undue</w:t>
      </w:r>
      <w:r>
        <w:rPr>
          <w:spacing w:val="-8"/>
          <w:sz w:val="20"/>
        </w:rPr>
        <w:t> </w:t>
      </w:r>
      <w:r>
        <w:rPr>
          <w:sz w:val="20"/>
        </w:rPr>
        <w:t>interference</w:t>
      </w:r>
      <w:r>
        <w:rPr>
          <w:spacing w:val="-10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central</w:t>
      </w:r>
      <w:r>
        <w:rPr>
          <w:spacing w:val="-9"/>
          <w:sz w:val="20"/>
        </w:rPr>
        <w:t> </w:t>
      </w:r>
      <w:r>
        <w:rPr>
          <w:sz w:val="20"/>
        </w:rPr>
        <w:t>government,</w:t>
      </w:r>
      <w:r>
        <w:rPr>
          <w:spacing w:val="-8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requirement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seek</w:t>
      </w:r>
      <w:r>
        <w:rPr>
          <w:spacing w:val="-7"/>
          <w:sz w:val="20"/>
        </w:rPr>
        <w:t> </w:t>
      </w:r>
      <w:r>
        <w:rPr>
          <w:sz w:val="20"/>
        </w:rPr>
        <w:t>approvals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-11"/>
          <w:sz w:val="20"/>
        </w:rPr>
        <w:t> </w:t>
      </w:r>
      <w:r>
        <w:rPr>
          <w:sz w:val="20"/>
        </w:rPr>
        <w:t>increases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tenured</w:t>
      </w:r>
      <w:r>
        <w:rPr>
          <w:spacing w:val="-8"/>
          <w:sz w:val="20"/>
        </w:rPr>
        <w:t> </w:t>
      </w:r>
      <w:r>
        <w:rPr>
          <w:sz w:val="20"/>
        </w:rPr>
        <w:t>faculty</w:t>
      </w:r>
      <w:r>
        <w:rPr>
          <w:spacing w:val="-10"/>
          <w:sz w:val="20"/>
        </w:rPr>
        <w:t> </w:t>
      </w:r>
      <w:r>
        <w:rPr>
          <w:sz w:val="20"/>
        </w:rPr>
        <w:t>particularly</w:t>
      </w:r>
      <w:r>
        <w:rPr>
          <w:spacing w:val="-11"/>
          <w:sz w:val="20"/>
        </w:rPr>
        <w:t> </w:t>
      </w:r>
      <w:r>
        <w:rPr>
          <w:sz w:val="20"/>
        </w:rPr>
        <w:t>burdensome</w:t>
      </w:r>
      <w:r>
        <w:rPr>
          <w:spacing w:val="-12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universities.</w:t>
      </w:r>
      <w:r>
        <w:rPr>
          <w:spacing w:val="-8"/>
          <w:sz w:val="20"/>
        </w:rPr>
        <w:t> </w:t>
      </w:r>
      <w:r>
        <w:rPr>
          <w:sz w:val="20"/>
        </w:rPr>
        <w:t>Approaches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academic</w:t>
      </w:r>
      <w:r>
        <w:rPr>
          <w:spacing w:val="1"/>
          <w:sz w:val="20"/>
        </w:rPr>
        <w:t> </w:t>
      </w:r>
      <w:r>
        <w:rPr>
          <w:sz w:val="20"/>
        </w:rPr>
        <w:t>staff hiring, tenure, and promotion were found to contribute to high levels of academic inbreeding</w:t>
      </w:r>
      <w:r>
        <w:rPr>
          <w:spacing w:val="1"/>
          <w:sz w:val="20"/>
        </w:rPr>
        <w:t> </w:t>
      </w:r>
      <w:r>
        <w:rPr>
          <w:sz w:val="20"/>
        </w:rPr>
        <w:t>(hiring from within institutions’ own ranks), which decreases knowledge dissemination, as well as</w:t>
      </w:r>
      <w:r>
        <w:rPr>
          <w:spacing w:val="1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</w:t>
      </w:r>
      <w:r>
        <w:rPr>
          <w:sz w:val="20"/>
        </w:rPr>
        <w:t>quality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output.</w:t>
      </w: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71" w:lineRule="auto" w:before="44" w:after="0"/>
        <w:ind w:left="862" w:right="308" w:hanging="339"/>
        <w:jc w:val="both"/>
        <w:rPr>
          <w:sz w:val="20"/>
        </w:rPr>
      </w:pPr>
      <w:r>
        <w:rPr>
          <w:sz w:val="20"/>
        </w:rPr>
        <w:t>Autonomy for public universities was higher than for polytechnics, the latter of which did not own</w:t>
      </w:r>
      <w:r>
        <w:rPr>
          <w:spacing w:val="1"/>
          <w:sz w:val="20"/>
        </w:rPr>
        <w:t> </w:t>
      </w:r>
      <w:r>
        <w:rPr>
          <w:sz w:val="20"/>
        </w:rPr>
        <w:t>their own buildings and could not create or end programmes without ministry approval. In the</w:t>
      </w:r>
      <w:r>
        <w:rPr>
          <w:spacing w:val="1"/>
          <w:sz w:val="20"/>
        </w:rPr>
        <w:t> </w:t>
      </w:r>
      <w:r>
        <w:rPr>
          <w:sz w:val="20"/>
        </w:rPr>
        <w:t>private</w:t>
      </w:r>
      <w:r>
        <w:rPr>
          <w:spacing w:val="1"/>
          <w:sz w:val="20"/>
        </w:rPr>
        <w:t> </w:t>
      </w:r>
      <w:r>
        <w:rPr>
          <w:sz w:val="20"/>
        </w:rPr>
        <w:t>HE</w:t>
      </w:r>
      <w:r>
        <w:rPr>
          <w:spacing w:val="1"/>
          <w:sz w:val="20"/>
        </w:rPr>
        <w:t> </w:t>
      </w:r>
      <w:r>
        <w:rPr>
          <w:sz w:val="20"/>
        </w:rPr>
        <w:t>sector,</w:t>
      </w:r>
      <w:r>
        <w:rPr>
          <w:spacing w:val="1"/>
          <w:sz w:val="20"/>
        </w:rPr>
        <w:t> </w:t>
      </w:r>
      <w:r>
        <w:rPr>
          <w:sz w:val="20"/>
        </w:rPr>
        <w:t>there</w:t>
      </w:r>
      <w:r>
        <w:rPr>
          <w:spacing w:val="1"/>
          <w:sz w:val="20"/>
        </w:rPr>
        <w:t> </w:t>
      </w:r>
      <w:r>
        <w:rPr>
          <w:sz w:val="20"/>
        </w:rPr>
        <w:t>were</w:t>
      </w:r>
      <w:r>
        <w:rPr>
          <w:spacing w:val="1"/>
          <w:sz w:val="20"/>
        </w:rPr>
        <w:t> </w:t>
      </w:r>
      <w:r>
        <w:rPr>
          <w:sz w:val="20"/>
        </w:rPr>
        <w:t>further</w:t>
      </w:r>
      <w:r>
        <w:rPr>
          <w:spacing w:val="1"/>
          <w:sz w:val="20"/>
        </w:rPr>
        <w:t> </w:t>
      </w:r>
      <w:r>
        <w:rPr>
          <w:sz w:val="20"/>
        </w:rPr>
        <w:t>constraints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academic</w:t>
      </w:r>
      <w:r>
        <w:rPr>
          <w:spacing w:val="1"/>
          <w:sz w:val="20"/>
        </w:rPr>
        <w:t> </w:t>
      </w:r>
      <w:r>
        <w:rPr>
          <w:sz w:val="20"/>
        </w:rPr>
        <w:t>decision</w:t>
      </w:r>
      <w:r>
        <w:rPr>
          <w:spacing w:val="1"/>
          <w:sz w:val="20"/>
        </w:rPr>
        <w:t> </w:t>
      </w:r>
      <w:r>
        <w:rPr>
          <w:sz w:val="20"/>
        </w:rPr>
        <w:t>making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new</w:t>
      </w:r>
      <w:r>
        <w:rPr>
          <w:spacing w:val="1"/>
          <w:sz w:val="20"/>
        </w:rPr>
        <w:t> </w:t>
      </w:r>
      <w:r>
        <w:rPr>
          <w:sz w:val="20"/>
        </w:rPr>
        <w:t>programme and programme modification approvals required from government sometimes taking</w:t>
      </w:r>
      <w:r>
        <w:rPr>
          <w:spacing w:val="1"/>
          <w:sz w:val="20"/>
        </w:rPr>
        <w:t> </w:t>
      </w:r>
      <w:r>
        <w:rPr>
          <w:sz w:val="20"/>
        </w:rPr>
        <w:t>more</w:t>
      </w:r>
      <w:r>
        <w:rPr>
          <w:spacing w:val="-2"/>
          <w:sz w:val="20"/>
        </w:rPr>
        <w:t> </w:t>
      </w:r>
      <w:r>
        <w:rPr>
          <w:sz w:val="20"/>
        </w:rPr>
        <w:t>than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year.</w:t>
      </w:r>
    </w:p>
    <w:p>
      <w:pPr>
        <w:spacing w:after="0" w:line="271" w:lineRule="auto"/>
        <w:jc w:val="both"/>
        <w:rPr>
          <w:sz w:val="20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66" w:lineRule="auto" w:before="101" w:after="0"/>
        <w:ind w:left="862" w:right="303" w:hanging="339"/>
        <w:jc w:val="both"/>
        <w:rPr>
          <w:sz w:val="20"/>
        </w:rPr>
      </w:pPr>
      <w:r>
        <w:rPr>
          <w:sz w:val="20"/>
        </w:rPr>
        <w:t>Absent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minimal</w:t>
      </w:r>
      <w:r>
        <w:rPr>
          <w:spacing w:val="1"/>
          <w:sz w:val="20"/>
        </w:rPr>
        <w:t> </w:t>
      </w:r>
      <w:r>
        <w:rPr>
          <w:sz w:val="20"/>
        </w:rPr>
        <w:t>representation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external</w:t>
      </w:r>
      <w:r>
        <w:rPr>
          <w:spacing w:val="1"/>
          <w:sz w:val="20"/>
        </w:rPr>
        <w:t> </w:t>
      </w:r>
      <w:r>
        <w:rPr>
          <w:sz w:val="20"/>
        </w:rPr>
        <w:t>stakeholders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polytechnic</w:t>
      </w:r>
      <w:r>
        <w:rPr>
          <w:spacing w:val="1"/>
          <w:sz w:val="20"/>
        </w:rPr>
        <w:t> </w:t>
      </w:r>
      <w:r>
        <w:rPr>
          <w:sz w:val="20"/>
        </w:rPr>
        <w:t>assemblies</w:t>
      </w:r>
      <w:r>
        <w:rPr>
          <w:spacing w:val="1"/>
          <w:sz w:val="20"/>
        </w:rPr>
        <w:t> </w:t>
      </w:r>
      <w:r>
        <w:rPr>
          <w:sz w:val="20"/>
        </w:rPr>
        <w:t>limited</w:t>
      </w:r>
      <w:r>
        <w:rPr>
          <w:spacing w:val="-2"/>
          <w:sz w:val="20"/>
        </w:rPr>
        <w:t> </w:t>
      </w:r>
      <w:r>
        <w:rPr>
          <w:sz w:val="20"/>
        </w:rPr>
        <w:t>effective interactions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society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economy.</w:t>
      </w: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68" w:lineRule="auto" w:before="52" w:after="0"/>
        <w:ind w:left="862" w:right="305" w:hanging="339"/>
        <w:jc w:val="both"/>
        <w:rPr>
          <w:sz w:val="20"/>
        </w:rPr>
      </w:pPr>
      <w:r>
        <w:rPr>
          <w:sz w:val="20"/>
        </w:rPr>
        <w:t>Perceptions of weak institutional leadership were driven in large part by the internal election of</w:t>
      </w:r>
      <w:r>
        <w:rPr>
          <w:spacing w:val="1"/>
          <w:sz w:val="20"/>
        </w:rPr>
        <w:t> </w:t>
      </w:r>
      <w:r>
        <w:rPr>
          <w:sz w:val="20"/>
        </w:rPr>
        <w:t>rectors. This led to a political process in which commitments made in the election process had to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fulfilled, limiting</w:t>
      </w:r>
      <w:r>
        <w:rPr>
          <w:spacing w:val="-2"/>
          <w:sz w:val="20"/>
        </w:rPr>
        <w:t> </w:t>
      </w:r>
      <w:r>
        <w:rPr>
          <w:sz w:val="20"/>
        </w:rPr>
        <w:t>strategic</w:t>
      </w:r>
      <w:r>
        <w:rPr>
          <w:spacing w:val="2"/>
          <w:sz w:val="20"/>
        </w:rPr>
        <w:t> </w:t>
      </w:r>
      <w:r>
        <w:rPr>
          <w:sz w:val="20"/>
        </w:rPr>
        <w:t>managerial</w:t>
      </w:r>
      <w:r>
        <w:rPr>
          <w:spacing w:val="-1"/>
          <w:sz w:val="20"/>
        </w:rPr>
        <w:t> </w:t>
      </w:r>
      <w:r>
        <w:rPr>
          <w:sz w:val="20"/>
        </w:rPr>
        <w:t>capacity</w:t>
      </w:r>
      <w:r>
        <w:rPr>
          <w:spacing w:val="-2"/>
          <w:sz w:val="20"/>
        </w:rPr>
        <w:t> </w:t>
      </w:r>
      <w:r>
        <w:rPr>
          <w:sz w:val="20"/>
        </w:rPr>
        <w:t>post-election.</w:t>
      </w:r>
    </w:p>
    <w:p>
      <w:pPr>
        <w:pStyle w:val="ListParagraph"/>
        <w:numPr>
          <w:ilvl w:val="0"/>
          <w:numId w:val="30"/>
        </w:numPr>
        <w:tabs>
          <w:tab w:pos="863" w:val="left" w:leader="none"/>
        </w:tabs>
        <w:spacing w:line="271" w:lineRule="auto" w:before="50" w:after="0"/>
        <w:ind w:left="862" w:right="302" w:hanging="339"/>
        <w:jc w:val="both"/>
        <w:rPr>
          <w:sz w:val="20"/>
        </w:rPr>
      </w:pPr>
      <w:r>
        <w:rPr>
          <w:sz w:val="20"/>
        </w:rPr>
        <w:t>Multiple large governance bodies within HEI structures mandated by central government, often</w:t>
      </w:r>
      <w:r>
        <w:rPr>
          <w:spacing w:val="1"/>
          <w:sz w:val="20"/>
        </w:rPr>
        <w:t> </w:t>
      </w:r>
      <w:r>
        <w:rPr>
          <w:sz w:val="20"/>
        </w:rPr>
        <w:t>with equal representation for students and faculty, created slow and non-transparent decision-</w:t>
      </w:r>
      <w:r>
        <w:rPr>
          <w:spacing w:val="1"/>
          <w:sz w:val="20"/>
        </w:rPr>
        <w:t> </w:t>
      </w:r>
      <w:r>
        <w:rPr>
          <w:sz w:val="20"/>
        </w:rPr>
        <w:t>making</w:t>
      </w:r>
      <w:r>
        <w:rPr>
          <w:spacing w:val="-7"/>
          <w:sz w:val="20"/>
        </w:rPr>
        <w:t> </w:t>
      </w:r>
      <w:r>
        <w:rPr>
          <w:sz w:val="20"/>
        </w:rPr>
        <w:t>processes.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example,</w:t>
      </w:r>
      <w:r>
        <w:rPr>
          <w:spacing w:val="-7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time,</w:t>
      </w:r>
      <w:r>
        <w:rPr>
          <w:spacing w:val="-6"/>
          <w:sz w:val="20"/>
        </w:rPr>
        <w:t> </w:t>
      </w:r>
      <w:r>
        <w:rPr>
          <w:sz w:val="20"/>
        </w:rPr>
        <w:t>membership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“University</w:t>
      </w:r>
      <w:r>
        <w:rPr>
          <w:spacing w:val="-6"/>
          <w:sz w:val="20"/>
        </w:rPr>
        <w:t> </w:t>
      </w:r>
      <w:r>
        <w:rPr>
          <w:sz w:val="20"/>
        </w:rPr>
        <w:t>Assembly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14</w:t>
      </w:r>
      <w:r>
        <w:rPr>
          <w:spacing w:val="6"/>
          <w:sz w:val="20"/>
        </w:rPr>
        <w:t> </w:t>
      </w:r>
      <w:r>
        <w:rPr>
          <w:sz w:val="20"/>
        </w:rPr>
        <w:t>public</w:t>
      </w:r>
      <w:r>
        <w:rPr>
          <w:spacing w:val="-54"/>
          <w:sz w:val="20"/>
        </w:rPr>
        <w:t> </w:t>
      </w:r>
      <w:r>
        <w:rPr>
          <w:sz w:val="20"/>
        </w:rPr>
        <w:t>universities</w:t>
      </w:r>
      <w:r>
        <w:rPr>
          <w:spacing w:val="-5"/>
          <w:sz w:val="20"/>
        </w:rPr>
        <w:t> </w:t>
      </w:r>
      <w:r>
        <w:rPr>
          <w:sz w:val="20"/>
        </w:rPr>
        <w:t>vari[ed]</w:t>
      </w:r>
      <w:r>
        <w:rPr>
          <w:spacing w:val="-6"/>
          <w:sz w:val="20"/>
        </w:rPr>
        <w:t> </w:t>
      </w:r>
      <w:r>
        <w:rPr>
          <w:sz w:val="20"/>
        </w:rPr>
        <w:t>between</w:t>
      </w:r>
      <w:r>
        <w:rPr>
          <w:spacing w:val="-8"/>
          <w:sz w:val="20"/>
        </w:rPr>
        <w:t> </w:t>
      </w:r>
      <w:r>
        <w:rPr>
          <w:sz w:val="20"/>
        </w:rPr>
        <w:t>64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331,</w:t>
      </w:r>
      <w:r>
        <w:rPr>
          <w:spacing w:val="-6"/>
          <w:sz w:val="20"/>
        </w:rPr>
        <w:t> </w:t>
      </w:r>
      <w:r>
        <w:rPr>
          <w:sz w:val="20"/>
        </w:rPr>
        <w:t>while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membership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University</w:t>
      </w:r>
      <w:r>
        <w:rPr>
          <w:spacing w:val="-8"/>
          <w:sz w:val="20"/>
        </w:rPr>
        <w:t> </w:t>
      </w:r>
      <w:r>
        <w:rPr>
          <w:sz w:val="20"/>
        </w:rPr>
        <w:t>Senate</w:t>
      </w:r>
      <w:r>
        <w:rPr>
          <w:spacing w:val="-7"/>
          <w:sz w:val="20"/>
        </w:rPr>
        <w:t> </w:t>
      </w:r>
      <w:r>
        <w:rPr>
          <w:sz w:val="20"/>
        </w:rPr>
        <w:t>vari[ed]</w:t>
      </w:r>
      <w:r>
        <w:rPr>
          <w:spacing w:val="-7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36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to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179” (OECD,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2007,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p.</w:t>
      </w:r>
      <w:r>
        <w:rPr>
          <w:spacing w:val="3"/>
          <w:position w:val="1"/>
          <w:sz w:val="20"/>
        </w:rPr>
        <w:t> </w:t>
      </w:r>
      <w:r>
        <w:rPr>
          <w:position w:val="1"/>
          <w:sz w:val="20"/>
        </w:rPr>
        <w:t>63</w:t>
      </w:r>
      <w:r>
        <w:rPr>
          <w:sz w:val="13"/>
        </w:rPr>
        <w:t>[13]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25"/>
        <w:ind w:left="183" w:right="302"/>
        <w:jc w:val="both"/>
      </w:pP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these</w:t>
      </w:r>
      <w:r>
        <w:rPr>
          <w:spacing w:val="-8"/>
        </w:rPr>
        <w:t> </w:t>
      </w:r>
      <w:r>
        <w:rPr/>
        <w:t>factors</w:t>
      </w:r>
      <w:r>
        <w:rPr>
          <w:spacing w:val="-6"/>
        </w:rPr>
        <w:t> </w:t>
      </w:r>
      <w:r>
        <w:rPr/>
        <w:t>characterising</w:t>
      </w:r>
      <w:r>
        <w:rPr>
          <w:spacing w:val="-8"/>
        </w:rPr>
        <w:t> </w:t>
      </w:r>
      <w:r>
        <w:rPr/>
        <w:t>institutional</w:t>
      </w:r>
      <w:r>
        <w:rPr>
          <w:spacing w:val="-9"/>
        </w:rPr>
        <w:t> </w:t>
      </w:r>
      <w:r>
        <w:rPr/>
        <w:t>autonomy</w:t>
      </w:r>
      <w:r>
        <w:rPr>
          <w:spacing w:val="-14"/>
        </w:rPr>
        <w:t> </w:t>
      </w:r>
      <w:r>
        <w:rPr/>
        <w:t>and</w:t>
      </w:r>
      <w:r>
        <w:rPr>
          <w:spacing w:val="-8"/>
        </w:rPr>
        <w:t> </w:t>
      </w:r>
      <w:r>
        <w:rPr/>
        <w:t>governance,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2007</w:t>
      </w:r>
      <w:r>
        <w:rPr>
          <w:spacing w:val="-10"/>
        </w:rPr>
        <w:t> </w:t>
      </w:r>
      <w:r>
        <w:rPr/>
        <w:t>OECD</w:t>
      </w:r>
      <w:r>
        <w:rPr>
          <w:spacing w:val="1"/>
        </w:rPr>
        <w:t> </w:t>
      </w:r>
      <w:r>
        <w:rPr/>
        <w:t>Review</w:t>
      </w:r>
      <w:r>
        <w:rPr>
          <w:spacing w:val="-53"/>
        </w:rPr>
        <w:t> </w:t>
      </w:r>
      <w:r>
        <w:rPr/>
        <w:t>found</w:t>
      </w:r>
      <w:r>
        <w:rPr>
          <w:spacing w:val="-3"/>
        </w:rPr>
        <w:t> </w:t>
      </w:r>
      <w:r>
        <w:rPr/>
        <w:t>that:</w:t>
      </w:r>
    </w:p>
    <w:p>
      <w:pPr>
        <w:spacing w:before="148"/>
        <w:ind w:left="862" w:right="986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636885pt;width:2.2pt;height:69.4pt;mso-position-horizontal-relative:page;mso-position-vertical-relative:paragraph;z-index:15760384" coordorigin="1832,93" coordsize="44,1388" path="m1875,842l1832,842,1832,1070,1832,1070,1832,1480,1875,1480,1875,1070,1875,1070,1875,842xm1875,381l1832,381,1832,612,1832,612,1832,842,1875,842,1875,612,1875,612,1875,381xm1875,93l1832,93,1832,381,1875,381,1875,93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0"/>
          <w:sz w:val="20"/>
        </w:rPr>
        <w:t>...HEIs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are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less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engaged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with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national</w:t>
      </w:r>
      <w:r>
        <w:rPr>
          <w:rFonts w:ascii="Arial"/>
          <w:i/>
          <w:spacing w:val="2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needs,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are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less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creative,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responsive,</w:t>
      </w:r>
      <w:r>
        <w:rPr>
          <w:rFonts w:ascii="Arial"/>
          <w:i/>
          <w:spacing w:val="2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entrepreneurial,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innovative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and transparent in their decision making than is required and expected by the country at large. While the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detailed control exercised by government on the day-to-day operations of the higher education sector is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considerable, it is out of touch with international trends where governments influence and steer, rather than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direct,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institutions</w:t>
      </w:r>
      <w:r>
        <w:rPr>
          <w:rFonts w:ascii="Arial"/>
          <w:i/>
          <w:spacing w:val="-7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(OECD,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2007,</w:t>
      </w:r>
      <w:r>
        <w:rPr>
          <w:rFonts w:ascii="Arial"/>
          <w:i/>
          <w:spacing w:val="-5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p.</w:t>
      </w:r>
      <w:r>
        <w:rPr>
          <w:rFonts w:ascii="Arial"/>
          <w:i/>
          <w:spacing w:val="-6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66</w:t>
      </w:r>
      <w:r>
        <w:rPr>
          <w:rFonts w:ascii="Arial"/>
          <w:i/>
          <w:w w:val="90"/>
          <w:sz w:val="13"/>
        </w:rPr>
        <w:t>[13]</w:t>
      </w:r>
      <w:r>
        <w:rPr>
          <w:rFonts w:ascii="Arial"/>
          <w:i/>
          <w:w w:val="90"/>
          <w:position w:val="1"/>
          <w:sz w:val="20"/>
        </w:rPr>
        <w:t>).</w:t>
      </w:r>
    </w:p>
    <w:p>
      <w:pPr>
        <w:pStyle w:val="BodyText"/>
        <w:spacing w:before="4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These findings echoed understanding at the time within MTCES that the governance approach and legal</w:t>
      </w:r>
      <w:r>
        <w:rPr>
          <w:spacing w:val="1"/>
        </w:rPr>
        <w:t> </w:t>
      </w:r>
      <w:r>
        <w:rPr/>
        <w:t>constructs</w:t>
      </w:r>
      <w:r>
        <w:rPr>
          <w:spacing w:val="-13"/>
        </w:rPr>
        <w:t> </w:t>
      </w:r>
      <w:r>
        <w:rPr/>
        <w:t>surrounding</w:t>
      </w:r>
      <w:r>
        <w:rPr>
          <w:spacing w:val="-12"/>
        </w:rPr>
        <w:t> </w:t>
      </w:r>
      <w:r>
        <w:rPr/>
        <w:t>Portuguese</w:t>
      </w:r>
      <w:r>
        <w:rPr>
          <w:spacing w:val="-12"/>
        </w:rPr>
        <w:t> </w:t>
      </w:r>
      <w:r>
        <w:rPr/>
        <w:t>HEIs</w:t>
      </w:r>
      <w:r>
        <w:rPr>
          <w:spacing w:val="-13"/>
        </w:rPr>
        <w:t> </w:t>
      </w:r>
      <w:r>
        <w:rPr/>
        <w:t>needed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evolve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order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enable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HE</w:t>
      </w:r>
      <w:r>
        <w:rPr>
          <w:spacing w:val="-14"/>
        </w:rPr>
        <w:t> </w:t>
      </w:r>
      <w:r>
        <w:rPr/>
        <w:t>sector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greater</w:t>
      </w:r>
      <w:r>
        <w:rPr>
          <w:spacing w:val="1"/>
        </w:rPr>
        <w:t> </w:t>
      </w:r>
      <w:r>
        <w:rPr>
          <w:spacing w:val="-1"/>
          <w:position w:val="1"/>
        </w:rPr>
        <w:t>societal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impact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(MTCES,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2006</w:t>
      </w:r>
      <w:r>
        <w:rPr>
          <w:spacing w:val="-1"/>
          <w:sz w:val="13"/>
        </w:rPr>
        <w:t>[9]</w:t>
      </w:r>
      <w:r>
        <w:rPr>
          <w:spacing w:val="-1"/>
          <w:position w:val="1"/>
        </w:rPr>
        <w:t>).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Portugal’s</w:t>
      </w:r>
      <w:r>
        <w:rPr>
          <w:spacing w:val="-10"/>
          <w:position w:val="1"/>
        </w:rPr>
        <w:t> </w:t>
      </w:r>
      <w:r>
        <w:rPr>
          <w:position w:val="1"/>
        </w:rPr>
        <w:t>movement</w:t>
      </w:r>
      <w:r>
        <w:rPr>
          <w:spacing w:val="-13"/>
          <w:position w:val="1"/>
        </w:rPr>
        <w:t> </w:t>
      </w:r>
      <w:r>
        <w:rPr>
          <w:position w:val="1"/>
        </w:rPr>
        <w:t>toward</w:t>
      </w:r>
      <w:r>
        <w:rPr>
          <w:spacing w:val="-9"/>
          <w:position w:val="1"/>
        </w:rPr>
        <w:t> </w:t>
      </w:r>
      <w:r>
        <w:rPr>
          <w:position w:val="1"/>
        </w:rPr>
        <w:t>institutional</w:t>
      </w:r>
      <w:r>
        <w:rPr>
          <w:spacing w:val="-11"/>
          <w:position w:val="1"/>
        </w:rPr>
        <w:t> </w:t>
      </w:r>
      <w:r>
        <w:rPr>
          <w:position w:val="1"/>
        </w:rPr>
        <w:t>autonomy,</w:t>
      </w:r>
      <w:r>
        <w:rPr>
          <w:spacing w:val="-9"/>
          <w:position w:val="1"/>
        </w:rPr>
        <w:t> </w:t>
      </w:r>
      <w:r>
        <w:rPr>
          <w:position w:val="1"/>
        </w:rPr>
        <w:t>governance</w:t>
      </w:r>
      <w:r>
        <w:rPr>
          <w:spacing w:val="-13"/>
          <w:position w:val="1"/>
        </w:rPr>
        <w:t> </w:t>
      </w:r>
      <w:r>
        <w:rPr>
          <w:position w:val="1"/>
        </w:rPr>
        <w:t>reform,</w:t>
      </w:r>
      <w:r>
        <w:rPr>
          <w:spacing w:val="1"/>
          <w:position w:val="1"/>
        </w:rPr>
        <w:t> </w:t>
      </w:r>
      <w:r>
        <w:rPr/>
        <w:t>and greater accountability in the 2000s occurred alongside related developments in quality assurance.</w:t>
      </w:r>
      <w:r>
        <w:rPr>
          <w:spacing w:val="1"/>
        </w:rPr>
        <w:t> </w:t>
      </w:r>
      <w:r>
        <w:rPr/>
        <w:t>This included inauguration of the country’s quality assurance agency, A3ES, first operational in 2009,</w:t>
      </w:r>
      <w:r>
        <w:rPr>
          <w:spacing w:val="1"/>
        </w:rPr>
        <w:t> </w:t>
      </w:r>
      <w:r>
        <w:rPr/>
        <w:t>which placed external programme quality validation alongside new autonomy and governance measures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institutions.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</w:pPr>
      <w:r>
        <w:rPr>
          <w:color w:val="616161"/>
        </w:rPr>
        <w:t>Policy</w:t>
      </w:r>
      <w:r>
        <w:rPr>
          <w:color w:val="616161"/>
          <w:spacing w:val="-3"/>
        </w:rPr>
        <w:t> </w:t>
      </w:r>
      <w:r>
        <w:rPr>
          <w:color w:val="616161"/>
        </w:rPr>
        <w:t>process:</w:t>
      </w:r>
      <w:r>
        <w:rPr>
          <w:color w:val="616161"/>
          <w:spacing w:val="-3"/>
        </w:rPr>
        <w:t> </w:t>
      </w:r>
      <w:r>
        <w:rPr>
          <w:color w:val="616161"/>
        </w:rPr>
        <w:t>Formulation</w:t>
      </w:r>
      <w:r>
        <w:rPr>
          <w:color w:val="616161"/>
          <w:spacing w:val="-6"/>
        </w:rPr>
        <w:t> </w:t>
      </w:r>
      <w:r>
        <w:rPr>
          <w:color w:val="616161"/>
        </w:rPr>
        <w:t>and</w:t>
      </w:r>
      <w:r>
        <w:rPr>
          <w:color w:val="616161"/>
          <w:spacing w:val="-2"/>
        </w:rPr>
        <w:t> </w:t>
      </w:r>
      <w:r>
        <w:rPr>
          <w:color w:val="616161"/>
        </w:rPr>
        <w:t>adoption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2"/>
        <w:jc w:val="both"/>
      </w:pPr>
      <w:r>
        <w:rPr/>
        <w:t>Based on the assessment presented in the preceding section, the 2007 OECD Review offered HEI</w:t>
      </w:r>
      <w:r>
        <w:rPr>
          <w:spacing w:val="1"/>
        </w:rPr>
        <w:t> </w:t>
      </w:r>
      <w:r>
        <w:rPr/>
        <w:t>governance and autonomy recommendations to the Portuguese government, which were incorporated to</w:t>
      </w:r>
      <w:r>
        <w:rPr>
          <w:spacing w:val="-53"/>
        </w:rPr>
        <w:t> </w:t>
      </w:r>
      <w:r>
        <w:rPr/>
        <w:t>a significant extent, though not without modification, within the RJIES and approved by Law 62/2007</w:t>
      </w:r>
      <w:r>
        <w:rPr>
          <w:spacing w:val="1"/>
        </w:rPr>
        <w:t> </w:t>
      </w:r>
      <w:r>
        <w:rPr>
          <w:position w:val="1"/>
        </w:rPr>
        <w:t>(OECD,</w:t>
      </w:r>
      <w:r>
        <w:rPr>
          <w:spacing w:val="-10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[5]</w:t>
      </w:r>
      <w:r>
        <w:rPr>
          <w:position w:val="1"/>
        </w:rPr>
        <w:t>).</w:t>
      </w:r>
      <w:r>
        <w:rPr>
          <w:spacing w:val="-9"/>
          <w:position w:val="1"/>
        </w:rPr>
        <w:t> </w:t>
      </w:r>
      <w:r>
        <w:rPr>
          <w:position w:val="1"/>
        </w:rPr>
        <w:t>The</w:t>
      </w:r>
      <w:r>
        <w:rPr>
          <w:spacing w:val="-9"/>
          <w:position w:val="1"/>
        </w:rPr>
        <w:t> </w:t>
      </w:r>
      <w:r>
        <w:rPr>
          <w:position w:val="1"/>
        </w:rPr>
        <w:t>2007</w:t>
      </w:r>
      <w:r>
        <w:rPr>
          <w:spacing w:val="-9"/>
          <w:position w:val="1"/>
        </w:rPr>
        <w:t> </w:t>
      </w:r>
      <w:r>
        <w:rPr>
          <w:position w:val="1"/>
        </w:rPr>
        <w:t>OECD</w:t>
      </w:r>
      <w:r>
        <w:rPr>
          <w:spacing w:val="-8"/>
          <w:position w:val="1"/>
        </w:rPr>
        <w:t> </w:t>
      </w:r>
      <w:r>
        <w:rPr>
          <w:position w:val="1"/>
        </w:rPr>
        <w:t>Review</w:t>
      </w:r>
      <w:r>
        <w:rPr>
          <w:spacing w:val="-11"/>
          <w:position w:val="1"/>
        </w:rPr>
        <w:t> </w:t>
      </w:r>
      <w:r>
        <w:rPr>
          <w:position w:val="1"/>
        </w:rPr>
        <w:t>recommended,</w:t>
      </w:r>
      <w:r>
        <w:rPr>
          <w:spacing w:val="-9"/>
          <w:position w:val="1"/>
        </w:rPr>
        <w:t> </w:t>
      </w:r>
      <w:r>
        <w:rPr>
          <w:position w:val="1"/>
        </w:rPr>
        <w:t>among</w:t>
      </w:r>
      <w:r>
        <w:rPr>
          <w:spacing w:val="-9"/>
          <w:position w:val="1"/>
        </w:rPr>
        <w:t> </w:t>
      </w:r>
      <w:r>
        <w:rPr>
          <w:position w:val="1"/>
        </w:rPr>
        <w:t>other</w:t>
      </w:r>
      <w:r>
        <w:rPr>
          <w:spacing w:val="-8"/>
          <w:position w:val="1"/>
        </w:rPr>
        <w:t> </w:t>
      </w:r>
      <w:r>
        <w:rPr>
          <w:position w:val="1"/>
        </w:rPr>
        <w:t>key</w:t>
      </w:r>
      <w:r>
        <w:rPr>
          <w:spacing w:val="-11"/>
          <w:position w:val="1"/>
        </w:rPr>
        <w:t> </w:t>
      </w:r>
      <w:r>
        <w:rPr>
          <w:position w:val="1"/>
        </w:rPr>
        <w:t>directions,</w:t>
      </w:r>
      <w:r>
        <w:rPr>
          <w:spacing w:val="-9"/>
          <w:position w:val="1"/>
        </w:rPr>
        <w:t> </w:t>
      </w:r>
      <w:r>
        <w:rPr>
          <w:position w:val="1"/>
        </w:rPr>
        <w:t>that</w:t>
      </w:r>
      <w:r>
        <w:rPr>
          <w:spacing w:val="-9"/>
          <w:position w:val="1"/>
        </w:rPr>
        <w:t> </w:t>
      </w:r>
      <w:r>
        <w:rPr>
          <w:position w:val="1"/>
        </w:rPr>
        <w:t>new</w:t>
      </w:r>
      <w:r>
        <w:rPr>
          <w:spacing w:val="-11"/>
          <w:position w:val="1"/>
        </w:rPr>
        <w:t> </w:t>
      </w:r>
      <w:r>
        <w:rPr>
          <w:position w:val="1"/>
        </w:rPr>
        <w:t>legislation</w:t>
      </w:r>
      <w:r>
        <w:rPr>
          <w:spacing w:val="1"/>
          <w:position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created,</w:t>
      </w:r>
      <w:r>
        <w:rPr>
          <w:spacing w:val="1"/>
        </w:rPr>
        <w:t> </w:t>
      </w:r>
      <w:r>
        <w:rPr/>
        <w:t>introducing: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HEIs;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(ii) a</w:t>
      </w:r>
      <w:r>
        <w:rPr>
          <w:spacing w:val="1"/>
        </w:rPr>
        <w:t> </w:t>
      </w:r>
      <w:r>
        <w:rPr/>
        <w:t>new</w:t>
      </w:r>
      <w:r>
        <w:rPr>
          <w:spacing w:val="-53"/>
        </w:rPr>
        <w:t> </w:t>
      </w:r>
      <w:r>
        <w:rPr/>
        <w:t>autonomous status available to HEIs based on application and meeting minimum qualifying conditions</w:t>
      </w:r>
      <w:r>
        <w:rPr>
          <w:spacing w:val="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managerial</w:t>
      </w:r>
      <w:r>
        <w:rPr>
          <w:spacing w:val="-2"/>
        </w:rPr>
        <w:t> </w:t>
      </w:r>
      <w:r>
        <w:rPr/>
        <w:t>preparedness.</w:t>
      </w:r>
    </w:p>
    <w:p>
      <w:pPr>
        <w:pStyle w:val="BodyText"/>
        <w:spacing w:line="271" w:lineRule="auto" w:before="120"/>
        <w:ind w:left="183" w:right="304"/>
        <w:jc w:val="both"/>
      </w:pPr>
      <w:r>
        <w:rPr/>
        <w:t>Regarding</w:t>
      </w:r>
      <w:r>
        <w:rPr>
          <w:spacing w:val="-8"/>
        </w:rPr>
        <w:t> </w:t>
      </w:r>
      <w:r>
        <w:rPr/>
        <w:t>institutional</w:t>
      </w:r>
      <w:r>
        <w:rPr>
          <w:spacing w:val="-8"/>
        </w:rPr>
        <w:t> </w:t>
      </w:r>
      <w:r>
        <w:rPr/>
        <w:t>governance,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OECD</w:t>
      </w:r>
      <w:r>
        <w:rPr>
          <w:spacing w:val="-7"/>
        </w:rPr>
        <w:t> </w:t>
      </w:r>
      <w:r>
        <w:rPr/>
        <w:t>recommended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Portuguese</w:t>
      </w:r>
      <w:r>
        <w:rPr>
          <w:spacing w:val="-8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outline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 of membership of the governing authority of each institution to include 10-15 members, with the</w:t>
      </w:r>
      <w:r>
        <w:rPr>
          <w:spacing w:val="-53"/>
        </w:rPr>
        <w:t> </w:t>
      </w:r>
      <w:r>
        <w:rPr/>
        <w:t>majority of members and the chair representing external stakeholders. The remaining members would be</w:t>
      </w:r>
      <w:r>
        <w:rPr>
          <w:spacing w:val="-53"/>
        </w:rPr>
        <w:t> </w:t>
      </w:r>
      <w:r>
        <w:rPr/>
        <w:t>internal stakeholders, the majority of whom would be faculty. For external members, the importance of</w:t>
      </w:r>
      <w:r>
        <w:rPr>
          <w:spacing w:val="1"/>
        </w:rPr>
        <w:t> </w:t>
      </w:r>
      <w:r>
        <w:rPr>
          <w:spacing w:val="-1"/>
        </w:rPr>
        <w:t>credible</w:t>
      </w:r>
      <w:r>
        <w:rPr>
          <w:spacing w:val="-13"/>
        </w:rPr>
        <w:t> </w:t>
      </w:r>
      <w:r>
        <w:rPr/>
        <w:t>selection</w:t>
      </w:r>
      <w:r>
        <w:rPr>
          <w:spacing w:val="-11"/>
        </w:rPr>
        <w:t> </w:t>
      </w:r>
      <w:r>
        <w:rPr/>
        <w:t>procedures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highlighted,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recommendation</w:t>
      </w:r>
      <w:r>
        <w:rPr>
          <w:spacing w:val="-10"/>
        </w:rPr>
        <w:t> </w:t>
      </w:r>
      <w:r>
        <w:rPr/>
        <w:t>made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explore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borrow</w:t>
      </w:r>
      <w:r>
        <w:rPr>
          <w:spacing w:val="-14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international best practice in this regard. The OECD also recommended that the rector of each institution</w:t>
      </w:r>
      <w:r>
        <w:rPr>
          <w:spacing w:val="1"/>
        </w:rPr>
        <w:t> </w:t>
      </w:r>
      <w:r>
        <w:rPr/>
        <w:t>would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“appointed,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elected”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governing</w:t>
      </w:r>
      <w:r>
        <w:rPr>
          <w:spacing w:val="-10"/>
        </w:rPr>
        <w:t> </w:t>
      </w:r>
      <w:r>
        <w:rPr/>
        <w:t>authority</w:t>
      </w:r>
      <w:r>
        <w:rPr>
          <w:spacing w:val="-11"/>
        </w:rPr>
        <w:t> </w:t>
      </w:r>
      <w:r>
        <w:rPr/>
        <w:t>responsible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holding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public</w:t>
      </w:r>
      <w:r>
        <w:rPr>
          <w:spacing w:val="-9"/>
        </w:rPr>
        <w:t> </w:t>
      </w:r>
      <w:r>
        <w:rPr/>
        <w:t>competition</w:t>
      </w:r>
      <w:r>
        <w:rPr>
          <w:spacing w:val="1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selection processes</w:t>
      </w:r>
      <w:r>
        <w:rPr>
          <w:spacing w:val="2"/>
          <w:position w:val="1"/>
        </w:rPr>
        <w:t> </w:t>
      </w:r>
      <w:r>
        <w:rPr>
          <w:position w:val="1"/>
        </w:rPr>
        <w:t>(OECD, 2007,</w:t>
      </w:r>
      <w:r>
        <w:rPr>
          <w:spacing w:val="-2"/>
          <w:position w:val="1"/>
        </w:rPr>
        <w:t> </w:t>
      </w:r>
      <w:r>
        <w:rPr>
          <w:position w:val="1"/>
        </w:rPr>
        <w:t>p.</w:t>
      </w:r>
      <w:r>
        <w:rPr>
          <w:spacing w:val="3"/>
          <w:position w:val="1"/>
        </w:rPr>
        <w:t> </w:t>
      </w:r>
      <w:r>
        <w:rPr>
          <w:position w:val="1"/>
        </w:rPr>
        <w:t>68</w:t>
      </w:r>
      <w:r>
        <w:rPr>
          <w:sz w:val="13"/>
        </w:rPr>
        <w:t>[13]</w:t>
      </w:r>
      <w:r>
        <w:rPr>
          <w:position w:val="1"/>
        </w:rPr>
        <w:t>).</w:t>
      </w:r>
    </w:p>
    <w:p>
      <w:pPr>
        <w:pStyle w:val="BodyText"/>
        <w:spacing w:line="271" w:lineRule="auto" w:before="123"/>
        <w:ind w:left="183" w:right="312"/>
        <w:jc w:val="both"/>
      </w:pP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qualifying</w:t>
      </w:r>
      <w:r>
        <w:rPr>
          <w:spacing w:val="-53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was outlined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such:</w:t>
      </w:r>
    </w:p>
    <w:p>
      <w:pPr>
        <w:spacing w:before="147"/>
        <w:ind w:left="862" w:right="982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48987pt;width:2.2pt;height:49pt;mso-position-horizontal-relative:page;mso-position-vertical-relative:paragraph;z-index:15760896" coordorigin="1832,90" coordsize="44,980" path="m1875,380l1832,380,1832,611,1832,839,1832,839,1832,1069,1875,1069,1875,839,1875,839,1875,611,1875,380xm1875,90l1832,90,1832,380,1875,380,1875,90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0"/>
          <w:sz w:val="20"/>
        </w:rPr>
        <w:t>...at a minimum, [it would] provide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for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33"/>
          <w:sz w:val="20"/>
        </w:rPr>
        <w:t> </w:t>
      </w:r>
      <w:r>
        <w:rPr>
          <w:rFonts w:ascii="Arial"/>
          <w:i/>
          <w:w w:val="80"/>
          <w:sz w:val="20"/>
        </w:rPr>
        <w:t>elimination of regulations that delimit stated</w:t>
      </w:r>
      <w:r>
        <w:rPr>
          <w:rFonts w:ascii="Arial"/>
          <w:i/>
          <w:spacing w:val="33"/>
          <w:sz w:val="20"/>
        </w:rPr>
        <w:t> </w:t>
      </w:r>
      <w:r>
        <w:rPr>
          <w:rFonts w:ascii="Arial"/>
          <w:i/>
          <w:w w:val="80"/>
          <w:sz w:val="20"/>
        </w:rPr>
        <w:t>autonomy, that faculty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and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staff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of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HEIs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would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be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defined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as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employees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of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HEI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and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would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no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longer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be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civil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servants,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that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salaries would be a matter for the HEI, that the creation of employee positions would be subject to an internal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process</w:t>
      </w:r>
      <w:r>
        <w:rPr>
          <w:rFonts w:ascii="Arial"/>
          <w:i/>
          <w:spacing w:val="-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involving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formal</w:t>
      </w:r>
      <w:r>
        <w:rPr>
          <w:rFonts w:ascii="Arial"/>
          <w:i/>
          <w:spacing w:val="-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agreement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-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governing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authority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-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HEI,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-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that all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appointments</w:t>
      </w:r>
      <w:r>
        <w:rPr>
          <w:rFonts w:ascii="Arial"/>
          <w:i/>
          <w:spacing w:val="-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to</w:t>
      </w:r>
      <w:r>
        <w:rPr>
          <w:rFonts w:ascii="Arial"/>
          <w:i/>
          <w:spacing w:val="-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those</w:t>
      </w:r>
    </w:p>
    <w:p>
      <w:pPr>
        <w:spacing w:after="0"/>
        <w:jc w:val="both"/>
        <w:rPr>
          <w:rFonts w:ascii="Arial"/>
          <w:sz w:val="20"/>
        </w:rPr>
        <w:sectPr>
          <w:pgSz w:w="11910" w:h="15880"/>
          <w:pgMar w:header="734" w:footer="731" w:top="1200" w:bottom="920" w:left="1120" w:right="1000"/>
        </w:sectPr>
      </w:pPr>
    </w:p>
    <w:p>
      <w:pPr>
        <w:spacing w:before="88"/>
        <w:ind w:left="862" w:right="985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659845pt;width:2.2pt;height:54.85pt;mso-position-horizontal-relative:page;mso-position-vertical-relative:paragraph;z-index:15761408" coordorigin="1832,93" coordsize="44,1097" path="m1875,552l1832,552,1832,782,1832,782,1832,1190,1875,1190,1875,782,1875,782,1875,552xm1875,93l1832,93,1832,321,1832,552,1875,552,1875,321,1875,93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5"/>
          <w:sz w:val="20"/>
        </w:rPr>
        <w:t>positions (and promotions) would be fully transparent and subject to a formal advertising and appointment</w:t>
      </w:r>
      <w:r>
        <w:rPr>
          <w:rFonts w:ascii="Arial"/>
          <w:i/>
          <w:spacing w:val="-45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process involving a substantial number of outside individuals. The</w:t>
      </w:r>
      <w:r>
        <w:rPr>
          <w:rFonts w:ascii="Arial"/>
          <w:i/>
          <w:spacing w:val="33"/>
          <w:sz w:val="20"/>
        </w:rPr>
        <w:t> </w:t>
      </w:r>
      <w:r>
        <w:rPr>
          <w:rFonts w:ascii="Arial"/>
          <w:i/>
          <w:w w:val="80"/>
          <w:sz w:val="20"/>
        </w:rPr>
        <w:t>finances of the HEIs</w:t>
      </w:r>
      <w:r>
        <w:rPr>
          <w:rFonts w:ascii="Arial"/>
          <w:i/>
          <w:spacing w:val="33"/>
          <w:sz w:val="20"/>
        </w:rPr>
        <w:t> </w:t>
      </w:r>
      <w:r>
        <w:rPr>
          <w:rFonts w:ascii="Arial"/>
          <w:i/>
          <w:w w:val="80"/>
          <w:sz w:val="20"/>
        </w:rPr>
        <w:t>would be considered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not to be state finances. All of the above and other freedoms would be subject to any HEI producing a balanced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budget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in</w:t>
      </w:r>
      <w:r>
        <w:rPr>
          <w:rFonts w:ascii="Arial"/>
          <w:i/>
          <w:spacing w:val="-7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each</w:t>
      </w:r>
      <w:r>
        <w:rPr>
          <w:rFonts w:ascii="Arial"/>
          <w:i/>
          <w:spacing w:val="-7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year</w:t>
      </w:r>
      <w:r>
        <w:rPr>
          <w:rFonts w:ascii="Arial"/>
          <w:i/>
          <w:spacing w:val="-7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(OECD,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2007,</w:t>
      </w:r>
      <w:r>
        <w:rPr>
          <w:rFonts w:ascii="Arial"/>
          <w:i/>
          <w:spacing w:val="-7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p.</w:t>
      </w:r>
      <w:r>
        <w:rPr>
          <w:rFonts w:ascii="Arial"/>
          <w:i/>
          <w:spacing w:val="-5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67</w:t>
      </w:r>
      <w:r>
        <w:rPr>
          <w:rFonts w:ascii="Arial"/>
          <w:i/>
          <w:w w:val="90"/>
          <w:sz w:val="13"/>
        </w:rPr>
        <w:t>[13]</w:t>
      </w:r>
      <w:r>
        <w:rPr>
          <w:rFonts w:ascii="Arial"/>
          <w:i/>
          <w:w w:val="90"/>
          <w:position w:val="1"/>
          <w:sz w:val="20"/>
        </w:rPr>
        <w:t>).</w:t>
      </w:r>
    </w:p>
    <w:p>
      <w:pPr>
        <w:pStyle w:val="BodyText"/>
        <w:spacing w:before="4"/>
        <w:rPr>
          <w:rFonts w:ascii="Arial"/>
          <w:i/>
          <w:sz w:val="18"/>
        </w:rPr>
      </w:pPr>
    </w:p>
    <w:p>
      <w:pPr>
        <w:pStyle w:val="BodyText"/>
        <w:ind w:left="183"/>
        <w:jc w:val="both"/>
      </w:pPr>
      <w:r>
        <w:rPr/>
        <w:t>The</w:t>
      </w:r>
      <w:r>
        <w:rPr>
          <w:spacing w:val="11"/>
        </w:rPr>
        <w:t> </w:t>
      </w:r>
      <w:r>
        <w:rPr/>
        <w:t>key</w:t>
      </w:r>
      <w:r>
        <w:rPr>
          <w:spacing w:val="8"/>
        </w:rPr>
        <w:t> </w:t>
      </w:r>
      <w:r>
        <w:rPr/>
        <w:t>governance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institutional</w:t>
      </w:r>
      <w:r>
        <w:rPr>
          <w:spacing w:val="14"/>
        </w:rPr>
        <w:t> </w:t>
      </w:r>
      <w:r>
        <w:rPr/>
        <w:t>autonomy</w:t>
      </w:r>
      <w:r>
        <w:rPr>
          <w:spacing w:val="9"/>
        </w:rPr>
        <w:t> </w:t>
      </w:r>
      <w:r>
        <w:rPr/>
        <w:t>changes</w:t>
      </w:r>
      <w:r>
        <w:rPr>
          <w:spacing w:val="15"/>
        </w:rPr>
        <w:t> </w:t>
      </w:r>
      <w:r>
        <w:rPr/>
        <w:t>ultimately</w:t>
      </w:r>
      <w:r>
        <w:rPr>
          <w:spacing w:val="9"/>
        </w:rPr>
        <w:t> </w:t>
      </w:r>
      <w:r>
        <w:rPr/>
        <w:t>integrated</w:t>
      </w:r>
      <w:r>
        <w:rPr>
          <w:spacing w:val="15"/>
        </w:rPr>
        <w:t> </w:t>
      </w:r>
      <w:r>
        <w:rPr/>
        <w:t>within</w:t>
      </w:r>
      <w:r>
        <w:rPr>
          <w:spacing w:val="15"/>
        </w:rPr>
        <w:t> </w:t>
      </w:r>
      <w:r>
        <w:rPr/>
        <w:t>RJIES</w:t>
      </w:r>
      <w:r>
        <w:rPr>
          <w:spacing w:val="14"/>
        </w:rPr>
        <w:t> </w:t>
      </w:r>
      <w:r>
        <w:rPr/>
        <w:t>are</w:t>
      </w:r>
      <w:r>
        <w:rPr>
          <w:spacing w:val="16"/>
        </w:rPr>
        <w:t> </w:t>
      </w:r>
      <w:r>
        <w:rPr/>
        <w:t>profiled</w:t>
      </w:r>
    </w:p>
    <w:p>
      <w:pPr>
        <w:pStyle w:val="BodyText"/>
        <w:spacing w:before="32"/>
        <w:ind w:left="183"/>
        <w:jc w:val="both"/>
      </w:pPr>
      <w:r>
        <w:rPr/>
        <w:t>below,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discussion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RJIES’</w:t>
      </w:r>
      <w:r>
        <w:rPr>
          <w:spacing w:val="-4"/>
        </w:rPr>
        <w:t> </w:t>
      </w:r>
      <w:r>
        <w:rPr/>
        <w:t>path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legislative</w:t>
      </w:r>
      <w:r>
        <w:rPr>
          <w:spacing w:val="-5"/>
        </w:rPr>
        <w:t> </w:t>
      </w:r>
      <w:r>
        <w:rPr/>
        <w:t>approval.</w:t>
      </w:r>
    </w:p>
    <w:p>
      <w:pPr>
        <w:pStyle w:val="Heading8"/>
        <w:spacing w:before="146"/>
      </w:pPr>
      <w:r>
        <w:rPr/>
        <w:t>RJIES:</w:t>
      </w:r>
      <w:r>
        <w:rPr>
          <w:spacing w:val="-3"/>
        </w:rPr>
        <w:t> </w:t>
      </w:r>
      <w:r>
        <w:rPr/>
        <w:t>Legislative</w:t>
      </w:r>
      <w:r>
        <w:rPr>
          <w:spacing w:val="-4"/>
        </w:rPr>
        <w:t> </w:t>
      </w:r>
      <w:r>
        <w:rPr/>
        <w:t>initiative</w:t>
      </w:r>
    </w:p>
    <w:p>
      <w:pPr>
        <w:pStyle w:val="BodyText"/>
        <w:spacing w:line="271" w:lineRule="auto" w:before="152"/>
        <w:ind w:left="183" w:right="305"/>
        <w:jc w:val="both"/>
      </w:pPr>
      <w:r>
        <w:rPr/>
        <w:t>Following Portugal’s 2005 general election, a socialist majority government was formed. The Higher</w:t>
      </w:r>
      <w:r>
        <w:rPr>
          <w:spacing w:val="1"/>
        </w:rPr>
        <w:t> </w:t>
      </w:r>
      <w:r>
        <w:rPr/>
        <w:t>Education and Science Minister at the time, who had previously served as an influential Science Minister</w:t>
      </w:r>
      <w:r>
        <w:rPr>
          <w:spacing w:val="1"/>
        </w:rPr>
        <w:t> </w:t>
      </w:r>
      <w:r>
        <w:rPr/>
        <w:t>in the 1990s, had a significant role in advancing the reform agenda that ultimately took shape in RJIES.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some</w:t>
      </w:r>
      <w:r>
        <w:rPr>
          <w:spacing w:val="-13"/>
        </w:rPr>
        <w:t> </w:t>
      </w:r>
      <w:r>
        <w:rPr>
          <w:spacing w:val="-1"/>
        </w:rPr>
        <w:t>changes</w:t>
      </w:r>
      <w:r>
        <w:rPr>
          <w:spacing w:val="-9"/>
        </w:rPr>
        <w:t> </w:t>
      </w:r>
      <w:r>
        <w:rPr>
          <w:spacing w:val="-1"/>
        </w:rPr>
        <w:t>were</w:t>
      </w:r>
      <w:r>
        <w:rPr>
          <w:spacing w:val="-8"/>
        </w:rPr>
        <w:t> </w:t>
      </w:r>
      <w:r>
        <w:rPr/>
        <w:t>made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proposed</w:t>
      </w:r>
      <w:r>
        <w:rPr>
          <w:spacing w:val="-11"/>
        </w:rPr>
        <w:t> </w:t>
      </w:r>
      <w:r>
        <w:rPr/>
        <w:t>law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Parliament</w:t>
      </w:r>
      <w:r>
        <w:rPr>
          <w:spacing w:val="-13"/>
        </w:rPr>
        <w:t> </w:t>
      </w:r>
      <w:r>
        <w:rPr/>
        <w:t>(reducing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scale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initially</w:t>
      </w:r>
      <w:r>
        <w:rPr>
          <w:spacing w:val="-14"/>
        </w:rPr>
        <w:t> </w:t>
      </w:r>
      <w:r>
        <w:rPr/>
        <w:t>proposed</w:t>
      </w:r>
      <w:r>
        <w:rPr>
          <w:spacing w:val="1"/>
        </w:rPr>
        <w:t> </w:t>
      </w:r>
      <w:r>
        <w:rPr/>
        <w:t>external member involvement in HEI governance bodies), in general, the process was one of direct</w:t>
      </w:r>
      <w:r>
        <w:rPr>
          <w:spacing w:val="1"/>
        </w:rPr>
        <w:t> </w:t>
      </w:r>
      <w:r>
        <w:rPr/>
        <w:t>implementation of a set of reforms through legislative powers of a majority government. HE sector</w:t>
      </w:r>
      <w:r>
        <w:rPr>
          <w:spacing w:val="1"/>
        </w:rPr>
        <w:t> </w:t>
      </w:r>
      <w:r>
        <w:rPr/>
        <w:t>stakeholders interviewed by the OECD team noted that while parliamentary hearings were held, as well</w:t>
      </w:r>
      <w:r>
        <w:rPr>
          <w:spacing w:val="1"/>
        </w:rPr>
        <w:t> </w:t>
      </w:r>
      <w:r>
        <w:rPr/>
        <w:t>as local institutional debates and media dialogue, formal consultations surrounding the proposed law did</w:t>
      </w:r>
      <w:r>
        <w:rPr>
          <w:spacing w:val="1"/>
        </w:rPr>
        <w:t> </w:t>
      </w:r>
      <w:r>
        <w:rPr>
          <w:w w:val="95"/>
        </w:rPr>
        <w:t>not take place. RJIES sat as one among a range of public sector reform initiatives that were moving forward</w:t>
      </w:r>
      <w:r>
        <w:rPr>
          <w:spacing w:val="1"/>
          <w:w w:val="95"/>
        </w:rPr>
        <w:t> </w:t>
      </w:r>
      <w:r>
        <w:rPr/>
        <w:t>with</w:t>
      </w:r>
      <w:r>
        <w:rPr>
          <w:spacing w:val="-3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speed</w:t>
      </w:r>
      <w:r>
        <w:rPr>
          <w:spacing w:val="-1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time.</w:t>
      </w:r>
      <w:r>
        <w:rPr>
          <w:spacing w:val="-4"/>
        </w:rPr>
        <w:t> </w:t>
      </w:r>
      <w:r>
        <w:rPr/>
        <w:t>Others</w:t>
      </w:r>
      <w:r>
        <w:rPr>
          <w:spacing w:val="-4"/>
        </w:rPr>
        <w:t> </w:t>
      </w:r>
      <w:r>
        <w:rPr/>
        <w:t>focused,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basic</w:t>
      </w:r>
      <w:r>
        <w:rPr>
          <w:spacing w:val="-2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social</w:t>
      </w:r>
      <w:r>
        <w:rPr>
          <w:spacing w:val="-4"/>
        </w:rPr>
        <w:t> </w:t>
      </w:r>
      <w:r>
        <w:rPr/>
        <w:t>security.</w:t>
      </w:r>
    </w:p>
    <w:p>
      <w:pPr>
        <w:pStyle w:val="BodyText"/>
        <w:spacing w:line="271" w:lineRule="auto" w:before="123"/>
        <w:ind w:left="183" w:right="299"/>
        <w:jc w:val="both"/>
      </w:pPr>
      <w:r>
        <w:rPr/>
        <w:t>All opposition parties at the time opposed RJIES within the framework of debate over wider public sector</w:t>
      </w:r>
      <w:r>
        <w:rPr>
          <w:spacing w:val="1"/>
        </w:rPr>
        <w:t> </w:t>
      </w:r>
      <w:r>
        <w:rPr/>
        <w:t>reform initiatives. HE sector actors, including faculty and staff unions, as well as student organisations,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11"/>
        </w:rPr>
        <w:t> </w:t>
      </w:r>
      <w:r>
        <w:rPr>
          <w:spacing w:val="-1"/>
        </w:rPr>
        <w:t>opposed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law,</w:t>
      </w:r>
      <w:r>
        <w:rPr>
          <w:spacing w:val="-13"/>
        </w:rPr>
        <w:t> </w:t>
      </w:r>
      <w:r>
        <w:rPr>
          <w:spacing w:val="-1"/>
        </w:rPr>
        <w:t>fearing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it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>
          <w:spacing w:val="-1"/>
        </w:rPr>
        <w:t>motivated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/>
        <w:t>“privatisation</w:t>
      </w:r>
      <w:r>
        <w:rPr>
          <w:spacing w:val="-11"/>
        </w:rPr>
        <w:t> </w:t>
      </w:r>
      <w:r>
        <w:rPr/>
        <w:t>agenda”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that</w:t>
      </w:r>
      <w:r>
        <w:rPr>
          <w:spacing w:val="-13"/>
        </w:rPr>
        <w:t> </w:t>
      </w:r>
      <w:r>
        <w:rPr/>
        <w:t>reductions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faculty</w:t>
      </w:r>
      <w:r>
        <w:rPr>
          <w:spacing w:val="1"/>
        </w:rPr>
        <w:t> </w:t>
      </w:r>
      <w:r>
        <w:rPr/>
        <w:t>and student representation in governance bodies, which often featured a parity of representation, could</w:t>
      </w:r>
      <w:r>
        <w:rPr>
          <w:spacing w:val="1"/>
        </w:rPr>
        <w:t> </w:t>
      </w:r>
      <w:r>
        <w:rPr/>
        <w:t>foster inequality among students, staff and institutional management within HEIs (Kauko and Diogo,</w:t>
      </w:r>
      <w:r>
        <w:rPr>
          <w:spacing w:val="1"/>
        </w:rPr>
        <w:t> </w:t>
      </w:r>
      <w:r>
        <w:rPr>
          <w:position w:val="1"/>
        </w:rPr>
        <w:t>2012</w:t>
      </w:r>
      <w:r>
        <w:rPr>
          <w:sz w:val="13"/>
        </w:rPr>
        <w:t>[7]</w:t>
      </w:r>
      <w:r>
        <w:rPr>
          <w:position w:val="1"/>
        </w:rPr>
        <w:t>). HEI rectors, while largely in favour of streamlining institutional governance bodies and reducing</w:t>
      </w:r>
      <w:r>
        <w:rPr>
          <w:spacing w:val="1"/>
          <w:position w:val="1"/>
        </w:rPr>
        <w:t> </w:t>
      </w:r>
      <w:r>
        <w:rPr/>
        <w:t>their size, largely opposed RJIES. This opposition was based on concerns that the foundation status</w:t>
      </w:r>
      <w:r>
        <w:rPr>
          <w:spacing w:val="1"/>
        </w:rPr>
        <w:t> </w:t>
      </w:r>
      <w:r>
        <w:rPr/>
        <w:t>(further</w:t>
      </w:r>
      <w:r>
        <w:rPr>
          <w:spacing w:val="-12"/>
        </w:rPr>
        <w:t> </w:t>
      </w:r>
      <w:r>
        <w:rPr/>
        <w:t>discussed</w:t>
      </w:r>
      <w:r>
        <w:rPr>
          <w:spacing w:val="-13"/>
        </w:rPr>
        <w:t> </w:t>
      </w:r>
      <w:r>
        <w:rPr/>
        <w:t>below)</w:t>
      </w:r>
      <w:r>
        <w:rPr>
          <w:spacing w:val="-7"/>
        </w:rPr>
        <w:t> </w:t>
      </w:r>
      <w:r>
        <w:rPr/>
        <w:t>would</w:t>
      </w:r>
      <w:r>
        <w:rPr>
          <w:spacing w:val="-13"/>
        </w:rPr>
        <w:t> </w:t>
      </w:r>
      <w:r>
        <w:rPr/>
        <w:t>lead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two-tiered</w:t>
      </w:r>
      <w:r>
        <w:rPr>
          <w:spacing w:val="-13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elite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non-elite</w:t>
      </w:r>
      <w:r>
        <w:rPr>
          <w:spacing w:val="-10"/>
        </w:rPr>
        <w:t> </w:t>
      </w:r>
      <w:r>
        <w:rPr/>
        <w:t>institutions.</w:t>
      </w:r>
      <w:r>
        <w:rPr>
          <w:spacing w:val="-10"/>
        </w:rPr>
        <w:t> </w:t>
      </w:r>
      <w:r>
        <w:rPr/>
        <w:t>Stakeholders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>
          <w:spacing w:val="-13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OECD</w:t>
      </w:r>
      <w:r>
        <w:rPr>
          <w:spacing w:val="-10"/>
        </w:rPr>
        <w:t> </w:t>
      </w:r>
      <w:r>
        <w:rPr>
          <w:spacing w:val="-1"/>
        </w:rPr>
        <w:t>team</w:t>
      </w:r>
      <w:r>
        <w:rPr>
          <w:spacing w:val="-9"/>
        </w:rPr>
        <w:t> </w:t>
      </w:r>
      <w:r>
        <w:rPr>
          <w:spacing w:val="-1"/>
        </w:rPr>
        <w:t>report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key</w:t>
      </w:r>
      <w:r>
        <w:rPr>
          <w:spacing w:val="-14"/>
        </w:rPr>
        <w:t> </w:t>
      </w:r>
      <w:r>
        <w:rPr>
          <w:spacing w:val="-1"/>
        </w:rPr>
        <w:t>goal</w:t>
      </w:r>
      <w:r>
        <w:rPr>
          <w:spacing w:val="-14"/>
        </w:rPr>
        <w:t> </w:t>
      </w:r>
      <w:r>
        <w:rPr>
          <w:spacing w:val="-1"/>
        </w:rPr>
        <w:t>behind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introduction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foundation</w:t>
      </w:r>
      <w:r>
        <w:rPr>
          <w:spacing w:val="-14"/>
        </w:rPr>
        <w:t> </w:t>
      </w:r>
      <w:r>
        <w:rPr/>
        <w:t>status</w:t>
      </w:r>
      <w:r>
        <w:rPr>
          <w:spacing w:val="-12"/>
        </w:rPr>
        <w:t> </w:t>
      </w:r>
      <w:r>
        <w:rPr/>
        <w:t>option</w:t>
      </w:r>
      <w:r>
        <w:rPr>
          <w:spacing w:val="1"/>
        </w:rPr>
        <w:t> </w:t>
      </w:r>
      <w:r>
        <w:rPr/>
        <w:t>was the vision that Portugal’s largest universities would adopt the status and leverage it to advance</w:t>
      </w:r>
      <w:r>
        <w:rPr>
          <w:spacing w:val="1"/>
        </w:rPr>
        <w:t> </w:t>
      </w:r>
      <w:r>
        <w:rPr/>
        <w:t>internationalisation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outputs.</w:t>
      </w:r>
    </w:p>
    <w:p>
      <w:pPr>
        <w:pStyle w:val="BodyText"/>
        <w:spacing w:line="271" w:lineRule="auto" w:before="121"/>
        <w:ind w:left="183" w:right="306"/>
        <w:jc w:val="both"/>
      </w:pPr>
      <w:r>
        <w:rPr/>
        <w:t>While</w:t>
      </w:r>
      <w:r>
        <w:rPr>
          <w:spacing w:val="-8"/>
        </w:rPr>
        <w:t> </w:t>
      </w:r>
      <w:r>
        <w:rPr/>
        <w:t>progress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evident,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merit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core</w:t>
      </w:r>
      <w:r>
        <w:rPr>
          <w:spacing w:val="-6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RJIES,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HEI</w:t>
      </w:r>
      <w:r>
        <w:rPr>
          <w:spacing w:val="-4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reforms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foundation</w:t>
      </w:r>
      <w:r>
        <w:rPr>
          <w:spacing w:val="-8"/>
        </w:rPr>
        <w:t> </w:t>
      </w:r>
      <w:r>
        <w:rPr/>
        <w:t>status,</w:t>
      </w:r>
      <w:r>
        <w:rPr>
          <w:spacing w:val="-10"/>
        </w:rPr>
        <w:t> </w:t>
      </w:r>
      <w:r>
        <w:rPr/>
        <w:t>continues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controversial</w:t>
      </w:r>
      <w:r>
        <w:rPr>
          <w:spacing w:val="-8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HE</w:t>
      </w:r>
      <w:r>
        <w:rPr>
          <w:spacing w:val="-10"/>
        </w:rPr>
        <w:t> </w:t>
      </w:r>
      <w:r>
        <w:rPr/>
        <w:t>sector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within</w:t>
      </w:r>
      <w:r>
        <w:rPr>
          <w:spacing w:val="-9"/>
        </w:rPr>
        <w:t> </w:t>
      </w:r>
      <w:r>
        <w:rPr/>
        <w:t>wider</w:t>
      </w:r>
      <w:r>
        <w:rPr>
          <w:spacing w:val="-9"/>
        </w:rPr>
        <w:t> </w:t>
      </w:r>
      <w:r>
        <w:rPr/>
        <w:t>political</w:t>
      </w:r>
      <w:r>
        <w:rPr>
          <w:spacing w:val="-10"/>
        </w:rPr>
        <w:t> </w:t>
      </w:r>
      <w:r>
        <w:rPr/>
        <w:t>debates</w:t>
      </w:r>
      <w:r>
        <w:rPr>
          <w:spacing w:val="-53"/>
        </w:rPr>
        <w:t> </w:t>
      </w:r>
      <w:r>
        <w:rPr/>
        <w:t>in</w:t>
      </w:r>
      <w:r>
        <w:rPr>
          <w:spacing w:val="1"/>
        </w:rPr>
        <w:t> </w:t>
      </w:r>
      <w:r>
        <w:rPr/>
        <w:t>Portugal.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regime’s</w:t>
      </w:r>
      <w:r>
        <w:rPr>
          <w:spacing w:val="1"/>
        </w:rPr>
        <w:t> </w:t>
      </w:r>
      <w:r>
        <w:rPr/>
        <w:t>legacy.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RJIES’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HEI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discussed.</w:t>
      </w:r>
    </w:p>
    <w:p>
      <w:pPr>
        <w:pStyle w:val="Heading8"/>
        <w:spacing w:before="119"/>
      </w:pPr>
      <w:r>
        <w:rPr/>
        <w:t>Governance</w:t>
      </w:r>
      <w:r>
        <w:rPr>
          <w:spacing w:val="-5"/>
        </w:rPr>
        <w:t> </w:t>
      </w:r>
      <w:r>
        <w:rPr/>
        <w:t>changes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HEIs</w:t>
      </w:r>
      <w:r>
        <w:rPr>
          <w:spacing w:val="-4"/>
        </w:rPr>
        <w:t> </w:t>
      </w:r>
      <w:r>
        <w:rPr/>
        <w:t>under RJIES</w:t>
      </w:r>
    </w:p>
    <w:p>
      <w:pPr>
        <w:pStyle w:val="BodyText"/>
        <w:spacing w:line="271" w:lineRule="auto" w:before="151"/>
        <w:ind w:left="183" w:right="310"/>
        <w:jc w:val="both"/>
      </w:pPr>
      <w:r>
        <w:rPr>
          <w:spacing w:val="-1"/>
        </w:rPr>
        <w:t>RJIES</w:t>
      </w:r>
      <w:r>
        <w:rPr>
          <w:spacing w:val="-12"/>
        </w:rPr>
        <w:t> </w:t>
      </w:r>
      <w:r>
        <w:rPr>
          <w:spacing w:val="-1"/>
        </w:rPr>
        <w:t>resulted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institutional</w:t>
      </w:r>
      <w:r>
        <w:rPr>
          <w:spacing w:val="-13"/>
        </w:rPr>
        <w:t> </w:t>
      </w:r>
      <w:r>
        <w:rPr>
          <w:spacing w:val="-1"/>
        </w:rPr>
        <w:t>governance</w:t>
      </w:r>
      <w:r>
        <w:rPr>
          <w:spacing w:val="-12"/>
        </w:rPr>
        <w:t> </w:t>
      </w:r>
      <w:r>
        <w:rPr>
          <w:spacing w:val="-1"/>
        </w:rPr>
        <w:t>changes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9"/>
        </w:rPr>
        <w:t> </w:t>
      </w:r>
      <w:r>
        <w:rPr>
          <w:spacing w:val="-1"/>
        </w:rPr>
        <w:t>HEIs,</w:t>
      </w:r>
      <w:r>
        <w:rPr>
          <w:spacing w:val="-9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reform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elected</w:t>
      </w:r>
      <w:r>
        <w:rPr>
          <w:spacing w:val="-1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bodies and in the selection of</w:t>
      </w:r>
      <w:r>
        <w:rPr>
          <w:spacing w:val="1"/>
        </w:rPr>
        <w:t> </w:t>
      </w:r>
      <w:r>
        <w:rPr/>
        <w:t>rectors</w:t>
      </w:r>
      <w:r>
        <w:rPr>
          <w:spacing w:val="1"/>
        </w:rPr>
        <w:t> </w:t>
      </w:r>
      <w:r>
        <w:rPr/>
        <w:t>(in the case of</w:t>
      </w:r>
      <w:r>
        <w:rPr>
          <w:spacing w:val="1"/>
        </w:rPr>
        <w:t> </w:t>
      </w:r>
      <w:r>
        <w:rPr/>
        <w:t>universities) and presidents (in the case of</w:t>
      </w:r>
      <w:r>
        <w:rPr>
          <w:spacing w:val="1"/>
        </w:rPr>
        <w:t> </w:t>
      </w:r>
      <w:r>
        <w:rPr/>
        <w:t>polytechnics).</w:t>
      </w:r>
    </w:p>
    <w:p>
      <w:pPr>
        <w:pStyle w:val="BodyText"/>
        <w:spacing w:before="121"/>
        <w:ind w:left="183"/>
        <w:jc w:val="both"/>
      </w:pPr>
      <w:r>
        <w:rPr/>
        <w:t>The functions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former</w:t>
      </w:r>
      <w:r>
        <w:rPr>
          <w:spacing w:val="2"/>
        </w:rPr>
        <w:t> </w:t>
      </w:r>
      <w:r>
        <w:rPr/>
        <w:t>HEI</w:t>
      </w:r>
      <w:r>
        <w:rPr>
          <w:spacing w:val="1"/>
        </w:rPr>
        <w:t> </w:t>
      </w:r>
      <w:r>
        <w:rPr/>
        <w:t>assemblies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senates</w:t>
      </w:r>
      <w:r>
        <w:rPr>
          <w:spacing w:val="4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 cumulatively</w:t>
      </w:r>
      <w:r>
        <w:rPr>
          <w:spacing w:val="1"/>
        </w:rPr>
        <w:t> </w:t>
      </w:r>
      <w:r>
        <w:rPr/>
        <w:t>have hundreds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members</w:t>
      </w:r>
    </w:p>
    <w:p>
      <w:pPr>
        <w:pStyle w:val="BodyText"/>
        <w:spacing w:line="271" w:lineRule="auto" w:before="32"/>
        <w:ind w:left="183" w:right="304"/>
        <w:jc w:val="both"/>
      </w:pPr>
      <w:r>
        <w:rPr/>
        <w:t>were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unicameral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councils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legislation, general councils are composed of 15-35 members according to the size and structure of the</w:t>
      </w:r>
      <w:r>
        <w:rPr>
          <w:spacing w:val="1"/>
        </w:rPr>
        <w:t> </w:t>
      </w:r>
      <w:r>
        <w:rPr/>
        <w:t>institution. While staff-student parity was previously practiced within many HEI governance bodies, under</w:t>
      </w:r>
      <w:r>
        <w:rPr>
          <w:spacing w:val="-53"/>
        </w:rPr>
        <w:t> </w:t>
      </w:r>
      <w:r>
        <w:rPr/>
        <w:t>the legislation, a minimum of only 15% of general council members have to be students (elected by their</w:t>
      </w:r>
      <w:r>
        <w:rPr>
          <w:spacing w:val="1"/>
        </w:rPr>
        <w:t> </w:t>
      </w:r>
      <w:r>
        <w:rPr/>
        <w:t>peers).</w:t>
      </w:r>
      <w:r>
        <w:rPr>
          <w:spacing w:val="-9"/>
        </w:rPr>
        <w:t> </w:t>
      </w:r>
      <w:r>
        <w:rPr/>
        <w:t>Professors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researchers</w:t>
      </w:r>
      <w:r>
        <w:rPr>
          <w:spacing w:val="-7"/>
        </w:rPr>
        <w:t> </w:t>
      </w:r>
      <w:r>
        <w:rPr/>
        <w:t>(elected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their</w:t>
      </w:r>
      <w:r>
        <w:rPr>
          <w:spacing w:val="-8"/>
        </w:rPr>
        <w:t> </w:t>
      </w:r>
      <w:r>
        <w:rPr/>
        <w:t>peers)</w:t>
      </w:r>
      <w:r>
        <w:rPr>
          <w:spacing w:val="-10"/>
        </w:rPr>
        <w:t> </w:t>
      </w:r>
      <w:r>
        <w:rPr/>
        <w:t>must</w:t>
      </w:r>
      <w:r>
        <w:rPr>
          <w:spacing w:val="-9"/>
        </w:rPr>
        <w:t> </w:t>
      </w:r>
      <w:r>
        <w:rPr/>
        <w:t>account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than</w:t>
      </w:r>
      <w:r>
        <w:rPr>
          <w:spacing w:val="-7"/>
        </w:rPr>
        <w:t> </w:t>
      </w:r>
      <w:r>
        <w:rPr/>
        <w:t>half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council. While representation of community actors from outside of the HEI (such as employers) was</w:t>
      </w:r>
      <w:r>
        <w:rPr>
          <w:spacing w:val="1"/>
        </w:rPr>
        <w:t> </w:t>
      </w:r>
      <w:r>
        <w:rPr/>
        <w:t>previously possible (about half of universities previously had external representations in senates, ranging</w:t>
      </w:r>
      <w:r>
        <w:rPr>
          <w:spacing w:val="-53"/>
        </w:rPr>
        <w:t> </w:t>
      </w:r>
      <w:r>
        <w:rPr>
          <w:position w:val="1"/>
        </w:rPr>
        <w:t>from</w:t>
      </w:r>
      <w:r>
        <w:rPr>
          <w:spacing w:val="-4"/>
          <w:position w:val="1"/>
        </w:rPr>
        <w:t> </w:t>
      </w:r>
      <w:r>
        <w:rPr>
          <w:position w:val="1"/>
        </w:rPr>
        <w:t>3%</w:t>
      </w:r>
      <w:r>
        <w:rPr>
          <w:spacing w:val="-8"/>
          <w:position w:val="1"/>
        </w:rPr>
        <w:t> </w:t>
      </w:r>
      <w:r>
        <w:rPr>
          <w:position w:val="1"/>
        </w:rPr>
        <w:t>to</w:t>
      </w:r>
      <w:r>
        <w:rPr>
          <w:spacing w:val="-8"/>
          <w:position w:val="1"/>
        </w:rPr>
        <w:t> </w:t>
      </w:r>
      <w:r>
        <w:rPr>
          <w:position w:val="1"/>
        </w:rPr>
        <w:t>12%</w:t>
      </w:r>
      <w:r>
        <w:rPr>
          <w:spacing w:val="-6"/>
          <w:position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members;</w:t>
      </w:r>
      <w:r>
        <w:rPr>
          <w:spacing w:val="-5"/>
          <w:position w:val="1"/>
        </w:rPr>
        <w:t> </w:t>
      </w:r>
      <w:r>
        <w:rPr>
          <w:position w:val="1"/>
        </w:rPr>
        <w:t>see</w:t>
      </w:r>
      <w:r>
        <w:rPr>
          <w:spacing w:val="-8"/>
          <w:position w:val="1"/>
        </w:rPr>
        <w:t> </w:t>
      </w:r>
      <w:r>
        <w:rPr>
          <w:position w:val="1"/>
        </w:rPr>
        <w:t>(OECD,</w:t>
      </w:r>
      <w:r>
        <w:rPr>
          <w:spacing w:val="-6"/>
          <w:position w:val="1"/>
        </w:rPr>
        <w:t> </w:t>
      </w:r>
      <w:r>
        <w:rPr>
          <w:position w:val="1"/>
        </w:rPr>
        <w:t>2007</w:t>
      </w:r>
      <w:r>
        <w:rPr>
          <w:sz w:val="13"/>
        </w:rPr>
        <w:t>[13]</w:t>
      </w:r>
      <w:r>
        <w:rPr>
          <w:position w:val="1"/>
        </w:rPr>
        <w:t>)),</w:t>
      </w:r>
      <w:r>
        <w:rPr>
          <w:spacing w:val="-8"/>
          <w:position w:val="1"/>
        </w:rPr>
        <w:t> </w:t>
      </w:r>
      <w:r>
        <w:rPr>
          <w:position w:val="1"/>
        </w:rPr>
        <w:t>RJIES</w:t>
      </w:r>
      <w:r>
        <w:rPr>
          <w:spacing w:val="-8"/>
          <w:position w:val="1"/>
        </w:rPr>
        <w:t> </w:t>
      </w:r>
      <w:r>
        <w:rPr>
          <w:position w:val="1"/>
        </w:rPr>
        <w:t>mandated</w:t>
      </w:r>
      <w:r>
        <w:rPr>
          <w:spacing w:val="-6"/>
          <w:position w:val="1"/>
        </w:rPr>
        <w:t> </w:t>
      </w:r>
      <w:r>
        <w:rPr>
          <w:position w:val="1"/>
        </w:rPr>
        <w:t>that</w:t>
      </w:r>
      <w:r>
        <w:rPr>
          <w:spacing w:val="-6"/>
          <w:position w:val="1"/>
        </w:rPr>
        <w:t> </w:t>
      </w:r>
      <w:r>
        <w:rPr>
          <w:position w:val="1"/>
        </w:rPr>
        <w:t>at</w:t>
      </w:r>
      <w:r>
        <w:rPr>
          <w:spacing w:val="-7"/>
          <w:position w:val="1"/>
        </w:rPr>
        <w:t> </w:t>
      </w:r>
      <w:r>
        <w:rPr>
          <w:position w:val="1"/>
        </w:rPr>
        <w:t>least</w:t>
      </w:r>
      <w:r>
        <w:rPr>
          <w:spacing w:val="-6"/>
          <w:position w:val="1"/>
        </w:rPr>
        <w:t> </w:t>
      </w:r>
      <w:r>
        <w:rPr>
          <w:position w:val="1"/>
        </w:rPr>
        <w:t>30%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-7"/>
          <w:position w:val="1"/>
        </w:rPr>
        <w:t> </w:t>
      </w:r>
      <w:r>
        <w:rPr>
          <w:position w:val="1"/>
        </w:rPr>
        <w:t>general</w:t>
      </w:r>
      <w:r>
        <w:rPr>
          <w:spacing w:val="-9"/>
          <w:position w:val="1"/>
        </w:rPr>
        <w:t> </w:t>
      </w:r>
      <w:r>
        <w:rPr>
          <w:position w:val="1"/>
        </w:rPr>
        <w:t>council</w:t>
      </w:r>
      <w:r>
        <w:rPr>
          <w:spacing w:val="-53"/>
          <w:position w:val="1"/>
        </w:rPr>
        <w:t> </w:t>
      </w:r>
      <w:r>
        <w:rPr/>
        <w:t>members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“external</w:t>
      </w:r>
      <w:r>
        <w:rPr>
          <w:spacing w:val="-4"/>
        </w:rPr>
        <w:t> </w:t>
      </w:r>
      <w:r>
        <w:rPr/>
        <w:t>people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recognised</w:t>
      </w:r>
      <w:r>
        <w:rPr>
          <w:spacing w:val="-2"/>
        </w:rPr>
        <w:t> </w:t>
      </w:r>
      <w:r>
        <w:rPr/>
        <w:t>merit…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knowledge and</w:t>
      </w:r>
      <w:r>
        <w:rPr>
          <w:spacing w:val="-3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2"/>
        <w:jc w:val="both"/>
      </w:pPr>
      <w:r>
        <w:rPr/>
        <w:t>institution”. These external members are nominated and selected by a vote of the internal student and</w:t>
      </w:r>
      <w:r>
        <w:rPr>
          <w:spacing w:val="1"/>
        </w:rPr>
        <w:t> </w:t>
      </w:r>
      <w:r>
        <w:rPr>
          <w:position w:val="1"/>
        </w:rPr>
        <w:t>academic</w:t>
      </w:r>
      <w:r>
        <w:rPr>
          <w:spacing w:val="-6"/>
          <w:position w:val="1"/>
        </w:rPr>
        <w:t> </w:t>
      </w:r>
      <w:r>
        <w:rPr>
          <w:position w:val="1"/>
        </w:rPr>
        <w:t>general</w:t>
      </w:r>
      <w:r>
        <w:rPr>
          <w:spacing w:val="-7"/>
          <w:position w:val="1"/>
        </w:rPr>
        <w:t> </w:t>
      </w:r>
      <w:r>
        <w:rPr>
          <w:position w:val="1"/>
        </w:rPr>
        <w:t>council</w:t>
      </w:r>
      <w:r>
        <w:rPr>
          <w:spacing w:val="-6"/>
          <w:position w:val="1"/>
        </w:rPr>
        <w:t> </w:t>
      </w:r>
      <w:r>
        <w:rPr>
          <w:position w:val="1"/>
        </w:rPr>
        <w:t>members</w:t>
      </w:r>
      <w:r>
        <w:rPr>
          <w:spacing w:val="-3"/>
          <w:position w:val="1"/>
        </w:rPr>
        <w:t> </w:t>
      </w:r>
      <w:r>
        <w:rPr>
          <w:position w:val="1"/>
        </w:rPr>
        <w:t>(Government</w:t>
      </w:r>
      <w:r>
        <w:rPr>
          <w:spacing w:val="-6"/>
          <w:position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Portugal,</w:t>
      </w:r>
      <w:r>
        <w:rPr>
          <w:spacing w:val="-6"/>
          <w:position w:val="1"/>
        </w:rPr>
        <w:t> </w:t>
      </w:r>
      <w:r>
        <w:rPr>
          <w:position w:val="1"/>
        </w:rPr>
        <w:t>2007</w:t>
      </w:r>
      <w:r>
        <w:rPr>
          <w:sz w:val="13"/>
        </w:rPr>
        <w:t>[14]</w:t>
      </w:r>
      <w:r>
        <w:rPr>
          <w:position w:val="1"/>
        </w:rPr>
        <w:t>).</w:t>
      </w:r>
      <w:r>
        <w:rPr>
          <w:spacing w:val="-7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chair</w:t>
      </w:r>
      <w:r>
        <w:rPr>
          <w:spacing w:val="-7"/>
          <w:position w:val="1"/>
        </w:rPr>
        <w:t> </w:t>
      </w:r>
      <w:r>
        <w:rPr>
          <w:position w:val="1"/>
        </w:rPr>
        <w:t>of</w:t>
      </w:r>
      <w:r>
        <w:rPr>
          <w:spacing w:val="-5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general</w:t>
      </w:r>
      <w:r>
        <w:rPr>
          <w:spacing w:val="-8"/>
          <w:position w:val="1"/>
        </w:rPr>
        <w:t> </w:t>
      </w:r>
      <w:r>
        <w:rPr>
          <w:position w:val="1"/>
        </w:rPr>
        <w:t>council</w:t>
      </w:r>
      <w:r>
        <w:rPr>
          <w:spacing w:val="-5"/>
          <w:position w:val="1"/>
        </w:rPr>
        <w:t> </w:t>
      </w:r>
      <w:r>
        <w:rPr>
          <w:position w:val="1"/>
        </w:rPr>
        <w:t>is</w:t>
      </w:r>
      <w:r>
        <w:rPr>
          <w:spacing w:val="1"/>
          <w:position w:val="1"/>
        </w:rPr>
        <w:t> </w:t>
      </w:r>
      <w:r>
        <w:rPr/>
        <w:t>selected by a vote of all general council members, but must be one of the external (non-academic, non-</w:t>
      </w:r>
      <w:r>
        <w:rPr>
          <w:spacing w:val="1"/>
        </w:rPr>
        <w:t> </w:t>
      </w:r>
      <w:r>
        <w:rPr>
          <w:position w:val="1"/>
        </w:rPr>
        <w:t>student)</w:t>
      </w:r>
      <w:r>
        <w:rPr>
          <w:spacing w:val="-1"/>
          <w:position w:val="1"/>
        </w:rPr>
        <w:t> </w:t>
      </w:r>
      <w:r>
        <w:rPr>
          <w:position w:val="1"/>
        </w:rPr>
        <w:t>council</w:t>
      </w:r>
      <w:r>
        <w:rPr>
          <w:spacing w:val="-2"/>
          <w:position w:val="1"/>
        </w:rPr>
        <w:t> </w:t>
      </w:r>
      <w:r>
        <w:rPr>
          <w:position w:val="1"/>
        </w:rPr>
        <w:t>members (Government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Portugal,</w:t>
      </w:r>
      <w:r>
        <w:rPr>
          <w:spacing w:val="-2"/>
          <w:position w:val="1"/>
        </w:rPr>
        <w:t> </w:t>
      </w:r>
      <w:r>
        <w:rPr>
          <w:position w:val="1"/>
        </w:rPr>
        <w:t>2007</w:t>
      </w:r>
      <w:r>
        <w:rPr>
          <w:sz w:val="13"/>
        </w:rPr>
        <w:t>[14]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3"/>
        <w:jc w:val="both"/>
      </w:pPr>
      <w:r>
        <w:rPr/>
        <w:t>Under RJIES, university rectors and polytechnic presidents are elected by the general council through a</w:t>
      </w:r>
      <w:r>
        <w:rPr>
          <w:spacing w:val="1"/>
        </w:rPr>
        <w:t> </w:t>
      </w:r>
      <w:r>
        <w:rPr/>
        <w:t>secret ballot. This follows public announcement of openings, submission of applications and public</w:t>
      </w:r>
      <w:r>
        <w:rPr>
          <w:spacing w:val="1"/>
        </w:rPr>
        <w:t> </w:t>
      </w:r>
      <w:r>
        <w:rPr/>
        <w:t>hearings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candidates.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case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universities,</w:t>
      </w:r>
      <w:r>
        <w:rPr>
          <w:spacing w:val="-9"/>
        </w:rPr>
        <w:t> </w:t>
      </w:r>
      <w:r>
        <w:rPr/>
        <w:t>rectors</w:t>
      </w:r>
      <w:r>
        <w:rPr>
          <w:spacing w:val="-7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8"/>
        </w:rPr>
        <w:t> </w:t>
      </w:r>
      <w:r>
        <w:rPr/>
        <w:t>professors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researchers</w:t>
      </w:r>
      <w:r>
        <w:rPr>
          <w:spacing w:val="-8"/>
        </w:rPr>
        <w:t> </w:t>
      </w:r>
      <w:r>
        <w:rPr/>
        <w:t>from</w:t>
      </w:r>
      <w:r>
        <w:rPr>
          <w:spacing w:val="-5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institution or from other Portuguese or international institutions. For polytechnics, the role of president</w:t>
      </w:r>
      <w:r>
        <w:rPr>
          <w:spacing w:val="-53"/>
        </w:rPr>
        <w:t> </w:t>
      </w:r>
      <w:r>
        <w:rPr/>
        <w:t>is also open to non-academics who have relevant professional experience (Government of Portugal,</w:t>
      </w:r>
      <w:r>
        <w:rPr>
          <w:spacing w:val="1"/>
        </w:rPr>
        <w:t> </w:t>
      </w:r>
      <w:r>
        <w:rPr>
          <w:position w:val="1"/>
        </w:rPr>
        <w:t>2007</w:t>
      </w:r>
      <w:r>
        <w:rPr>
          <w:sz w:val="13"/>
        </w:rPr>
        <w:t>[14]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5"/>
        <w:jc w:val="both"/>
      </w:pPr>
      <w:r>
        <w:rPr/>
        <w:t>As will be further discussed, RJIES opened the possibility for institutions to attain “foundation status”. For</w:t>
      </w:r>
      <w:r>
        <w:rPr>
          <w:spacing w:val="-53"/>
        </w:rPr>
        <w:t> </w:t>
      </w:r>
      <w:r>
        <w:rPr/>
        <w:t>institutions that attain foundation status, a further governance body, the board of trustees, is created. The</w:t>
      </w:r>
      <w:r>
        <w:rPr>
          <w:spacing w:val="-53"/>
        </w:rPr>
        <w:t> </w:t>
      </w:r>
      <w:r>
        <w:rPr/>
        <w:t>board of trustees is a five-member body sitting above the general council, which is appointed by the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-15"/>
        </w:rPr>
        <w:t> </w:t>
      </w:r>
      <w:r>
        <w:rPr>
          <w:spacing w:val="-1"/>
        </w:rPr>
        <w:t>upon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advice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general</w:t>
      </w:r>
      <w:r>
        <w:rPr>
          <w:spacing w:val="-13"/>
        </w:rPr>
        <w:t> </w:t>
      </w:r>
      <w:r>
        <w:rPr>
          <w:spacing w:val="-1"/>
        </w:rPr>
        <w:t>council.</w:t>
      </w:r>
      <w:r>
        <w:rPr>
          <w:spacing w:val="-13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role</w:t>
      </w:r>
      <w:r>
        <w:rPr>
          <w:spacing w:val="-12"/>
        </w:rPr>
        <w:t> </w:t>
      </w:r>
      <w:r>
        <w:rPr>
          <w:spacing w:val="-1"/>
        </w:rPr>
        <w:t>lies</w:t>
      </w:r>
      <w:r>
        <w:rPr>
          <w:spacing w:val="-12"/>
        </w:rPr>
        <w:t> </w:t>
      </w:r>
      <w:r>
        <w:rPr>
          <w:spacing w:val="-1"/>
        </w:rPr>
        <w:t>primarily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ratifying</w:t>
      </w:r>
      <w:r>
        <w:rPr>
          <w:spacing w:val="-13"/>
        </w:rPr>
        <w:t> </w:t>
      </w:r>
      <w:r>
        <w:rPr/>
        <w:t>decisions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set by the general council, some of which, in the case of non-foundation universities, would be subject to</w:t>
      </w:r>
      <w:r>
        <w:rPr>
          <w:spacing w:val="1"/>
        </w:rPr>
        <w:t> </w:t>
      </w:r>
      <w:r>
        <w:rPr/>
        <w:t>ministerial</w:t>
      </w:r>
      <w:r>
        <w:rPr>
          <w:spacing w:val="-1"/>
        </w:rPr>
        <w:t> </w:t>
      </w:r>
      <w:r>
        <w:rPr/>
        <w:t>approval.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At the level of teaching and research units within institutions (faculties), a single-member executive is</w:t>
      </w:r>
      <w:r>
        <w:rPr>
          <w:spacing w:val="1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who</w:t>
      </w:r>
      <w:r>
        <w:rPr>
          <w:spacing w:val="-9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9"/>
        </w:rPr>
        <w:t> </w:t>
      </w:r>
      <w:r>
        <w:rPr/>
        <w:t>appointed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rector,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8"/>
        </w:rPr>
        <w:t> </w:t>
      </w:r>
      <w:r>
        <w:rPr/>
        <w:t>selected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representative</w:t>
      </w:r>
      <w:r>
        <w:rPr>
          <w:spacing w:val="-8"/>
        </w:rPr>
        <w:t> </w:t>
      </w:r>
      <w:r>
        <w:rPr/>
        <w:t>collegiate</w:t>
      </w:r>
      <w:r>
        <w:rPr>
          <w:spacing w:val="-7"/>
        </w:rPr>
        <w:t> </w:t>
      </w:r>
      <w:r>
        <w:rPr/>
        <w:t>body,</w:t>
      </w:r>
      <w:r>
        <w:rPr>
          <w:spacing w:val="1"/>
        </w:rPr>
        <w:t> </w:t>
      </w:r>
      <w:r>
        <w:rPr/>
        <w:t>the composition of which is outlined in RJIES. Such representative bodies are generally in place. Prior to</w:t>
      </w:r>
      <w:r>
        <w:rPr>
          <w:spacing w:val="1"/>
        </w:rPr>
        <w:t> </w:t>
      </w:r>
      <w:r>
        <w:rPr/>
        <w:t>RJIES, large collegiate bodies at the teaching and research unit level collectively held managerial</w:t>
      </w:r>
      <w:r>
        <w:rPr>
          <w:spacing w:val="1"/>
        </w:rPr>
        <w:t> </w:t>
      </w:r>
      <w:r>
        <w:rPr>
          <w:spacing w:val="-1"/>
        </w:rPr>
        <w:t>responsibilities.</w:t>
      </w:r>
      <w:r>
        <w:rPr>
          <w:spacing w:val="-11"/>
        </w:rPr>
        <w:t> </w:t>
      </w:r>
      <w:r>
        <w:rPr>
          <w:spacing w:val="-1"/>
        </w:rPr>
        <w:t>Stakeholders</w:t>
      </w:r>
      <w:r>
        <w:rPr>
          <w:spacing w:val="-12"/>
        </w:rPr>
        <w:t> </w:t>
      </w:r>
      <w:r>
        <w:rPr>
          <w:spacing w:val="-1"/>
        </w:rPr>
        <w:t>interviewed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OECD</w:t>
      </w:r>
      <w:r>
        <w:rPr>
          <w:spacing w:val="-10"/>
        </w:rPr>
        <w:t> </w:t>
      </w:r>
      <w:r>
        <w:rPr>
          <w:spacing w:val="-1"/>
        </w:rPr>
        <w:t>team</w:t>
      </w:r>
      <w:r>
        <w:rPr>
          <w:spacing w:val="-8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13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pre-2007</w:t>
      </w:r>
      <w:r>
        <w:rPr>
          <w:spacing w:val="-1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approach, decisions on matters including the career progression of individual faculty members could be</w:t>
      </w:r>
      <w:r>
        <w:rPr>
          <w:spacing w:val="1"/>
        </w:rPr>
        <w:t> </w:t>
      </w:r>
      <w:r>
        <w:rPr/>
        <w:t>subject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decision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faculty</w:t>
      </w:r>
      <w:r>
        <w:rPr>
          <w:spacing w:val="-4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bodies with</w:t>
      </w:r>
      <w:r>
        <w:rPr>
          <w:spacing w:val="-3"/>
        </w:rPr>
        <w:t> </w:t>
      </w:r>
      <w:r>
        <w:rPr/>
        <w:t>memberships</w:t>
      </w:r>
      <w:r>
        <w:rPr>
          <w:spacing w:val="-2"/>
        </w:rPr>
        <w:t> </w:t>
      </w:r>
      <w:r>
        <w:rPr/>
        <w:t>numbering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hundreds.</w:t>
      </w:r>
    </w:p>
    <w:p>
      <w:pPr>
        <w:pStyle w:val="BodyText"/>
        <w:spacing w:line="271" w:lineRule="auto" w:before="120"/>
        <w:ind w:left="183" w:right="305"/>
        <w:jc w:val="both"/>
      </w:pPr>
      <w:r>
        <w:rPr/>
        <w:t>Under RJIES, similar HEI governance changes were made for both universities and polytechnics. For</w:t>
      </w:r>
      <w:r>
        <w:rPr>
          <w:spacing w:val="1"/>
        </w:rPr>
        <w:t> </w:t>
      </w:r>
      <w:r>
        <w:rPr/>
        <w:t>illustrative purposes, </w:t>
      </w:r>
      <w:hyperlink w:history="true" w:anchor="_bookmark60">
        <w:r>
          <w:rPr/>
          <w:t>Table A A.2 </w:t>
        </w:r>
      </w:hyperlink>
      <w:r>
        <w:rPr/>
        <w:t>(also included in the main report as Table 3.8) surveys HEI governance</w:t>
      </w:r>
      <w:r>
        <w:rPr>
          <w:spacing w:val="-53"/>
        </w:rPr>
        <w:t> </w:t>
      </w:r>
      <w:r>
        <w:rPr/>
        <w:t>changes made by RJIES, compared to before the legislation was passed, from the vantage point of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spacing w:before="1"/>
        <w:rPr>
          <w:sz w:val="29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60" w:id="175"/>
      <w:bookmarkEnd w:id="175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A.2.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University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governance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bodies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pre-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post-RJIES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(2007)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Portugal</w:t>
      </w:r>
    </w:p>
    <w:p>
      <w:pPr>
        <w:pStyle w:val="BodyText"/>
        <w:rPr>
          <w:rFonts w:ascii="Arial"/>
          <w:b/>
          <w:sz w:val="16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3"/>
        <w:gridCol w:w="4607"/>
      </w:tblGrid>
      <w:tr>
        <w:trPr>
          <w:trHeight w:val="239" w:hRule="atLeast"/>
        </w:trPr>
        <w:tc>
          <w:tcPr>
            <w:tcW w:w="4623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1930" w:right="188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Pre-RJIES</w:t>
            </w:r>
          </w:p>
        </w:tc>
        <w:tc>
          <w:tcPr>
            <w:tcW w:w="4607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0"/>
              <w:ind w:left="1871" w:right="185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Post-RJIES</w:t>
            </w:r>
          </w:p>
        </w:tc>
      </w:tr>
      <w:tr>
        <w:trPr>
          <w:trHeight w:val="1072" w:hRule="atLeast"/>
        </w:trPr>
        <w:tc>
          <w:tcPr>
            <w:tcW w:w="4623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 w:right="4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assembly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(64-331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14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largest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universities):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Primary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governance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body</w:t>
            </w:r>
          </w:p>
        </w:tc>
        <w:tc>
          <w:tcPr>
            <w:tcW w:w="460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18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General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council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composed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15-35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0" w:lineRule="atLeast" w:before="0"/>
              <w:ind w:left="114" w:right="93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In the case of foundation status institutions, board of trustees (five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members) sits above general council. It is appointed by the government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upon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recommendation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general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council.</w:t>
            </w:r>
          </w:p>
        </w:tc>
      </w:tr>
      <w:tr>
        <w:trPr>
          <w:trHeight w:val="429" w:hRule="atLeast"/>
        </w:trPr>
        <w:tc>
          <w:tcPr>
            <w:tcW w:w="4623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assembly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00" w:lineRule="atLeast" w:before="5"/>
              <w:ind w:left="114" w:right="8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general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council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(ratified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board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trustees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case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foundation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institutions).</w:t>
            </w:r>
          </w:p>
        </w:tc>
      </w:tr>
      <w:tr>
        <w:trPr>
          <w:trHeight w:val="428" w:hRule="atLeast"/>
        </w:trPr>
        <w:tc>
          <w:tcPr>
            <w:tcW w:w="4623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8"/>
              <w:ind w:left="136" w:right="4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1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assembly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contains</w:t>
            </w:r>
            <w:r>
              <w:rPr>
                <w:rFonts w:ascii="Microsoft Sans Serif"/>
                <w:spacing w:val="1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40%</w:t>
            </w:r>
            <w:r>
              <w:rPr>
                <w:rFonts w:ascii="Microsoft Sans Serif"/>
                <w:spacing w:val="2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staff,</w:t>
            </w:r>
            <w:r>
              <w:rPr>
                <w:rFonts w:ascii="Microsoft Sans Serif"/>
                <w:spacing w:val="1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40%</w:t>
            </w:r>
            <w:r>
              <w:rPr>
                <w:rFonts w:ascii="Microsoft Sans Serif"/>
                <w:spacing w:val="2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students,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20%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other</w:t>
            </w:r>
            <w:r>
              <w:rPr>
                <w:rFonts w:ascii="Microsoft Sans Serif"/>
                <w:spacing w:val="-2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staff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00" w:lineRule="atLeast" w:before="8"/>
              <w:ind w:left="114" w:right="80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pacing w:val="-1"/>
                <w:w w:val="85"/>
                <w:sz w:val="17"/>
              </w:rPr>
              <w:t>General council must have a majority </w:t>
            </w:r>
            <w:r>
              <w:rPr>
                <w:rFonts w:ascii="Microsoft Sans Serif"/>
                <w:w w:val="85"/>
                <w:sz w:val="17"/>
              </w:rPr>
              <w:t>of academic staff, 30% external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15%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students.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Internal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external.</w:t>
            </w:r>
          </w:p>
        </w:tc>
      </w:tr>
      <w:tr>
        <w:trPr>
          <w:trHeight w:val="1471" w:hRule="atLeast"/>
        </w:trPr>
        <w:tc>
          <w:tcPr>
            <w:tcW w:w="4623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 w:before="16"/>
              <w:ind w:left="136" w:right="85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Academic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senate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(36-179 members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14 largest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universities)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with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managerial authorities (e.g. budget proposals and annual accounts) –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could include up to 15% external members. Senates could include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faculty</w:t>
            </w:r>
            <w:r>
              <w:rPr>
                <w:rFonts w:ascii="Microsoft Sans Serif" w:hAns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w w:val="90"/>
                <w:sz w:val="17"/>
              </w:rPr>
              <w:t>representation.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136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council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responsible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current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financial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administration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 w:before="16"/>
              <w:ind w:left="114" w:right="91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Management council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(maximum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five members, chaired</w:t>
            </w:r>
            <w:r>
              <w:rPr>
                <w:rFonts w:ascii="Microsoft Sans Serif" w:hAnsi="Microsoft Sans Serif"/>
                <w:spacing w:val="27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and</w:t>
            </w:r>
            <w:r>
              <w:rPr>
                <w:rFonts w:ascii="Microsoft Sans Serif" w:hAnsi="Microsoft Sans Serif"/>
                <w:spacing w:val="27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appointed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by rector) holds authorities with respect to administration, finances,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90"/>
                <w:sz w:val="17"/>
              </w:rPr>
              <w:t>assets and human resources. </w:t>
            </w:r>
            <w:r>
              <w:rPr>
                <w:rFonts w:ascii="Microsoft Sans Serif" w:hAnsi="Microsoft Sans Serif"/>
                <w:w w:val="90"/>
                <w:sz w:val="17"/>
              </w:rPr>
              <w:t>In the case of foundation status</w:t>
            </w:r>
            <w:r>
              <w:rPr>
                <w:rFonts w:ascii="Microsoft Sans Serif" w:hAnsi="Microsoft Sans Serif"/>
                <w:spacing w:val="1"/>
                <w:w w:val="90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institutions, the board of trustees approves the </w:t>
            </w:r>
            <w:r>
              <w:rPr>
                <w:rFonts w:ascii="Microsoft Sans Serif" w:hAnsi="Microsoft Sans Serif"/>
                <w:w w:val="85"/>
                <w:sz w:val="17"/>
              </w:rPr>
              <w:t>rector’s recommended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appointments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to the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management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council.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Academic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senates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established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consultative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</w:t>
            </w:r>
          </w:p>
        </w:tc>
      </w:tr>
      <w:tr>
        <w:trPr>
          <w:trHeight w:val="1011" w:hRule="atLeast"/>
        </w:trPr>
        <w:tc>
          <w:tcPr>
            <w:tcW w:w="4623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 w:right="8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Collegiate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governance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bodies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were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mandated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at</w:t>
            </w:r>
            <w:r>
              <w:rPr>
                <w:rFonts w:ascii="Microsoft Sans Serif"/>
                <w:spacing w:val="7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7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faculty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level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by</w:t>
            </w:r>
            <w:r>
              <w:rPr>
                <w:rFonts w:ascii="Microsoft Sans Serif"/>
                <w:spacing w:val="-35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legislation,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held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managerial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authorities,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their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leadership</w:t>
            </w:r>
          </w:p>
        </w:tc>
        <w:tc>
          <w:tcPr>
            <w:tcW w:w="4607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91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Academic structures are decided by universities within their statutes.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 and research units must have a single-member executive.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They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may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have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representative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collegiate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body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(they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have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generally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chosen</w:t>
            </w:r>
            <w:r>
              <w:rPr>
                <w:rFonts w:ascii="Microsoft Sans Serif"/>
                <w:spacing w:val="-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to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do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so),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which</w:t>
            </w:r>
            <w:r>
              <w:rPr>
                <w:rFonts w:ascii="Microsoft Sans Serif"/>
                <w:spacing w:val="-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has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function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selecting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executive. If</w:t>
            </w:r>
          </w:p>
          <w:p>
            <w:pPr>
              <w:pStyle w:val="TableParagraph"/>
              <w:spacing w:line="176" w:lineRule="exact" w:before="0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there</w:t>
            </w:r>
            <w:r>
              <w:rPr>
                <w:rFonts w:ascii="Microsoft Sans Serif"/>
                <w:spacing w:val="2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is</w:t>
            </w:r>
            <w:r>
              <w:rPr>
                <w:rFonts w:ascii="Microsoft Sans Serif"/>
                <w:spacing w:val="2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2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representative</w:t>
            </w:r>
            <w:r>
              <w:rPr>
                <w:rFonts w:ascii="Microsoft Sans Serif"/>
                <w:spacing w:val="2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collegiate</w:t>
            </w:r>
            <w:r>
              <w:rPr>
                <w:rFonts w:ascii="Microsoft Sans Serif"/>
                <w:spacing w:val="2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body,</w:t>
            </w:r>
            <w:r>
              <w:rPr>
                <w:rFonts w:ascii="Microsoft Sans Serif"/>
                <w:spacing w:val="2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it</w:t>
            </w:r>
            <w:r>
              <w:rPr>
                <w:rFonts w:ascii="Microsoft Sans Serif"/>
                <w:spacing w:val="2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must</w:t>
            </w:r>
            <w:r>
              <w:rPr>
                <w:rFonts w:ascii="Microsoft Sans Serif"/>
                <w:spacing w:val="2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</w:t>
            </w:r>
            <w:r>
              <w:rPr>
                <w:rFonts w:ascii="Microsoft Sans Serif"/>
                <w:spacing w:val="2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15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</w:t>
            </w:r>
            <w:r>
              <w:rPr>
                <w:rFonts w:ascii="Microsoft Sans Serif"/>
                <w:spacing w:val="2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</w:p>
        </w:tc>
      </w:tr>
    </w:tbl>
    <w:p>
      <w:pPr>
        <w:spacing w:after="0" w:line="176" w:lineRule="exact"/>
        <w:jc w:val="both"/>
        <w:rPr>
          <w:rFonts w:ascii="Microsoft Sans Serif"/>
          <w:sz w:val="17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1"/>
        <w:rPr>
          <w:rFonts w:ascii="Arial"/>
          <w:b/>
          <w:sz w:val="8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3"/>
        <w:gridCol w:w="4607"/>
      </w:tblGrid>
      <w:tr>
        <w:trPr>
          <w:trHeight w:val="1040" w:hRule="atLeast"/>
        </w:trPr>
        <w:tc>
          <w:tcPr>
            <w:tcW w:w="4623" w:type="dxa"/>
            <w:tcBorders>
              <w:left w:val="nil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607" w:type="dxa"/>
            <w:tcBorders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54" w:lineRule="auto" w:before="3"/>
              <w:ind w:left="114" w:right="92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less, have at least 60% teacher and researcher members, and include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students,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non-academic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external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representatives.</w:t>
            </w:r>
          </w:p>
          <w:p>
            <w:pPr>
              <w:pStyle w:val="TableParagraph"/>
              <w:spacing w:line="200" w:lineRule="atLeast" w:before="5"/>
              <w:ind w:left="114" w:right="93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Scientific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technical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councils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pedagogical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councils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with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membership specified in RJIES play guidance and advisory roles at the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research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unit</w:t>
            </w:r>
            <w:r>
              <w:rPr>
                <w:rFonts w:asci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level.</w:t>
            </w:r>
          </w:p>
        </w:tc>
      </w:tr>
    </w:tbl>
    <w:p>
      <w:pPr>
        <w:tabs>
          <w:tab w:pos="932" w:val="left" w:leader="none"/>
          <w:tab w:pos="1987" w:val="left" w:leader="none"/>
          <w:tab w:pos="2352" w:val="left" w:leader="none"/>
          <w:tab w:pos="3148" w:val="left" w:leader="none"/>
          <w:tab w:pos="4021" w:val="left" w:leader="none"/>
          <w:tab w:pos="4772" w:val="left" w:leader="none"/>
          <w:tab w:pos="5566" w:val="left" w:leader="none"/>
          <w:tab w:pos="6046" w:val="left" w:leader="none"/>
          <w:tab w:pos="7069" w:val="left" w:leader="none"/>
          <w:tab w:pos="7477" w:val="left" w:leader="none"/>
          <w:tab w:pos="8170" w:val="left" w:leader="none"/>
          <w:tab w:pos="8921" w:val="left" w:leader="none"/>
        </w:tabs>
        <w:spacing w:line="259" w:lineRule="auto" w:before="129"/>
        <w:ind w:left="183" w:right="303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position w:val="1"/>
          <w:sz w:val="18"/>
        </w:rPr>
        <w:t>Source:</w:t>
        <w:tab/>
      </w:r>
      <w:r>
        <w:rPr>
          <w:rFonts w:ascii="Microsoft Sans Serif" w:hAnsi="Microsoft Sans Serif"/>
          <w:w w:val="85"/>
          <w:position w:val="1"/>
          <w:sz w:val="18"/>
        </w:rPr>
        <w:t>Government</w:t>
        <w:tab/>
      </w:r>
      <w:r>
        <w:rPr>
          <w:rFonts w:ascii="Microsoft Sans Serif" w:hAnsi="Microsoft Sans Serif"/>
          <w:w w:val="90"/>
          <w:position w:val="1"/>
          <w:sz w:val="18"/>
        </w:rPr>
        <w:t>of</w:t>
        <w:tab/>
        <w:t>Portugal</w:t>
        <w:tab/>
        <w:t>(2007</w:t>
      </w:r>
      <w:r>
        <w:rPr>
          <w:rFonts w:ascii="Microsoft Sans Serif" w:hAnsi="Microsoft Sans Serif"/>
          <w:w w:val="90"/>
          <w:sz w:val="12"/>
        </w:rPr>
        <w:t>[14]</w:t>
      </w:r>
      <w:r>
        <w:rPr>
          <w:rFonts w:ascii="Microsoft Sans Serif" w:hAnsi="Microsoft Sans Serif"/>
          <w:w w:val="90"/>
          <w:position w:val="1"/>
          <w:sz w:val="18"/>
        </w:rPr>
        <w:t>),</w:t>
        <w:tab/>
      </w:r>
      <w:r>
        <w:rPr>
          <w:rFonts w:ascii="Arial" w:hAnsi="Arial"/>
          <w:i/>
          <w:w w:val="90"/>
          <w:position w:val="1"/>
          <w:sz w:val="18"/>
        </w:rPr>
        <w:t>Regime</w:t>
        <w:tab/>
        <w:t>Jurídico</w:t>
        <w:tab/>
        <w:t>das</w:t>
        <w:tab/>
      </w:r>
      <w:r>
        <w:rPr>
          <w:rFonts w:ascii="Arial" w:hAnsi="Arial"/>
          <w:i/>
          <w:spacing w:val="-1"/>
          <w:w w:val="90"/>
          <w:position w:val="1"/>
          <w:sz w:val="18"/>
        </w:rPr>
        <w:t>Instituicóes</w:t>
        <w:tab/>
      </w:r>
      <w:r>
        <w:rPr>
          <w:rFonts w:ascii="Arial" w:hAnsi="Arial"/>
          <w:i/>
          <w:w w:val="90"/>
          <w:position w:val="1"/>
          <w:sz w:val="18"/>
        </w:rPr>
        <w:t>de</w:t>
        <w:tab/>
        <w:t>Ensino</w:t>
        <w:tab/>
        <w:t>Superio</w:t>
        <w:tab/>
      </w:r>
      <w:r>
        <w:rPr>
          <w:rFonts w:ascii="Arial" w:hAnsi="Arial"/>
          <w:i/>
          <w:w w:val="80"/>
          <w:position w:val="1"/>
          <w:sz w:val="18"/>
        </w:rPr>
        <w:t>(RJIES)</w:t>
      </w:r>
      <w:r>
        <w:rPr>
          <w:rFonts w:ascii="Microsoft Sans Serif" w:hAnsi="Microsoft Sans Serif"/>
          <w:w w:val="80"/>
          <w:position w:val="1"/>
          <w:sz w:val="18"/>
        </w:rPr>
        <w:t>,</w:t>
      </w:r>
      <w:r>
        <w:rPr>
          <w:rFonts w:ascii="Microsoft Sans Serif" w:hAnsi="Microsoft Sans Serif"/>
          <w:spacing w:val="-36"/>
          <w:w w:val="80"/>
          <w:position w:val="1"/>
          <w:sz w:val="18"/>
        </w:rPr>
        <w:t> </w:t>
      </w:r>
      <w:hyperlink r:id="rId157">
        <w:r>
          <w:rPr>
            <w:rFonts w:ascii="Microsoft Sans Serif" w:hAnsi="Microsoft Sans Serif"/>
            <w:color w:val="0000FF"/>
            <w:w w:val="90"/>
            <w:sz w:val="18"/>
            <w:u w:val="single" w:color="0000FF"/>
          </w:rPr>
          <w:t>https://data.dre.pt/eli/lei/62/2007/09/10/p/dre/pt/htm</w:t>
        </w:r>
        <w:r>
          <w:rPr>
            <w:rFonts w:ascii="Microsoft Sans Serif" w:hAnsi="Microsoft Sans Serif"/>
            <w:color w:val="0000FF"/>
            <w:w w:val="90"/>
            <w:sz w:val="18"/>
          </w:rPr>
          <w:t>l</w:t>
        </w:r>
        <w:r>
          <w:rPr>
            <w:rFonts w:ascii="Microsoft Sans Serif" w:hAnsi="Microsoft Sans Serif"/>
            <w:w w:val="90"/>
            <w:sz w:val="18"/>
          </w:rPr>
          <w:t>.</w:t>
        </w:r>
      </w:hyperlink>
    </w:p>
    <w:p>
      <w:pPr>
        <w:pStyle w:val="BodyText"/>
        <w:spacing w:before="9"/>
        <w:rPr>
          <w:rFonts w:ascii="Microsoft Sans Serif"/>
          <w:sz w:val="24"/>
        </w:rPr>
      </w:pPr>
    </w:p>
    <w:p>
      <w:pPr>
        <w:pStyle w:val="Heading8"/>
        <w:spacing w:before="93"/>
      </w:pPr>
      <w:r>
        <w:rPr/>
        <w:t>Foundation</w:t>
      </w:r>
      <w:r>
        <w:rPr>
          <w:spacing w:val="-6"/>
        </w:rPr>
        <w:t> </w:t>
      </w:r>
      <w:r>
        <w:rPr/>
        <w:t>status</w:t>
      </w:r>
      <w:r>
        <w:rPr>
          <w:spacing w:val="-6"/>
        </w:rPr>
        <w:t> </w:t>
      </w:r>
      <w:r>
        <w:rPr/>
        <w:t>created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RJIES</w:t>
      </w:r>
    </w:p>
    <w:p>
      <w:pPr>
        <w:pStyle w:val="BodyText"/>
        <w:spacing w:line="271" w:lineRule="auto" w:before="154"/>
        <w:ind w:left="183" w:right="308"/>
        <w:jc w:val="both"/>
      </w:pPr>
      <w:r>
        <w:rPr/>
        <w:t>Beyond these governance changes made for all HEIs, RJIES opened the possibility of HEIs attaining</w:t>
      </w:r>
      <w:r>
        <w:rPr>
          <w:spacing w:val="1"/>
        </w:rPr>
        <w:t> </w:t>
      </w:r>
      <w:r>
        <w:rPr>
          <w:w w:val="95"/>
        </w:rPr>
        <w:t>“foundation status” that would see their exit from state consolidation. The objective was to give HEIs greater</w:t>
      </w:r>
      <w:r>
        <w:rPr>
          <w:spacing w:val="1"/>
          <w:w w:val="95"/>
        </w:rPr>
        <w:t> </w:t>
      </w:r>
      <w:r>
        <w:rPr/>
        <w:t>operational autonomy, particularly in the areas of financial management and staffing, by allowing them to</w:t>
      </w:r>
      <w:r>
        <w:rPr>
          <w:spacing w:val="-53"/>
        </w:rPr>
        <w:t> </w:t>
      </w:r>
      <w:r>
        <w:rPr/>
        <w:t>make use of the greater flexibility afforded by the employment, accounting and procurement legislation</w:t>
      </w:r>
      <w:r>
        <w:rPr>
          <w:spacing w:val="1"/>
        </w:rPr>
        <w:t> </w:t>
      </w:r>
      <w:r>
        <w:rPr/>
        <w:t>applicable to the private sector in Portugal. Foundation status is awarded by decision of the Council of</w:t>
      </w:r>
      <w:r>
        <w:rPr>
          <w:spacing w:val="1"/>
        </w:rPr>
        <w:t> </w:t>
      </w:r>
      <w:r>
        <w:rPr>
          <w:position w:val="1"/>
        </w:rPr>
        <w:t>Ministers on the</w:t>
      </w:r>
      <w:r>
        <w:rPr>
          <w:spacing w:val="-2"/>
          <w:position w:val="1"/>
        </w:rPr>
        <w:t> </w:t>
      </w:r>
      <w:r>
        <w:rPr>
          <w:position w:val="1"/>
        </w:rPr>
        <w:t>recommendation of</w:t>
      </w:r>
      <w:r>
        <w:rPr>
          <w:spacing w:val="1"/>
          <w:position w:val="1"/>
        </w:rPr>
        <w:t> </w:t>
      </w:r>
      <w:r>
        <w:rPr>
          <w:position w:val="1"/>
        </w:rPr>
        <w:t>MCTES (OECD,</w:t>
      </w:r>
      <w:r>
        <w:rPr>
          <w:spacing w:val="2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[5]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3"/>
        <w:jc w:val="both"/>
      </w:pPr>
      <w:r>
        <w:rPr/>
        <w:t>Among other key changes, this reform would permit HEIs to employ academic and non-academic staff</w:t>
      </w:r>
      <w:r>
        <w:rPr>
          <w:spacing w:val="1"/>
        </w:rPr>
        <w:t> </w:t>
      </w:r>
      <w:r>
        <w:rPr/>
        <w:t>independently under private employment law outside the scope of civil service procedures, pay-scales,</w:t>
      </w:r>
      <w:r>
        <w:rPr>
          <w:spacing w:val="1"/>
        </w:rPr>
        <w:t> </w:t>
      </w:r>
      <w:r>
        <w:rPr/>
        <w:t>and centralised MCTES approvals for staffing level changes. It is important to note that adoption of</w:t>
      </w:r>
      <w:r>
        <w:rPr>
          <w:spacing w:val="1"/>
        </w:rPr>
        <w:t> </w:t>
      </w:r>
      <w:r>
        <w:rPr/>
        <w:t>foundation</w:t>
      </w:r>
      <w:r>
        <w:rPr>
          <w:spacing w:val="-8"/>
        </w:rPr>
        <w:t> </w:t>
      </w:r>
      <w:r>
        <w:rPr/>
        <w:t>status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automatic</w:t>
      </w:r>
      <w:r>
        <w:rPr>
          <w:spacing w:val="-5"/>
        </w:rPr>
        <w:t> </w:t>
      </w:r>
      <w:r>
        <w:rPr/>
        <w:t>conversion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current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private</w:t>
      </w:r>
      <w:r>
        <w:rPr>
          <w:spacing w:val="-7"/>
        </w:rPr>
        <w:t> </w:t>
      </w:r>
      <w:r>
        <w:rPr/>
        <w:t>sector</w:t>
      </w:r>
      <w:r>
        <w:rPr>
          <w:spacing w:val="-6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recommendation).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institutions to hire under private law. Specific action on the part of the institution is required to change the</w:t>
      </w:r>
      <w:r>
        <w:rPr>
          <w:spacing w:val="-53"/>
        </w:rPr>
        <w:t> </w:t>
      </w:r>
      <w:r>
        <w:rPr/>
        <w:t>status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positions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civil</w:t>
      </w:r>
      <w:r>
        <w:rPr>
          <w:spacing w:val="-4"/>
        </w:rPr>
        <w:t> </w:t>
      </w:r>
      <w:r>
        <w:rPr/>
        <w:t>service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private</w:t>
      </w:r>
      <w:r>
        <w:rPr>
          <w:spacing w:val="-4"/>
        </w:rPr>
        <w:t> </w:t>
      </w:r>
      <w:r>
        <w:rPr/>
        <w:t>status,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hire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/>
        <w:t>positions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private</w:t>
      </w:r>
      <w:r>
        <w:rPr>
          <w:spacing w:val="-4"/>
        </w:rPr>
        <w:t> </w:t>
      </w:r>
      <w:r>
        <w:rPr/>
        <w:t>law.</w:t>
      </w:r>
    </w:p>
    <w:p>
      <w:pPr>
        <w:pStyle w:val="BodyText"/>
        <w:spacing w:line="271" w:lineRule="auto" w:before="120"/>
        <w:ind w:left="183" w:right="303"/>
        <w:jc w:val="both"/>
      </w:pPr>
      <w:r>
        <w:rPr/>
        <w:t>As outlined in </w:t>
      </w:r>
      <w:hyperlink w:history="true" w:anchor="_bookmark61">
        <w:r>
          <w:rPr/>
          <w:t>Box A A.1, </w:t>
        </w:r>
      </w:hyperlink>
      <w:r>
        <w:rPr/>
        <w:t>the RJIES legal regime for foundation-status HEIs confirms their status under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law,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their</w:t>
      </w:r>
      <w:r>
        <w:rPr>
          <w:spacing w:val="6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ability to</w:t>
      </w:r>
      <w:r>
        <w:rPr>
          <w:spacing w:val="3"/>
        </w:rPr>
        <w:t> </w:t>
      </w:r>
      <w:r>
        <w:rPr/>
        <w:t>hire</w:t>
      </w:r>
      <w:r>
        <w:rPr>
          <w:spacing w:val="2"/>
        </w:rPr>
        <w:t> </w:t>
      </w:r>
      <w:r>
        <w:rPr/>
        <w:t>under</w:t>
      </w:r>
      <w:r>
        <w:rPr>
          <w:spacing w:val="4"/>
        </w:rPr>
        <w:t> </w:t>
      </w:r>
      <w:r>
        <w:rPr/>
        <w:t>private</w:t>
      </w:r>
      <w:r>
        <w:rPr>
          <w:spacing w:val="1"/>
        </w:rPr>
        <w:t> </w:t>
      </w:r>
      <w:r>
        <w:rPr/>
        <w:t>law.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confirms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continuation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mission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service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public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well.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legal</w:t>
      </w:r>
      <w:r>
        <w:rPr>
          <w:spacing w:val="-12"/>
        </w:rPr>
        <w:t> </w:t>
      </w:r>
      <w:r>
        <w:rPr>
          <w:spacing w:val="-1"/>
        </w:rPr>
        <w:t>regime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enables</w:t>
      </w:r>
      <w:r>
        <w:rPr>
          <w:spacing w:val="-12"/>
        </w:rPr>
        <w:t> </w:t>
      </w:r>
      <w:r>
        <w:rPr/>
        <w:t>continued</w:t>
      </w:r>
      <w:r>
        <w:rPr>
          <w:spacing w:val="-8"/>
        </w:rPr>
        <w:t> </w:t>
      </w:r>
      <w:r>
        <w:rPr/>
        <w:t>civil</w:t>
      </w:r>
      <w:r>
        <w:rPr>
          <w:spacing w:val="-12"/>
        </w:rPr>
        <w:t> </w:t>
      </w:r>
      <w:r>
        <w:rPr/>
        <w:t>service</w:t>
      </w:r>
      <w:r>
        <w:rPr>
          <w:spacing w:val="-1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at foundation-status HEIs, alongside private law employment. This unique formulation for civil service</w:t>
      </w:r>
      <w:r>
        <w:rPr>
          <w:spacing w:val="1"/>
        </w:rPr>
        <w:t> </w:t>
      </w:r>
      <w:r>
        <w:rPr/>
        <w:t>employment is part of what makes foundation-status HEIs distinct. According to stakeholders interviewed</w:t>
      </w:r>
      <w:r>
        <w:rPr>
          <w:spacing w:val="-53"/>
        </w:rPr>
        <w:t> </w:t>
      </w:r>
      <w:r>
        <w:rPr/>
        <w:t>by the OECD team, foundation-status HEIs are not transferred to governance under general Portuguese</w:t>
      </w:r>
      <w:r>
        <w:rPr>
          <w:spacing w:val="1"/>
        </w:rPr>
        <w:t> </w:t>
      </w:r>
      <w:r>
        <w:rPr/>
        <w:t>legislation respecting foundations. Rather, they are specific entities governed by the provisions of RJIES,</w:t>
      </w:r>
      <w:r>
        <w:rPr>
          <w:spacing w:val="-53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autonomy.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managerial authorities originally intended for foundation-status HEIs are further described in </w:t>
      </w:r>
      <w:hyperlink w:history="true" w:anchor="_bookmark61">
        <w:r>
          <w:rPr/>
          <w:t>Box A A.1.</w:t>
        </w:r>
      </w:hyperlink>
      <w:r>
        <w:rPr>
          <w:spacing w:val="1"/>
        </w:rPr>
        <w:t> </w:t>
      </w:r>
      <w:r>
        <w:rPr/>
        <w:t>As will be discussed in the following section, the full implementation of this vision for financial and</w:t>
      </w:r>
      <w:r>
        <w:rPr>
          <w:spacing w:val="1"/>
        </w:rPr>
        <w:t> </w:t>
      </w:r>
      <w:r>
        <w:rPr/>
        <w:t>managerial</w:t>
      </w:r>
      <w:r>
        <w:rPr>
          <w:spacing w:val="-2"/>
        </w:rPr>
        <w:t> </w:t>
      </w:r>
      <w:r>
        <w:rPr/>
        <w:t>autonomy</w:t>
      </w:r>
      <w:r>
        <w:rPr>
          <w:spacing w:val="-5"/>
        </w:rPr>
        <w:t> </w:t>
      </w:r>
      <w:r>
        <w:rPr/>
        <w:t>of foundation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challenged.</w:t>
      </w: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64.944pt;margin-top:10.924268pt;width:465.6pt;height:184.75pt;mso-position-horizontal-relative:page;mso-position-vertical-relative:paragraph;z-index:-15695360;mso-wrap-distance-left:0;mso-wrap-distance-right:0" type="#_x0000_t202" filled="true" fillcolor="#eeece1" stroked="true" strokeweight=".48004pt" strokecolor="#4e81bd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1"/>
                    </w:rPr>
                  </w:pPr>
                </w:p>
                <w:p>
                  <w:pPr>
                    <w:spacing w:line="244" w:lineRule="auto" w:before="0"/>
                    <w:ind w:left="136" w:right="193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_bookmark61" w:id="176"/>
                  <w:bookmarkEnd w:id="176"/>
                  <w:r>
                    <w:rPr/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Box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A.1.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Legal</w:t>
                  </w:r>
                  <w:r>
                    <w:rPr>
                      <w:rFonts w:ascii="Arial"/>
                      <w:b/>
                      <w:color w:val="4E81BD"/>
                      <w:spacing w:val="18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regime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for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foundation-status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institutions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established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under</w:t>
                  </w:r>
                  <w:r>
                    <w:rPr>
                      <w:rFonts w:ascii="Arial"/>
                      <w:b/>
                      <w:color w:val="4E81BD"/>
                      <w:spacing w:val="11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RJIES</w:t>
                  </w:r>
                  <w:r>
                    <w:rPr>
                      <w:rFonts w:ascii="Arial"/>
                      <w:b/>
                      <w:color w:val="4E81BD"/>
                      <w:spacing w:val="14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and</w:t>
                  </w:r>
                  <w:r>
                    <w:rPr>
                      <w:rFonts w:ascii="Arial"/>
                      <w:b/>
                      <w:color w:val="4E81BD"/>
                      <w:spacing w:val="-51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5"/>
                      <w:sz w:val="24"/>
                    </w:rPr>
                    <w:t>intended</w:t>
                  </w:r>
                  <w:r>
                    <w:rPr>
                      <w:rFonts w:ascii="Arial"/>
                      <w:b/>
                      <w:color w:val="4E81BD"/>
                      <w:spacing w:val="-4"/>
                      <w:w w:val="8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5"/>
                      <w:sz w:val="24"/>
                    </w:rPr>
                    <w:t>financial</w:t>
                  </w:r>
                  <w:r>
                    <w:rPr>
                      <w:rFonts w:ascii="Arial"/>
                      <w:b/>
                      <w:color w:val="4E81BD"/>
                      <w:spacing w:val="-4"/>
                      <w:w w:val="8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5"/>
                      <w:sz w:val="24"/>
                    </w:rPr>
                    <w:t>and</w:t>
                  </w:r>
                  <w:r>
                    <w:rPr>
                      <w:rFonts w:ascii="Arial"/>
                      <w:b/>
                      <w:color w:val="4E81BD"/>
                      <w:spacing w:val="-4"/>
                      <w:w w:val="8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5"/>
                      <w:sz w:val="24"/>
                    </w:rPr>
                    <w:t>managerial</w:t>
                  </w:r>
                  <w:r>
                    <w:rPr>
                      <w:rFonts w:ascii="Arial"/>
                      <w:b/>
                      <w:color w:val="4E81BD"/>
                      <w:spacing w:val="-6"/>
                      <w:w w:val="8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5"/>
                      <w:sz w:val="24"/>
                    </w:rPr>
                    <w:t>autonomy</w:t>
                  </w:r>
                </w:p>
                <w:p>
                  <w:pPr>
                    <w:pStyle w:val="BodyText"/>
                    <w:spacing w:line="266" w:lineRule="auto" w:before="182"/>
                    <w:ind w:left="136"/>
                  </w:pPr>
                  <w:r>
                    <w:rPr>
                      <w:position w:val="2"/>
                    </w:rPr>
                    <w:t>Article</w:t>
                  </w:r>
                  <w:r>
                    <w:rPr>
                      <w:spacing w:val="-4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134</w:t>
                  </w:r>
                  <w:r>
                    <w:rPr>
                      <w:spacing w:val="1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under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RJIES</w:t>
                  </w:r>
                  <w:r>
                    <w:rPr>
                      <w:spacing w:val="21"/>
                      <w:position w:val="2"/>
                    </w:rPr>
                    <w:t> </w:t>
                  </w:r>
                  <w:r>
                    <w:rPr>
                      <w:position w:val="2"/>
                      <w:sz w:val="22"/>
                    </w:rPr>
                    <w:t>(2007</w:t>
                  </w:r>
                  <w:r>
                    <w:rPr>
                      <w:sz w:val="14"/>
                    </w:rPr>
                    <w:t>[14]</w:t>
                  </w:r>
                  <w:r>
                    <w:rPr>
                      <w:position w:val="2"/>
                      <w:sz w:val="22"/>
                    </w:rPr>
                    <w:t>)</w:t>
                  </w:r>
                  <w:r>
                    <w:rPr>
                      <w:spacing w:val="14"/>
                      <w:position w:val="2"/>
                      <w:sz w:val="22"/>
                    </w:rPr>
                    <w:t> </w:t>
                  </w:r>
                  <w:r>
                    <w:rPr>
                      <w:position w:val="2"/>
                    </w:rPr>
                    <w:t>defines</w:t>
                  </w:r>
                  <w:r>
                    <w:rPr>
                      <w:spacing w:val="14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the</w:t>
                  </w:r>
                  <w:r>
                    <w:rPr>
                      <w:spacing w:val="1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legal</w:t>
                  </w:r>
                  <w:r>
                    <w:rPr>
                      <w:spacing w:val="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regime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for</w:t>
                  </w:r>
                  <w:r>
                    <w:rPr>
                      <w:spacing w:val="1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foundation-status</w:t>
                  </w:r>
                  <w:r>
                    <w:rPr>
                      <w:spacing w:val="1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HEIs</w:t>
                  </w:r>
                  <w:r>
                    <w:rPr>
                      <w:spacing w:val="1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under</w:t>
                  </w:r>
                  <w:r>
                    <w:rPr>
                      <w:spacing w:val="1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private</w:t>
                  </w:r>
                  <w:r>
                    <w:rPr>
                      <w:spacing w:val="-53"/>
                      <w:position w:val="2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while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referencing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 possible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coexistence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 civil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private staffing:</w:t>
                  </w:r>
                </w:p>
                <w:p>
                  <w:pPr>
                    <w:pStyle w:val="BodyText"/>
                    <w:spacing w:before="124"/>
                    <w:ind w:left="136"/>
                  </w:pPr>
                  <w:r>
                    <w:rPr/>
                    <w:t>“Article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134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Legal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regime</w:t>
                  </w:r>
                </w:p>
                <w:p>
                  <w:pPr>
                    <w:pStyle w:val="BodyText"/>
                    <w:numPr>
                      <w:ilvl w:val="0"/>
                      <w:numId w:val="31"/>
                    </w:numPr>
                    <w:tabs>
                      <w:tab w:pos="816" w:val="left" w:leader="none"/>
                    </w:tabs>
                    <w:spacing w:line="271" w:lineRule="auto" w:before="145" w:after="0"/>
                    <w:ind w:left="815" w:right="149" w:hanging="339"/>
                    <w:jc w:val="both"/>
                  </w:pPr>
                  <w:r>
                    <w:rPr/>
                    <w:t>Foundations are governed by private law, namely with regard to their financial, property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personnel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management, 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reservations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paragraphs.</w:t>
                  </w:r>
                </w:p>
                <w:p>
                  <w:pPr>
                    <w:pStyle w:val="BodyText"/>
                    <w:numPr>
                      <w:ilvl w:val="0"/>
                      <w:numId w:val="31"/>
                    </w:numPr>
                    <w:tabs>
                      <w:tab w:pos="816" w:val="left" w:leader="none"/>
                    </w:tabs>
                    <w:spacing w:line="271" w:lineRule="auto" w:before="58" w:after="0"/>
                    <w:ind w:left="815" w:right="145" w:hanging="339"/>
                    <w:jc w:val="both"/>
                  </w:pPr>
                  <w:r>
                    <w:rPr/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regime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does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prejudice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application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constitutional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principles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relating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to Public Administration, namely the pursuit of the public interest, as well as the principles 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equality, impartiality,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justice 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proportionality.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ListParagraph"/>
        <w:numPr>
          <w:ilvl w:val="0"/>
          <w:numId w:val="32"/>
        </w:numPr>
        <w:tabs>
          <w:tab w:pos="1000" w:val="left" w:leader="none"/>
        </w:tabs>
        <w:spacing w:line="271" w:lineRule="auto" w:before="124" w:after="0"/>
        <w:ind w:left="999" w:right="444" w:hanging="339"/>
        <w:jc w:val="both"/>
        <w:rPr>
          <w:sz w:val="20"/>
        </w:rPr>
      </w:pPr>
      <w:r>
        <w:rPr/>
        <w:pict>
          <v:group style="position:absolute;margin-left:64.704002pt;margin-top:4.65988pt;width:466.05pt;height:488.1pt;mso-position-horizontal-relative:page;mso-position-vertical-relative:paragraph;z-index:-19697152" coordorigin="1294,93" coordsize="9321,9762">
            <v:rect style="position:absolute;left:1303;top:102;width:9302;height:9743" filled="true" fillcolor="#eeece1" stroked="false">
              <v:fill type="solid"/>
            </v:rect>
            <v:shape style="position:absolute;left:1294;top:93;width:9321;height:9762" coordorigin="1294,93" coordsize="9321,9762" path="m10605,93l1304,93,1304,93,1294,93,1294,103,1294,9845,1294,9855,1304,9855,1304,9855,10605,9855,10605,9845,1304,9845,1304,103,10605,103,10605,93xm10615,93l10605,93,10605,103,10605,9845,10605,9855,10615,9855,10615,9845,10615,103,10615,93xe" filled="true" fillcolor="#4e81b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Within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scope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management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its</w:t>
      </w:r>
      <w:r>
        <w:rPr>
          <w:spacing w:val="-3"/>
          <w:sz w:val="20"/>
        </w:rPr>
        <w:t> </w:t>
      </w:r>
      <w:r>
        <w:rPr>
          <w:sz w:val="20"/>
        </w:rPr>
        <w:t>human</w:t>
      </w:r>
      <w:r>
        <w:rPr>
          <w:spacing w:val="-5"/>
          <w:sz w:val="20"/>
        </w:rPr>
        <w:t> </w:t>
      </w:r>
      <w:r>
        <w:rPr>
          <w:sz w:val="20"/>
        </w:rPr>
        <w:t>resources,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institution</w:t>
      </w:r>
      <w:r>
        <w:rPr>
          <w:spacing w:val="-4"/>
          <w:sz w:val="20"/>
        </w:rPr>
        <w:t> </w:t>
      </w:r>
      <w:r>
        <w:rPr>
          <w:sz w:val="20"/>
        </w:rPr>
        <w:t>may</w:t>
      </w:r>
      <w:r>
        <w:rPr>
          <w:spacing w:val="-5"/>
          <w:sz w:val="20"/>
        </w:rPr>
        <w:t> </w:t>
      </w:r>
      <w:r>
        <w:rPr>
          <w:sz w:val="20"/>
        </w:rPr>
        <w:t>create</w:t>
      </w:r>
      <w:r>
        <w:rPr>
          <w:spacing w:val="-4"/>
          <w:sz w:val="20"/>
        </w:rPr>
        <w:t> </w:t>
      </w:r>
      <w:r>
        <w:rPr>
          <w:sz w:val="20"/>
        </w:rPr>
        <w:t>its</w:t>
      </w:r>
      <w:r>
        <w:rPr>
          <w:spacing w:val="-3"/>
          <w:sz w:val="20"/>
        </w:rPr>
        <w:t> </w:t>
      </w:r>
      <w:r>
        <w:rPr>
          <w:sz w:val="20"/>
        </w:rPr>
        <w:t>own</w:t>
      </w:r>
      <w:r>
        <w:rPr>
          <w:spacing w:val="-53"/>
          <w:sz w:val="20"/>
        </w:rPr>
        <w:t> </w:t>
      </w:r>
      <w:r>
        <w:rPr>
          <w:sz w:val="20"/>
        </w:rPr>
        <w:t>careers for its teaching staff, researcher and others, generally respecting, when appropriate,</w:t>
      </w:r>
      <w:r>
        <w:rPr>
          <w:spacing w:val="1"/>
          <w:sz w:val="20"/>
        </w:rPr>
        <w:t> </w:t>
      </w:r>
      <w:r>
        <w:rPr>
          <w:sz w:val="20"/>
        </w:rPr>
        <w:t>the parallelism in the list of categories and academic qualifications, in relation to those in force</w:t>
      </w:r>
      <w:r>
        <w:rPr>
          <w:spacing w:val="-5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teaching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</w:t>
      </w:r>
      <w:r>
        <w:rPr>
          <w:sz w:val="20"/>
        </w:rPr>
        <w:t>staff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3"/>
          <w:sz w:val="20"/>
        </w:rPr>
        <w:t> </w:t>
      </w:r>
      <w:r>
        <w:rPr>
          <w:sz w:val="20"/>
        </w:rPr>
        <w:t>other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z w:val="20"/>
        </w:rPr>
        <w:t>higher</w:t>
      </w:r>
      <w:r>
        <w:rPr>
          <w:spacing w:val="-2"/>
          <w:sz w:val="20"/>
        </w:rPr>
        <w:t> </w:t>
      </w:r>
      <w:r>
        <w:rPr>
          <w:sz w:val="20"/>
        </w:rPr>
        <w:t>education</w:t>
      </w:r>
      <w:r>
        <w:rPr>
          <w:spacing w:val="-1"/>
          <w:sz w:val="20"/>
        </w:rPr>
        <w:t> </w:t>
      </w:r>
      <w:r>
        <w:rPr>
          <w:sz w:val="20"/>
        </w:rPr>
        <w:t>institutions.</w:t>
      </w:r>
    </w:p>
    <w:p>
      <w:pPr>
        <w:pStyle w:val="ListParagraph"/>
        <w:numPr>
          <w:ilvl w:val="0"/>
          <w:numId w:val="32"/>
        </w:numPr>
        <w:tabs>
          <w:tab w:pos="1000" w:val="left" w:leader="none"/>
        </w:tabs>
        <w:spacing w:line="271" w:lineRule="auto" w:before="60" w:after="0"/>
        <w:ind w:left="999" w:right="447" w:hanging="339"/>
        <w:jc w:val="both"/>
        <w:rPr>
          <w:sz w:val="20"/>
        </w:rPr>
      </w:pPr>
      <w:r>
        <w:rPr>
          <w:sz w:val="20"/>
        </w:rPr>
        <w:t>The provisions of the preceding paragraph are understood to be without prejudice to the</w:t>
      </w:r>
      <w:r>
        <w:rPr>
          <w:spacing w:val="1"/>
          <w:sz w:val="20"/>
        </w:rPr>
        <w:t> </w:t>
      </w:r>
      <w:r>
        <w:rPr>
          <w:sz w:val="20"/>
        </w:rPr>
        <w:t>safeguarding of the civil service regime enjoyed by the employees and agents of the higher</w:t>
      </w:r>
      <w:r>
        <w:rPr>
          <w:spacing w:val="1"/>
          <w:sz w:val="20"/>
        </w:rPr>
        <w:t> </w:t>
      </w:r>
      <w:r>
        <w:rPr>
          <w:sz w:val="20"/>
        </w:rPr>
        <w:t>education institution</w:t>
      </w:r>
      <w:r>
        <w:rPr>
          <w:spacing w:val="-2"/>
          <w:sz w:val="20"/>
        </w:rPr>
        <w:t> </w:t>
      </w:r>
      <w:r>
        <w:rPr>
          <w:sz w:val="20"/>
        </w:rPr>
        <w:t>before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transformed</w:t>
      </w:r>
      <w:r>
        <w:rPr>
          <w:spacing w:val="-2"/>
          <w:sz w:val="20"/>
        </w:rPr>
        <w:t> </w:t>
      </w:r>
      <w:r>
        <w:rPr>
          <w:sz w:val="20"/>
        </w:rPr>
        <w:t>into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foundation.”</w:t>
      </w:r>
    </w:p>
    <w:p>
      <w:pPr>
        <w:spacing w:before="61"/>
        <w:ind w:left="320" w:right="0" w:firstLine="0"/>
        <w:jc w:val="both"/>
        <w:rPr>
          <w:sz w:val="20"/>
        </w:rPr>
      </w:pPr>
      <w:r>
        <w:rPr>
          <w:sz w:val="20"/>
        </w:rPr>
        <w:t>According</w:t>
      </w:r>
      <w:r>
        <w:rPr>
          <w:spacing w:val="44"/>
          <w:sz w:val="20"/>
        </w:rPr>
        <w:t> </w:t>
      </w:r>
      <w:r>
        <w:rPr>
          <w:sz w:val="20"/>
        </w:rPr>
        <w:t>to</w:t>
      </w:r>
      <w:r>
        <w:rPr>
          <w:spacing w:val="47"/>
          <w:sz w:val="20"/>
        </w:rPr>
        <w:t> </w:t>
      </w:r>
      <w:r>
        <w:rPr>
          <w:sz w:val="20"/>
        </w:rPr>
        <w:t>the</w:t>
      </w:r>
      <w:r>
        <w:rPr>
          <w:spacing w:val="46"/>
          <w:sz w:val="20"/>
        </w:rPr>
        <w:t> </w:t>
      </w:r>
      <w:r>
        <w:rPr>
          <w:rFonts w:ascii="Arial"/>
          <w:i/>
          <w:sz w:val="20"/>
        </w:rPr>
        <w:t>OECD</w:t>
      </w:r>
      <w:r>
        <w:rPr>
          <w:rFonts w:ascii="Arial"/>
          <w:i/>
          <w:spacing w:val="48"/>
          <w:sz w:val="20"/>
        </w:rPr>
        <w:t> </w:t>
      </w:r>
      <w:r>
        <w:rPr>
          <w:rFonts w:ascii="Arial"/>
          <w:i/>
          <w:sz w:val="20"/>
        </w:rPr>
        <w:t>Review</w:t>
      </w:r>
      <w:r>
        <w:rPr>
          <w:rFonts w:ascii="Arial"/>
          <w:i/>
          <w:spacing w:val="48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46"/>
          <w:sz w:val="20"/>
        </w:rPr>
        <w:t> </w:t>
      </w:r>
      <w:r>
        <w:rPr>
          <w:rFonts w:ascii="Arial"/>
          <w:i/>
          <w:sz w:val="20"/>
        </w:rPr>
        <w:t>Higher</w:t>
      </w:r>
      <w:r>
        <w:rPr>
          <w:rFonts w:ascii="Arial"/>
          <w:i/>
          <w:spacing w:val="49"/>
          <w:sz w:val="20"/>
        </w:rPr>
        <w:t> </w:t>
      </w:r>
      <w:r>
        <w:rPr>
          <w:rFonts w:ascii="Arial"/>
          <w:i/>
          <w:sz w:val="20"/>
        </w:rPr>
        <w:t>Education,</w:t>
      </w:r>
      <w:r>
        <w:rPr>
          <w:rFonts w:ascii="Arial"/>
          <w:i/>
          <w:spacing w:val="45"/>
          <w:sz w:val="20"/>
        </w:rPr>
        <w:t> </w:t>
      </w:r>
      <w:r>
        <w:rPr>
          <w:rFonts w:ascii="Arial"/>
          <w:i/>
          <w:sz w:val="20"/>
        </w:rPr>
        <w:t>Research</w:t>
      </w:r>
      <w:r>
        <w:rPr>
          <w:rFonts w:ascii="Arial"/>
          <w:i/>
          <w:spacing w:val="45"/>
          <w:sz w:val="20"/>
        </w:rPr>
        <w:t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47"/>
          <w:sz w:val="20"/>
        </w:rPr>
        <w:t> </w:t>
      </w:r>
      <w:r>
        <w:rPr>
          <w:rFonts w:ascii="Arial"/>
          <w:i/>
          <w:sz w:val="20"/>
        </w:rPr>
        <w:t>Innovation:</w:t>
      </w:r>
      <w:r>
        <w:rPr>
          <w:rFonts w:ascii="Arial"/>
          <w:i/>
          <w:spacing w:val="47"/>
          <w:sz w:val="20"/>
        </w:rPr>
        <w:t> </w:t>
      </w:r>
      <w:r>
        <w:rPr>
          <w:rFonts w:ascii="Arial"/>
          <w:i/>
          <w:sz w:val="20"/>
        </w:rPr>
        <w:t>Portugal</w:t>
      </w:r>
      <w:r>
        <w:rPr>
          <w:rFonts w:ascii="Arial"/>
          <w:i/>
          <w:spacing w:val="53"/>
          <w:sz w:val="20"/>
        </w:rPr>
        <w:t> </w:t>
      </w:r>
      <w:r>
        <w:rPr>
          <w:sz w:val="20"/>
        </w:rPr>
        <w:t>(2019,</w:t>
      </w:r>
    </w:p>
    <w:p>
      <w:pPr>
        <w:pStyle w:val="BodyText"/>
        <w:spacing w:line="271" w:lineRule="auto" w:before="31"/>
        <w:ind w:left="320" w:right="436"/>
        <w:jc w:val="both"/>
      </w:pPr>
      <w:r>
        <w:rPr>
          <w:position w:val="1"/>
        </w:rPr>
        <w:t>p. 150</w:t>
      </w:r>
      <w:r>
        <w:rPr>
          <w:sz w:val="13"/>
        </w:rPr>
        <w:t>[5]</w:t>
      </w:r>
      <w:r>
        <w:rPr>
          <w:position w:val="1"/>
        </w:rPr>
        <w:t>) “When RJIES was adopted – and in the early years of its implementation – the law aimed to</w:t>
      </w:r>
      <w:r>
        <w:rPr>
          <w:spacing w:val="1"/>
          <w:position w:val="1"/>
        </w:rPr>
        <w:t> </w:t>
      </w:r>
      <w:r>
        <w:rPr/>
        <w:t>permit foundation institutions to operate with far wider financial and managerial autonomy than was</w:t>
      </w:r>
      <w:r>
        <w:rPr>
          <w:spacing w:val="1"/>
        </w:rPr>
        <w:t> </w:t>
      </w:r>
      <w:r>
        <w:rPr/>
        <w:t>previously the case, and created a new framework of financial management that was substantially</w:t>
      </w:r>
      <w:r>
        <w:rPr>
          <w:spacing w:val="1"/>
        </w:rPr>
        <w:t> </w:t>
      </w:r>
      <w:r>
        <w:rPr/>
        <w:t>‘outside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fiscal</w:t>
      </w:r>
      <w:r>
        <w:rPr>
          <w:spacing w:val="-1"/>
        </w:rPr>
        <w:t> </w:t>
      </w:r>
      <w:r>
        <w:rPr/>
        <w:t>perimeter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state’. Key</w:t>
      </w:r>
      <w:r>
        <w:rPr>
          <w:spacing w:val="-5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 this wider</w:t>
      </w:r>
      <w:r>
        <w:rPr>
          <w:spacing w:val="-1"/>
        </w:rPr>
        <w:t> </w:t>
      </w:r>
      <w:r>
        <w:rPr/>
        <w:t>autonomy</w:t>
      </w:r>
      <w:r>
        <w:rPr>
          <w:spacing w:val="-8"/>
        </w:rPr>
        <w:t> </w:t>
      </w:r>
      <w:r>
        <w:rPr/>
        <w:t>included: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71" w:lineRule="auto" w:before="60" w:after="0"/>
        <w:ind w:left="1040" w:right="449" w:hanging="360"/>
        <w:jc w:val="both"/>
        <w:rPr>
          <w:sz w:val="20"/>
        </w:rPr>
      </w:pPr>
      <w:r>
        <w:rPr>
          <w:sz w:val="20"/>
        </w:rPr>
        <w:t>exemption from the Public Procurement Code for the acquisition of goods and services below</w:t>
      </w:r>
      <w:r>
        <w:rPr>
          <w:spacing w:val="-53"/>
          <w:sz w:val="20"/>
        </w:rPr>
        <w:t> </w:t>
      </w:r>
      <w:r>
        <w:rPr>
          <w:sz w:val="20"/>
        </w:rPr>
        <w:t>EUR</w:t>
      </w:r>
      <w:r>
        <w:rPr>
          <w:spacing w:val="-2"/>
          <w:sz w:val="20"/>
        </w:rPr>
        <w:t> </w:t>
      </w:r>
      <w:r>
        <w:rPr>
          <w:sz w:val="20"/>
        </w:rPr>
        <w:t>200</w:t>
      </w:r>
      <w:r>
        <w:rPr>
          <w:spacing w:val="1"/>
          <w:sz w:val="20"/>
        </w:rPr>
        <w:t> </w:t>
      </w:r>
      <w:r>
        <w:rPr>
          <w:sz w:val="20"/>
        </w:rPr>
        <w:t>000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68" w:lineRule="auto" w:before="61" w:after="0"/>
        <w:ind w:left="1040" w:right="445" w:hanging="360"/>
        <w:jc w:val="both"/>
        <w:rPr>
          <w:sz w:val="20"/>
        </w:rPr>
      </w:pPr>
      <w:r>
        <w:rPr>
          <w:sz w:val="20"/>
        </w:rPr>
        <w:t>exemption</w:t>
      </w:r>
      <w:r>
        <w:rPr>
          <w:spacing w:val="55"/>
          <w:sz w:val="20"/>
        </w:rPr>
        <w:t> </w:t>
      </w:r>
      <w:r>
        <w:rPr>
          <w:sz w:val="20"/>
        </w:rPr>
        <w:t>from</w:t>
      </w:r>
      <w:r>
        <w:rPr>
          <w:spacing w:val="56"/>
          <w:sz w:val="20"/>
        </w:rPr>
        <w:t> </w:t>
      </w:r>
      <w:r>
        <w:rPr>
          <w:sz w:val="20"/>
        </w:rPr>
        <w:t>the</w:t>
      </w:r>
      <w:r>
        <w:rPr>
          <w:spacing w:val="56"/>
          <w:sz w:val="20"/>
        </w:rPr>
        <w:t> </w:t>
      </w:r>
      <w:r>
        <w:rPr>
          <w:sz w:val="20"/>
        </w:rPr>
        <w:t>Public   Procurement</w:t>
      </w:r>
      <w:r>
        <w:rPr>
          <w:spacing w:val="55"/>
          <w:sz w:val="20"/>
        </w:rPr>
        <w:t> </w:t>
      </w:r>
      <w:r>
        <w:rPr>
          <w:sz w:val="20"/>
        </w:rPr>
        <w:t>Code   for</w:t>
      </w:r>
      <w:r>
        <w:rPr>
          <w:spacing w:val="56"/>
          <w:sz w:val="20"/>
        </w:rPr>
        <w:t> </w:t>
      </w:r>
      <w:r>
        <w:rPr>
          <w:sz w:val="20"/>
        </w:rPr>
        <w:t>the</w:t>
      </w:r>
      <w:r>
        <w:rPr>
          <w:spacing w:val="55"/>
          <w:sz w:val="20"/>
        </w:rPr>
        <w:t> </w:t>
      </w:r>
      <w:r>
        <w:rPr>
          <w:sz w:val="20"/>
        </w:rPr>
        <w:t>contracting   of   works</w:t>
      </w:r>
      <w:r>
        <w:rPr>
          <w:spacing w:val="56"/>
          <w:sz w:val="20"/>
        </w:rPr>
        <w:t> </w:t>
      </w:r>
      <w:r>
        <w:rPr>
          <w:sz w:val="20"/>
        </w:rPr>
        <w:t>below</w:t>
      </w:r>
      <w:r>
        <w:rPr>
          <w:spacing w:val="1"/>
          <w:sz w:val="20"/>
        </w:rPr>
        <w:t> </w:t>
      </w:r>
      <w:r>
        <w:rPr>
          <w:sz w:val="20"/>
        </w:rPr>
        <w:t>EUR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1"/>
          <w:sz w:val="20"/>
        </w:rPr>
        <w:t> </w:t>
      </w:r>
      <w:r>
        <w:rPr>
          <w:sz w:val="20"/>
        </w:rPr>
        <w:t>000</w:t>
      </w:r>
      <w:r>
        <w:rPr>
          <w:spacing w:val="-1"/>
          <w:sz w:val="20"/>
        </w:rPr>
        <w:t> </w:t>
      </w:r>
      <w:r>
        <w:rPr>
          <w:sz w:val="20"/>
        </w:rPr>
        <w:t>000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71" w:lineRule="auto" w:before="62" w:after="0"/>
        <w:ind w:left="1040" w:right="450" w:hanging="360"/>
        <w:jc w:val="both"/>
        <w:rPr>
          <w:sz w:val="20"/>
        </w:rPr>
      </w:pPr>
      <w:r>
        <w:rPr>
          <w:sz w:val="20"/>
        </w:rPr>
        <w:t>authorisation to manage real estate, physical assets and financial assets in accordance with</w:t>
      </w:r>
      <w:r>
        <w:rPr>
          <w:spacing w:val="1"/>
          <w:sz w:val="20"/>
        </w:rPr>
        <w:t> </w:t>
      </w:r>
      <w:r>
        <w:rPr>
          <w:sz w:val="20"/>
        </w:rPr>
        <w:t>private</w:t>
      </w:r>
      <w:r>
        <w:rPr>
          <w:spacing w:val="-3"/>
          <w:sz w:val="20"/>
        </w:rPr>
        <w:t> </w:t>
      </w:r>
      <w:r>
        <w:rPr>
          <w:sz w:val="20"/>
        </w:rPr>
        <w:t>financial</w:t>
      </w:r>
      <w:r>
        <w:rPr>
          <w:spacing w:val="-2"/>
          <w:sz w:val="20"/>
        </w:rPr>
        <w:t> </w:t>
      </w:r>
      <w:r>
        <w:rPr>
          <w:sz w:val="20"/>
        </w:rPr>
        <w:t>management</w:t>
      </w:r>
      <w:r>
        <w:rPr>
          <w:spacing w:val="-1"/>
          <w:sz w:val="20"/>
        </w:rPr>
        <w:t> </w:t>
      </w:r>
      <w:r>
        <w:rPr>
          <w:sz w:val="20"/>
        </w:rPr>
        <w:t>rules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68" w:lineRule="auto" w:before="60" w:after="0"/>
        <w:ind w:left="1040" w:right="444" w:hanging="360"/>
        <w:jc w:val="both"/>
        <w:rPr>
          <w:sz w:val="20"/>
        </w:rPr>
      </w:pPr>
      <w:r>
        <w:rPr>
          <w:spacing w:val="-1"/>
          <w:sz w:val="20"/>
        </w:rPr>
        <w:t>exemption,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part,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from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obligation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render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accounts</w:t>
      </w:r>
      <w:r>
        <w:rPr>
          <w:spacing w:val="-12"/>
          <w:sz w:val="20"/>
        </w:rPr>
        <w:t> </w:t>
      </w:r>
      <w:r>
        <w:rPr>
          <w:sz w:val="20"/>
        </w:rPr>
        <w:t>according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4"/>
          <w:sz w:val="20"/>
        </w:rPr>
        <w:t> </w:t>
      </w:r>
      <w:r>
        <w:rPr>
          <w:sz w:val="20"/>
        </w:rPr>
        <w:t>Official</w:t>
      </w:r>
      <w:r>
        <w:rPr>
          <w:spacing w:val="-11"/>
          <w:sz w:val="20"/>
        </w:rPr>
        <w:t> </w:t>
      </w:r>
      <w:r>
        <w:rPr>
          <w:sz w:val="20"/>
        </w:rPr>
        <w:t>Plan</w:t>
      </w:r>
      <w:r>
        <w:rPr>
          <w:spacing w:val="-14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Public</w:t>
      </w:r>
      <w:r>
        <w:rPr>
          <w:spacing w:val="1"/>
          <w:sz w:val="20"/>
        </w:rPr>
        <w:t> </w:t>
      </w:r>
      <w:r>
        <w:rPr>
          <w:sz w:val="20"/>
        </w:rPr>
        <w:t>Accounting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the Education</w:t>
      </w:r>
      <w:r>
        <w:rPr>
          <w:spacing w:val="-1"/>
          <w:sz w:val="20"/>
        </w:rPr>
        <w:t> </w:t>
      </w:r>
      <w:r>
        <w:rPr>
          <w:sz w:val="20"/>
        </w:rPr>
        <w:t>Sector</w:t>
      </w:r>
      <w:r>
        <w:rPr>
          <w:spacing w:val="-1"/>
          <w:sz w:val="20"/>
        </w:rPr>
        <w:t> </w:t>
      </w:r>
      <w:r>
        <w:rPr>
          <w:sz w:val="20"/>
        </w:rPr>
        <w:t>(POC-Educação)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68" w:lineRule="auto" w:before="65" w:after="0"/>
        <w:ind w:left="1040" w:right="449" w:hanging="360"/>
        <w:jc w:val="both"/>
        <w:rPr>
          <w:sz w:val="20"/>
        </w:rPr>
      </w:pPr>
      <w:r>
        <w:rPr>
          <w:sz w:val="20"/>
        </w:rPr>
        <w:t>authorisation to make financial investments according to the best offers on the market (rather</w:t>
      </w:r>
      <w:r>
        <w:rPr>
          <w:spacing w:val="1"/>
          <w:sz w:val="20"/>
        </w:rPr>
        <w:t> </w:t>
      </w:r>
      <w:r>
        <w:rPr>
          <w:sz w:val="20"/>
        </w:rPr>
        <w:t>than holding assets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cash or</w:t>
      </w:r>
      <w:r>
        <w:rPr>
          <w:spacing w:val="-1"/>
          <w:sz w:val="20"/>
        </w:rPr>
        <w:t> </w:t>
      </w:r>
      <w:r>
        <w:rPr>
          <w:sz w:val="20"/>
        </w:rPr>
        <w:t>government</w:t>
      </w:r>
      <w:r>
        <w:rPr>
          <w:spacing w:val="-1"/>
          <w:sz w:val="20"/>
        </w:rPr>
        <w:t> </w:t>
      </w:r>
      <w:r>
        <w:rPr>
          <w:sz w:val="20"/>
        </w:rPr>
        <w:t>bonds)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71" w:lineRule="auto" w:before="62" w:after="0"/>
        <w:ind w:left="1040" w:right="443" w:hanging="360"/>
        <w:jc w:val="both"/>
        <w:rPr>
          <w:sz w:val="20"/>
        </w:rPr>
      </w:pPr>
      <w:r>
        <w:rPr>
          <w:sz w:val="20"/>
        </w:rPr>
        <w:t>exemption</w:t>
      </w:r>
      <w:r>
        <w:rPr>
          <w:spacing w:val="-10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requirement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annual</w:t>
      </w:r>
      <w:r>
        <w:rPr>
          <w:spacing w:val="-11"/>
          <w:sz w:val="20"/>
        </w:rPr>
        <w:t> </w:t>
      </w:r>
      <w:r>
        <w:rPr>
          <w:sz w:val="20"/>
        </w:rPr>
        <w:t>budgetary</w:t>
      </w:r>
      <w:r>
        <w:rPr>
          <w:spacing w:val="-10"/>
          <w:sz w:val="20"/>
        </w:rPr>
        <w:t> </w:t>
      </w:r>
      <w:r>
        <w:rPr>
          <w:sz w:val="20"/>
        </w:rPr>
        <w:t>balance,</w:t>
      </w:r>
      <w:r>
        <w:rPr>
          <w:spacing w:val="-9"/>
          <w:sz w:val="20"/>
        </w:rPr>
        <w:t> </w:t>
      </w:r>
      <w:r>
        <w:rPr>
          <w:sz w:val="20"/>
        </w:rPr>
        <w:t>permitting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institution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carry</w:t>
      </w:r>
      <w:r>
        <w:rPr>
          <w:spacing w:val="-54"/>
          <w:sz w:val="20"/>
        </w:rPr>
        <w:t> </w:t>
      </w:r>
      <w:r>
        <w:rPr>
          <w:sz w:val="20"/>
        </w:rPr>
        <w:t>forward</w:t>
      </w:r>
      <w:r>
        <w:rPr>
          <w:spacing w:val="-2"/>
          <w:sz w:val="20"/>
        </w:rPr>
        <w:t> </w:t>
      </w:r>
      <w:r>
        <w:rPr>
          <w:sz w:val="20"/>
        </w:rPr>
        <w:t>a surplus or</w:t>
      </w:r>
      <w:r>
        <w:rPr>
          <w:spacing w:val="-2"/>
          <w:sz w:val="20"/>
        </w:rPr>
        <w:t> </w:t>
      </w:r>
      <w:r>
        <w:rPr>
          <w:sz w:val="20"/>
        </w:rPr>
        <w:t>deficit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3"/>
          <w:sz w:val="20"/>
        </w:rPr>
        <w:t> </w:t>
      </w:r>
      <w:r>
        <w:rPr>
          <w:sz w:val="20"/>
        </w:rPr>
        <w:t>one</w:t>
      </w:r>
      <w:r>
        <w:rPr>
          <w:spacing w:val="-1"/>
          <w:sz w:val="20"/>
        </w:rPr>
        <w:t> </w:t>
      </w:r>
      <w:r>
        <w:rPr>
          <w:sz w:val="20"/>
        </w:rPr>
        <w:t>fiscal</w:t>
      </w:r>
      <w:r>
        <w:rPr>
          <w:spacing w:val="-1"/>
          <w:sz w:val="20"/>
        </w:rPr>
        <w:t> </w:t>
      </w:r>
      <w:r>
        <w:rPr>
          <w:sz w:val="20"/>
        </w:rPr>
        <w:t>year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next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71" w:lineRule="auto" w:before="60" w:after="0"/>
        <w:ind w:left="1040" w:right="438" w:hanging="360"/>
        <w:jc w:val="both"/>
        <w:rPr>
          <w:sz w:val="20"/>
        </w:rPr>
      </w:pPr>
      <w:r>
        <w:rPr>
          <w:sz w:val="20"/>
        </w:rPr>
        <w:t>permission to borrow without authorisation by joint dispatch of the Minister of Finance and</w:t>
      </w:r>
      <w:r>
        <w:rPr>
          <w:spacing w:val="1"/>
          <w:sz w:val="20"/>
        </w:rPr>
        <w:t> </w:t>
      </w:r>
      <w:r>
        <w:rPr>
          <w:sz w:val="20"/>
        </w:rPr>
        <w:t>MCTES, thereby permitting additional financing to meet matching requirements in EU-funded</w:t>
      </w:r>
      <w:r>
        <w:rPr>
          <w:spacing w:val="1"/>
          <w:sz w:val="20"/>
        </w:rPr>
        <w:t> </w:t>
      </w:r>
      <w:r>
        <w:rPr>
          <w:sz w:val="20"/>
        </w:rPr>
        <w:t>activities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40" w:lineRule="auto" w:before="60" w:after="0"/>
        <w:ind w:left="1040" w:right="0" w:hanging="361"/>
        <w:jc w:val="both"/>
        <w:rPr>
          <w:sz w:val="20"/>
        </w:rPr>
      </w:pPr>
      <w:r>
        <w:rPr>
          <w:sz w:val="20"/>
        </w:rPr>
        <w:t>authorisation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hire</w:t>
      </w:r>
      <w:r>
        <w:rPr>
          <w:spacing w:val="-5"/>
          <w:sz w:val="20"/>
        </w:rPr>
        <w:t> </w:t>
      </w:r>
      <w:r>
        <w:rPr>
          <w:sz w:val="20"/>
        </w:rPr>
        <w:t>teaching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non-teaching</w:t>
      </w:r>
      <w:r>
        <w:rPr>
          <w:spacing w:val="-6"/>
          <w:sz w:val="20"/>
        </w:rPr>
        <w:t> </w:t>
      </w:r>
      <w:r>
        <w:rPr>
          <w:sz w:val="20"/>
        </w:rPr>
        <w:t>staff</w:t>
      </w:r>
      <w:r>
        <w:rPr>
          <w:spacing w:val="-2"/>
          <w:sz w:val="20"/>
        </w:rPr>
        <w:t> </w:t>
      </w:r>
      <w:r>
        <w:rPr>
          <w:sz w:val="20"/>
        </w:rPr>
        <w:t>under</w:t>
      </w:r>
      <w:r>
        <w:rPr>
          <w:spacing w:val="-4"/>
          <w:sz w:val="20"/>
        </w:rPr>
        <w:t> </w:t>
      </w:r>
      <w:r>
        <w:rPr>
          <w:sz w:val="20"/>
        </w:rPr>
        <w:t>private</w:t>
      </w:r>
      <w:r>
        <w:rPr>
          <w:spacing w:val="-3"/>
          <w:sz w:val="20"/>
        </w:rPr>
        <w:t> </w:t>
      </w:r>
      <w:r>
        <w:rPr>
          <w:sz w:val="20"/>
        </w:rPr>
        <w:t>law</w:t>
      </w:r>
    </w:p>
    <w:p>
      <w:pPr>
        <w:pStyle w:val="ListParagraph"/>
        <w:numPr>
          <w:ilvl w:val="0"/>
          <w:numId w:val="33"/>
        </w:numPr>
        <w:tabs>
          <w:tab w:pos="1041" w:val="left" w:leader="none"/>
        </w:tabs>
        <w:spacing w:line="240" w:lineRule="auto" w:before="89" w:after="0"/>
        <w:ind w:left="1040" w:right="0" w:hanging="361"/>
        <w:jc w:val="both"/>
        <w:rPr>
          <w:sz w:val="20"/>
        </w:rPr>
      </w:pPr>
      <w:r>
        <w:rPr>
          <w:sz w:val="20"/>
        </w:rPr>
        <w:t>authorisation</w:t>
      </w:r>
      <w:r>
        <w:rPr>
          <w:spacing w:val="-1"/>
          <w:sz w:val="20"/>
        </w:rPr>
        <w:t> </w:t>
      </w:r>
      <w:r>
        <w:rPr>
          <w:sz w:val="20"/>
        </w:rPr>
        <w:t>to buy</w:t>
      </w:r>
      <w:r>
        <w:rPr>
          <w:spacing w:val="-3"/>
          <w:sz w:val="20"/>
        </w:rPr>
        <w:t> </w:t>
      </w:r>
      <w:r>
        <w:rPr>
          <w:sz w:val="20"/>
        </w:rPr>
        <w:t>and sell</w:t>
      </w:r>
      <w:r>
        <w:rPr>
          <w:spacing w:val="-3"/>
          <w:sz w:val="20"/>
        </w:rPr>
        <w:t> </w:t>
      </w:r>
      <w:r>
        <w:rPr>
          <w:sz w:val="20"/>
        </w:rPr>
        <w:t>real</w:t>
      </w:r>
      <w:r>
        <w:rPr>
          <w:spacing w:val="-1"/>
          <w:sz w:val="20"/>
        </w:rPr>
        <w:t> </w:t>
      </w:r>
      <w:r>
        <w:rPr>
          <w:sz w:val="20"/>
        </w:rPr>
        <w:t>estate with the</w:t>
      </w:r>
      <w:r>
        <w:rPr>
          <w:spacing w:val="-2"/>
          <w:sz w:val="20"/>
        </w:rPr>
        <w:t> </w:t>
      </w:r>
      <w:r>
        <w:rPr>
          <w:sz w:val="20"/>
        </w:rPr>
        <w:t>approval</w:t>
      </w:r>
      <w:r>
        <w:rPr>
          <w:spacing w:val="-3"/>
          <w:sz w:val="20"/>
        </w:rPr>
        <w:t> </w:t>
      </w:r>
      <w:r>
        <w:rPr>
          <w:sz w:val="20"/>
        </w:rPr>
        <w:t>of the institution’s</w:t>
      </w:r>
      <w:r>
        <w:rPr>
          <w:spacing w:val="-1"/>
          <w:sz w:val="20"/>
        </w:rPr>
        <w:t> </w:t>
      </w:r>
      <w:r>
        <w:rPr>
          <w:sz w:val="20"/>
        </w:rPr>
        <w:t>board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trustees,</w:t>
      </w:r>
    </w:p>
    <w:p>
      <w:pPr>
        <w:pStyle w:val="BodyText"/>
        <w:spacing w:before="30"/>
        <w:ind w:left="1040"/>
        <w:jc w:val="both"/>
      </w:pPr>
      <w:r>
        <w:rPr/>
        <w:t>in</w:t>
      </w:r>
      <w:r>
        <w:rPr>
          <w:spacing w:val="-4"/>
        </w:rPr>
        <w:t> </w:t>
      </w:r>
      <w:r>
        <w:rPr/>
        <w:t>place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Ministry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Finance.”</w:t>
      </w:r>
    </w:p>
    <w:p>
      <w:pPr>
        <w:spacing w:line="254" w:lineRule="auto" w:before="137"/>
        <w:ind w:left="320" w:right="439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position w:val="1"/>
          <w:sz w:val="18"/>
        </w:rPr>
        <w:t>Sources:</w:t>
      </w:r>
      <w:r>
        <w:rPr>
          <w:rFonts w:ascii="Microsoft Sans Serif" w:hAns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 w:hAnsi="Microsoft Sans Serif"/>
          <w:w w:val="90"/>
          <w:position w:val="1"/>
          <w:sz w:val="18"/>
        </w:rPr>
        <w:t>Government</w:t>
      </w:r>
      <w:r>
        <w:rPr>
          <w:rFonts w:ascii="Microsoft Sans Serif" w:hAns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 w:hAnsi="Microsoft Sans Serif"/>
          <w:w w:val="90"/>
          <w:position w:val="1"/>
          <w:sz w:val="18"/>
        </w:rPr>
        <w:t>of</w:t>
      </w:r>
      <w:r>
        <w:rPr>
          <w:rFonts w:ascii="Microsoft Sans Serif" w:hAns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 w:hAnsi="Microsoft Sans Serif"/>
          <w:w w:val="90"/>
          <w:position w:val="1"/>
          <w:sz w:val="18"/>
        </w:rPr>
        <w:t>Portugal</w:t>
      </w:r>
      <w:r>
        <w:rPr>
          <w:rFonts w:ascii="Microsoft Sans Serif" w:hAns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 w:hAnsi="Microsoft Sans Serif"/>
          <w:w w:val="90"/>
          <w:position w:val="1"/>
          <w:sz w:val="18"/>
        </w:rPr>
        <w:t>(2007</w:t>
      </w:r>
      <w:r>
        <w:rPr>
          <w:rFonts w:ascii="Microsoft Sans Serif" w:hAnsi="Microsoft Sans Serif"/>
          <w:w w:val="90"/>
          <w:sz w:val="12"/>
        </w:rPr>
        <w:t>[14]</w:t>
      </w:r>
      <w:r>
        <w:rPr>
          <w:rFonts w:ascii="Microsoft Sans Serif" w:hAnsi="Microsoft Sans Serif"/>
          <w:w w:val="90"/>
          <w:position w:val="1"/>
          <w:sz w:val="18"/>
        </w:rPr>
        <w:t>),</w:t>
      </w:r>
      <w:r>
        <w:rPr>
          <w:rFonts w:ascii="Microsoft Sans Serif" w:hAnsi="Microsoft Sans Serif"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Regime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Jurídico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das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Instituiçóes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de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Ensino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Superio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r>
        <w:rPr>
          <w:rFonts w:ascii="Arial" w:hAnsi="Arial"/>
          <w:i/>
          <w:w w:val="90"/>
          <w:position w:val="1"/>
          <w:sz w:val="18"/>
        </w:rPr>
        <w:t>(RJIES),</w:t>
      </w:r>
      <w:r>
        <w:rPr>
          <w:rFonts w:ascii="Arial" w:hAnsi="Arial"/>
          <w:i/>
          <w:spacing w:val="1"/>
          <w:w w:val="90"/>
          <w:position w:val="1"/>
          <w:sz w:val="18"/>
        </w:rPr>
        <w:t> </w:t>
      </w:r>
      <w:hyperlink r:id="rId157">
        <w:r>
          <w:rPr>
            <w:rFonts w:ascii="Microsoft Sans Serif" w:hAnsi="Microsoft Sans Serif"/>
            <w:color w:val="0000FF"/>
            <w:spacing w:val="-1"/>
            <w:w w:val="85"/>
            <w:position w:val="1"/>
            <w:sz w:val="18"/>
            <w:u w:val="single" w:color="0000FF"/>
          </w:rPr>
          <w:t>https://data.dre.pt/eli/lei/62/2007/09/10/p/dre/pt/htm</w:t>
        </w:r>
        <w:r>
          <w:rPr>
            <w:rFonts w:ascii="Microsoft Sans Serif" w:hAnsi="Microsoft Sans Serif"/>
            <w:color w:val="0000FF"/>
            <w:spacing w:val="-1"/>
            <w:w w:val="85"/>
            <w:position w:val="1"/>
            <w:sz w:val="18"/>
          </w:rPr>
          <w:t>l</w:t>
        </w:r>
        <w:r>
          <w:rPr>
            <w:rFonts w:ascii="Microsoft Sans Serif" w:hAnsi="Microsoft Sans Serif"/>
            <w:spacing w:val="-1"/>
            <w:w w:val="85"/>
            <w:position w:val="1"/>
            <w:sz w:val="18"/>
          </w:rPr>
          <w:t>;</w:t>
        </w:r>
      </w:hyperlink>
      <w:r>
        <w:rPr>
          <w:rFonts w:ascii="Microsoft Sans Serif" w:hAnsi="Microsoft Sans Serif"/>
          <w:spacing w:val="-1"/>
          <w:w w:val="85"/>
          <w:position w:val="1"/>
          <w:sz w:val="18"/>
        </w:rPr>
        <w:t> </w:t>
      </w:r>
      <w:r>
        <w:rPr>
          <w:rFonts w:ascii="Microsoft Sans Serif" w:hAnsi="Microsoft Sans Serif"/>
          <w:w w:val="85"/>
          <w:position w:val="1"/>
          <w:sz w:val="18"/>
        </w:rPr>
        <w:t>OECD (2019</w:t>
      </w:r>
      <w:r>
        <w:rPr>
          <w:rFonts w:ascii="Microsoft Sans Serif" w:hAnsi="Microsoft Sans Serif"/>
          <w:w w:val="85"/>
          <w:sz w:val="12"/>
        </w:rPr>
        <w:t>[5]</w:t>
      </w:r>
      <w:r>
        <w:rPr>
          <w:rFonts w:ascii="Microsoft Sans Serif" w:hAnsi="Microsoft Sans Serif"/>
          <w:w w:val="85"/>
          <w:position w:val="1"/>
          <w:sz w:val="18"/>
        </w:rPr>
        <w:t>), </w:t>
      </w:r>
      <w:r>
        <w:rPr>
          <w:rFonts w:ascii="Arial" w:hAnsi="Arial"/>
          <w:i/>
          <w:w w:val="85"/>
          <w:position w:val="1"/>
          <w:sz w:val="18"/>
        </w:rPr>
        <w:t>OECD Review of Higher Education, Research and Innovation:</w:t>
      </w:r>
      <w:r>
        <w:rPr>
          <w:rFonts w:ascii="Arial" w:hAnsi="Arial"/>
          <w:i/>
          <w:spacing w:val="1"/>
          <w:w w:val="85"/>
          <w:position w:val="1"/>
          <w:sz w:val="18"/>
        </w:rPr>
        <w:t> </w:t>
      </w:r>
      <w:r>
        <w:rPr>
          <w:rFonts w:ascii="Arial" w:hAnsi="Arial"/>
          <w:i/>
          <w:w w:val="90"/>
          <w:sz w:val="18"/>
        </w:rPr>
        <w:t>Portugal,</w:t>
      </w:r>
      <w:r>
        <w:rPr>
          <w:rFonts w:ascii="Arial" w:hAnsi="Arial"/>
          <w:i/>
          <w:spacing w:val="-8"/>
          <w:w w:val="90"/>
          <w:sz w:val="18"/>
        </w:rPr>
        <w:t> </w:t>
      </w:r>
      <w:hyperlink r:id="rId203">
        <w:r>
          <w:rPr>
            <w:rFonts w:ascii="Microsoft Sans Serif" w:hAnsi="Microsoft Sans Serif"/>
            <w:color w:val="0000FF"/>
            <w:w w:val="90"/>
            <w:sz w:val="18"/>
            <w:u w:val="single" w:color="0000FF"/>
          </w:rPr>
          <w:t>https://doi.org/10.1787/9789264308138-en.</w:t>
        </w:r>
      </w:hyperlink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7"/>
        <w:rPr>
          <w:rFonts w:ascii="Microsoft Sans Serif"/>
          <w:sz w:val="22"/>
        </w:rPr>
      </w:pPr>
    </w:p>
    <w:p>
      <w:pPr>
        <w:pStyle w:val="Heading5"/>
        <w:spacing w:before="93"/>
      </w:pPr>
      <w:r>
        <w:rPr>
          <w:color w:val="616161"/>
        </w:rPr>
        <w:t>Policy</w:t>
      </w:r>
      <w:r>
        <w:rPr>
          <w:color w:val="616161"/>
          <w:spacing w:val="-4"/>
        </w:rPr>
        <w:t> </w:t>
      </w:r>
      <w:r>
        <w:rPr>
          <w:color w:val="616161"/>
        </w:rPr>
        <w:t>process:</w:t>
      </w:r>
      <w:r>
        <w:rPr>
          <w:color w:val="616161"/>
          <w:spacing w:val="-5"/>
        </w:rPr>
        <w:t> </w:t>
      </w:r>
      <w:r>
        <w:rPr>
          <w:color w:val="616161"/>
        </w:rPr>
        <w:t>Implementation</w:t>
      </w:r>
      <w:r>
        <w:rPr>
          <w:color w:val="616161"/>
          <w:spacing w:val="-6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outcomes</w:t>
      </w:r>
    </w:p>
    <w:p>
      <w:pPr>
        <w:pStyle w:val="BodyText"/>
        <w:spacing w:before="2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The institutional governance changes that apply to all Portuguese HEIs and the inauguration of the</w:t>
      </w:r>
      <w:r>
        <w:rPr>
          <w:spacing w:val="1"/>
        </w:rPr>
        <w:t> </w:t>
      </w:r>
      <w:r>
        <w:rPr>
          <w:spacing w:val="-1"/>
        </w:rPr>
        <w:t>foundation-status</w:t>
      </w:r>
      <w:r>
        <w:rPr>
          <w:spacing w:val="-14"/>
        </w:rPr>
        <w:t> </w:t>
      </w:r>
      <w:r>
        <w:rPr>
          <w:spacing w:val="-1"/>
        </w:rPr>
        <w:t>option</w:t>
      </w:r>
      <w:r>
        <w:rPr>
          <w:spacing w:val="-13"/>
        </w:rPr>
        <w:t> </w:t>
      </w:r>
      <w:r>
        <w:rPr>
          <w:spacing w:val="-1"/>
        </w:rPr>
        <w:t>under</w:t>
      </w:r>
      <w:r>
        <w:rPr>
          <w:spacing w:val="-14"/>
        </w:rPr>
        <w:t> </w:t>
      </w:r>
      <w:r>
        <w:rPr>
          <w:spacing w:val="-1"/>
        </w:rPr>
        <w:t>RJIES</w:t>
      </w:r>
      <w:r>
        <w:rPr>
          <w:spacing w:val="-13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followed</w:t>
      </w:r>
      <w:r>
        <w:rPr>
          <w:spacing w:val="-12"/>
        </w:rPr>
        <w:t> </w:t>
      </w:r>
      <w:r>
        <w:rPr>
          <w:spacing w:val="-1"/>
        </w:rPr>
        <w:t>distinct</w:t>
      </w:r>
      <w:r>
        <w:rPr>
          <w:spacing w:val="-12"/>
        </w:rPr>
        <w:t> </w:t>
      </w:r>
      <w:r>
        <w:rPr>
          <w:spacing w:val="-1"/>
        </w:rPr>
        <w:t>trajectories,</w:t>
      </w:r>
      <w:r>
        <w:rPr>
          <w:spacing w:val="-10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former</w:t>
      </w:r>
      <w:r>
        <w:rPr>
          <w:spacing w:val="-14"/>
        </w:rPr>
        <w:t> </w:t>
      </w:r>
      <w:r>
        <w:rPr/>
        <w:t>implemented</w:t>
      </w:r>
      <w:r>
        <w:rPr>
          <w:spacing w:val="-15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completely than the latter. In both cases, the impact of the post-2008 financial crisis in the specific</w:t>
      </w:r>
      <w:r>
        <w:rPr>
          <w:spacing w:val="1"/>
        </w:rPr>
        <w:t> </w:t>
      </w:r>
      <w:r>
        <w:rPr/>
        <w:t>Portuguese context has been significant. As the 2011-14 Economic Adjustment Programme proceeded,</w:t>
      </w:r>
      <w:r>
        <w:rPr>
          <w:spacing w:val="1"/>
        </w:rPr>
        <w:t> </w:t>
      </w:r>
      <w:r>
        <w:rPr>
          <w:position w:val="1"/>
        </w:rPr>
        <w:t>“sharp reductions were made to public investments in knowledge and innovation” (OECD, 2019</w:t>
      </w:r>
      <w:r>
        <w:rPr>
          <w:sz w:val="13"/>
        </w:rPr>
        <w:t>[5]</w:t>
      </w:r>
      <w:r>
        <w:rPr>
          <w:position w:val="1"/>
        </w:rPr>
        <w:t>) and</w:t>
      </w:r>
      <w:r>
        <w:rPr>
          <w:spacing w:val="1"/>
          <w:position w:val="1"/>
        </w:rPr>
        <w:t> </w:t>
      </w:r>
      <w:r>
        <w:rPr/>
        <w:t>financial flexibilities available within the HE sector in Portugal declined. In the case of governance reform</w:t>
      </w:r>
      <w:r>
        <w:rPr>
          <w:spacing w:val="1"/>
        </w:rPr>
        <w:t> </w:t>
      </w:r>
      <w:r>
        <w:rPr/>
        <w:t>for all HEIs, this led to new governance bodies in place, just as financial constraints limited capacity to</w:t>
      </w:r>
      <w:r>
        <w:rPr>
          <w:spacing w:val="1"/>
        </w:rPr>
        <w:t> </w:t>
      </w:r>
      <w:r>
        <w:rPr/>
        <w:t>exercise</w:t>
      </w:r>
      <w:r>
        <w:rPr>
          <w:spacing w:val="-8"/>
        </w:rPr>
        <w:t> </w:t>
      </w:r>
      <w:r>
        <w:rPr/>
        <w:t>strategic</w:t>
      </w:r>
      <w:r>
        <w:rPr>
          <w:spacing w:val="-5"/>
        </w:rPr>
        <w:t> </w:t>
      </w:r>
      <w:r>
        <w:rPr/>
        <w:t>leadership.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case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foundation-status</w:t>
      </w:r>
      <w:r>
        <w:rPr>
          <w:spacing w:val="-6"/>
        </w:rPr>
        <w:t> </w:t>
      </w:r>
      <w:r>
        <w:rPr/>
        <w:t>HEIs,</w:t>
      </w:r>
      <w:r>
        <w:rPr>
          <w:spacing w:val="-7"/>
        </w:rPr>
        <w:t> </w:t>
      </w:r>
      <w:r>
        <w:rPr/>
        <w:t>flexibility</w:t>
      </w:r>
      <w:r>
        <w:rPr>
          <w:spacing w:val="-10"/>
        </w:rPr>
        <w:t> </w:t>
      </w:r>
      <w:r>
        <w:rPr/>
        <w:t>initially</w:t>
      </w:r>
      <w:r>
        <w:rPr>
          <w:spacing w:val="-10"/>
        </w:rPr>
        <w:t> </w:t>
      </w:r>
      <w:r>
        <w:rPr/>
        <w:t>on</w:t>
      </w:r>
      <w:r>
        <w:rPr>
          <w:spacing w:val="-7"/>
        </w:rPr>
        <w:t> </w:t>
      </w:r>
      <w:r>
        <w:rPr/>
        <w:t>offer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new</w:t>
      </w:r>
      <w:r>
        <w:rPr>
          <w:spacing w:val="1"/>
        </w:rPr>
        <w:t> </w:t>
      </w:r>
      <w:r>
        <w:rPr>
          <w:spacing w:val="-1"/>
        </w:rPr>
        <w:t>status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reduced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planned</w:t>
      </w:r>
      <w:r>
        <w:rPr>
          <w:spacing w:val="-14"/>
        </w:rPr>
        <w:t> </w:t>
      </w:r>
      <w:r>
        <w:rPr>
          <w:spacing w:val="-1"/>
        </w:rPr>
        <w:t>financial</w:t>
      </w:r>
      <w:r>
        <w:rPr>
          <w:spacing w:val="-16"/>
        </w:rPr>
        <w:t> </w:t>
      </w:r>
      <w:r>
        <w:rPr>
          <w:spacing w:val="-1"/>
        </w:rPr>
        <w:t>supports</w:t>
      </w:r>
      <w:r>
        <w:rPr>
          <w:spacing w:val="-12"/>
        </w:rPr>
        <w:t> </w:t>
      </w:r>
      <w:r>
        <w:rPr>
          <w:spacing w:val="-1"/>
        </w:rPr>
        <w:t>were</w:t>
      </w:r>
      <w:r>
        <w:rPr>
          <w:spacing w:val="-15"/>
        </w:rPr>
        <w:t> </w:t>
      </w:r>
      <w:r>
        <w:rPr>
          <w:spacing w:val="-1"/>
        </w:rPr>
        <w:t>not</w:t>
      </w:r>
      <w:r>
        <w:rPr>
          <w:spacing w:val="-15"/>
        </w:rPr>
        <w:t> </w:t>
      </w:r>
      <w:r>
        <w:rPr>
          <w:spacing w:val="-1"/>
        </w:rPr>
        <w:t>delivered.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both</w:t>
      </w:r>
      <w:r>
        <w:rPr>
          <w:spacing w:val="-15"/>
        </w:rPr>
        <w:t> </w:t>
      </w:r>
      <w:r>
        <w:rPr/>
        <w:t>cases,</w:t>
      </w:r>
      <w:r>
        <w:rPr>
          <w:spacing w:val="-15"/>
        </w:rPr>
        <w:t> </w:t>
      </w:r>
      <w:r>
        <w:rPr/>
        <w:t>this</w:t>
      </w:r>
      <w:r>
        <w:rPr>
          <w:spacing w:val="-12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pressure</w:t>
      </w:r>
      <w:r>
        <w:rPr>
          <w:spacing w:val="1"/>
        </w:rPr>
        <w:t> </w:t>
      </w:r>
      <w:r>
        <w:rPr/>
        <w:t>layered</w:t>
      </w:r>
      <w:r>
        <w:rPr>
          <w:spacing w:val="4"/>
        </w:rPr>
        <w:t> </w:t>
      </w:r>
      <w:r>
        <w:rPr/>
        <w:t>upon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</w:t>
      </w:r>
      <w:r>
        <w:rPr>
          <w:spacing w:val="3"/>
        </w:rPr>
        <w:t> </w:t>
      </w:r>
      <w:r>
        <w:rPr/>
        <w:t>lack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sector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consensus</w:t>
      </w:r>
      <w:r>
        <w:rPr>
          <w:spacing w:val="4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best</w:t>
      </w:r>
      <w:r>
        <w:rPr>
          <w:spacing w:val="3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4"/>
        <w:jc w:val="both"/>
      </w:pPr>
      <w:r>
        <w:rPr/>
        <w:t>governance and structure of HEIs, a factor that at present continues to affect implementation and system</w:t>
      </w:r>
      <w:r>
        <w:rPr>
          <w:spacing w:val="-53"/>
        </w:rPr>
        <w:t> </w:t>
      </w:r>
      <w:r>
        <w:rPr/>
        <w:t>development.</w:t>
      </w:r>
      <w:r>
        <w:rPr>
          <w:spacing w:val="1"/>
        </w:rPr>
        <w:t> </w:t>
      </w:r>
      <w:hyperlink w:history="true" w:anchor="_bookmark62">
        <w:r>
          <w:rPr/>
          <w:t>Figure A A.1</w:t>
        </w:r>
      </w:hyperlink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illustrative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outputs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advanced by</w:t>
      </w:r>
      <w:r>
        <w:rPr>
          <w:spacing w:val="-3"/>
        </w:rPr>
        <w:t> </w:t>
      </w:r>
      <w:r>
        <w:rPr/>
        <w:t>RJIES.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183" w:right="0" w:firstLine="0"/>
        <w:jc w:val="both"/>
        <w:rPr>
          <w:rFonts w:ascii="Arial"/>
          <w:b/>
          <w:sz w:val="24"/>
        </w:rPr>
      </w:pPr>
      <w:bookmarkStart w:name="_bookmark62" w:id="177"/>
      <w:bookmarkEnd w:id="177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A.1.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Illustrative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goals,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outputs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outcomes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governance</w:t>
      </w:r>
      <w:r>
        <w:rPr>
          <w:rFonts w:ascii="Arial"/>
          <w:b/>
          <w:color w:val="4E81BD"/>
          <w:spacing w:val="12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reform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Portugal</w:t>
      </w:r>
    </w:p>
    <w:p>
      <w:pPr>
        <w:pStyle w:val="BodyText"/>
        <w:spacing w:before="5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1091168</wp:posOffset>
            </wp:positionH>
            <wp:positionV relativeFrom="paragraph">
              <wp:posOffset>115937</wp:posOffset>
            </wp:positionV>
            <wp:extent cx="5396781" cy="1787652"/>
            <wp:effectExtent l="0" t="0" r="0" b="0"/>
            <wp:wrapTopAndBottom/>
            <wp:docPr id="2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5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781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before="213"/>
      </w:pP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governance</w:t>
      </w:r>
      <w:r>
        <w:rPr>
          <w:spacing w:val="-4"/>
        </w:rPr>
        <w:t> </w:t>
      </w:r>
      <w:r>
        <w:rPr/>
        <w:t>changes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HEIs</w:t>
      </w:r>
    </w:p>
    <w:p>
      <w:pPr>
        <w:pStyle w:val="BodyText"/>
        <w:spacing w:line="271" w:lineRule="auto" w:before="151"/>
        <w:ind w:left="183" w:right="306"/>
        <w:jc w:val="both"/>
      </w:pP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changes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HEIs</w:t>
      </w:r>
      <w:r>
        <w:rPr>
          <w:spacing w:val="-3"/>
        </w:rPr>
        <w:t> </w:t>
      </w:r>
      <w:r>
        <w:rPr/>
        <w:t>under</w:t>
      </w:r>
      <w:r>
        <w:rPr>
          <w:spacing w:val="-6"/>
        </w:rPr>
        <w:t> </w:t>
      </w:r>
      <w:r>
        <w:rPr/>
        <w:t>RJIES</w:t>
      </w:r>
      <w:r>
        <w:rPr>
          <w:spacing w:val="-7"/>
        </w:rPr>
        <w:t> </w:t>
      </w:r>
      <w:r>
        <w:rPr/>
        <w:t>proceeded</w:t>
      </w:r>
      <w:r>
        <w:rPr>
          <w:spacing w:val="-6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law’s</w:t>
      </w:r>
      <w:r>
        <w:rPr>
          <w:spacing w:val="-4"/>
        </w:rPr>
        <w:t> </w:t>
      </w:r>
      <w:r>
        <w:rPr/>
        <w:t>passage.</w:t>
      </w:r>
      <w:r>
        <w:rPr>
          <w:spacing w:val="-53"/>
        </w:rPr>
        <w:t> </w:t>
      </w:r>
      <w:r>
        <w:rPr/>
        <w:t>RJIES required that HEIs adopt new statutes in accordance with the law within eight months of its entry</w:t>
      </w:r>
      <w:r>
        <w:rPr>
          <w:spacing w:val="1"/>
        </w:rPr>
        <w:t> </w:t>
      </w:r>
      <w:r>
        <w:rPr/>
        <w:t>into force, outlining the new governance bodies. HEIs were required to select members of newly named</w:t>
      </w:r>
      <w:r>
        <w:rPr>
          <w:spacing w:val="1"/>
        </w:rPr>
        <w:t> </w:t>
      </w:r>
      <w:r>
        <w:rPr/>
        <w:t>governance bodies (e.g. general councils) within four months of the new institutional statutes’ publication.</w:t>
      </w:r>
      <w:r>
        <w:rPr>
          <w:spacing w:val="-53"/>
        </w:rPr>
        <w:t> </w:t>
      </w:r>
      <w:r>
        <w:rPr/>
        <w:t>The</w:t>
      </w:r>
      <w:r>
        <w:rPr>
          <w:spacing w:val="-7"/>
        </w:rPr>
        <w:t> </w:t>
      </w:r>
      <w:r>
        <w:rPr/>
        <w:t>reforms</w:t>
      </w:r>
      <w:r>
        <w:rPr>
          <w:spacing w:val="-4"/>
        </w:rPr>
        <w:t> </w:t>
      </w:r>
      <w:r>
        <w:rPr/>
        <w:t>inaugurated</w:t>
      </w:r>
      <w:r>
        <w:rPr>
          <w:spacing w:val="-5"/>
        </w:rPr>
        <w:t> </w:t>
      </w:r>
      <w:r>
        <w:rPr/>
        <w:t>streamlined</w:t>
      </w:r>
      <w:r>
        <w:rPr>
          <w:spacing w:val="-5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bodies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reduced</w:t>
      </w:r>
      <w:r>
        <w:rPr>
          <w:spacing w:val="-6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number,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outlined</w:t>
      </w:r>
      <w:r>
        <w:rPr>
          <w:spacing w:val="-3"/>
        </w:rPr>
        <w:t> </w:t>
      </w:r>
      <w:r>
        <w:rPr/>
        <w:t>above.</w:t>
      </w:r>
    </w:p>
    <w:p>
      <w:pPr>
        <w:pStyle w:val="BodyText"/>
        <w:spacing w:line="271" w:lineRule="auto" w:before="122"/>
        <w:ind w:left="183" w:right="308"/>
        <w:jc w:val="both"/>
      </w:pPr>
      <w:r>
        <w:rPr/>
        <w:t>One</w:t>
      </w:r>
      <w:r>
        <w:rPr>
          <w:spacing w:val="-13"/>
        </w:rPr>
        <w:t> </w:t>
      </w:r>
      <w:r>
        <w:rPr/>
        <w:t>sector</w:t>
      </w:r>
      <w:r>
        <w:rPr>
          <w:spacing w:val="-9"/>
        </w:rPr>
        <w:t> </w:t>
      </w:r>
      <w:r>
        <w:rPr/>
        <w:t>stakeholder</w:t>
      </w:r>
      <w:r>
        <w:rPr>
          <w:spacing w:val="-8"/>
        </w:rPr>
        <w:t> </w:t>
      </w:r>
      <w:r>
        <w:rPr/>
        <w:t>interviewed</w:t>
      </w:r>
      <w:r>
        <w:rPr>
          <w:spacing w:val="-10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OECD</w:t>
      </w:r>
      <w:r>
        <w:rPr>
          <w:spacing w:val="-9"/>
        </w:rPr>
        <w:t> </w:t>
      </w:r>
      <w:r>
        <w:rPr/>
        <w:t>team</w:t>
      </w:r>
      <w:r>
        <w:rPr>
          <w:spacing w:val="-8"/>
        </w:rPr>
        <w:t> </w:t>
      </w:r>
      <w:r>
        <w:rPr/>
        <w:t>highlighted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recrafting</w:t>
      </w:r>
      <w:r>
        <w:rPr>
          <w:spacing w:val="-10"/>
        </w:rPr>
        <w:t> </w:t>
      </w:r>
      <w:r>
        <w:rPr/>
        <w:t>university</w:t>
      </w:r>
      <w:r>
        <w:rPr>
          <w:spacing w:val="-54"/>
        </w:rPr>
        <w:t> </w:t>
      </w:r>
      <w:r>
        <w:rPr/>
        <w:t>statutes carried an independent value at the time, opening discussion around HEIs’ broader goals and</w:t>
      </w:r>
      <w:r>
        <w:rPr>
          <w:spacing w:val="1"/>
        </w:rPr>
        <w:t> </w:t>
      </w:r>
      <w:r>
        <w:rPr/>
        <w:t>modes of operation beyond the scope of required statutory change. Still, the broader changes were and</w:t>
      </w:r>
      <w:r>
        <w:rPr>
          <w:spacing w:val="1"/>
        </w:rPr>
        <w:t> </w:t>
      </w:r>
      <w:r>
        <w:rPr/>
        <w:t>remain controversial, with a mixed legacy. This section discusses their implications for autonomy and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capacity.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The European University Association (EUA) University Autonomy Tool rankings provide one window into</w:t>
      </w:r>
      <w:r>
        <w:rPr>
          <w:spacing w:val="1"/>
        </w:rPr>
        <w:t> </w:t>
      </w:r>
      <w:r>
        <w:rPr/>
        <w:t>autonomy implications of Portugal’s approach to HEI governance under RJIES. The EUA tool focuses on</w:t>
      </w:r>
      <w:r>
        <w:rPr>
          <w:spacing w:val="-53"/>
        </w:rPr>
        <w:t> </w:t>
      </w:r>
      <w:r>
        <w:rPr/>
        <w:t>assessing</w:t>
      </w:r>
      <w:r>
        <w:rPr>
          <w:spacing w:val="-8"/>
        </w:rPr>
        <w:t> </w:t>
      </w:r>
      <w:r>
        <w:rPr/>
        <w:t>Portuguese</w:t>
      </w:r>
      <w:r>
        <w:rPr>
          <w:spacing w:val="-5"/>
        </w:rPr>
        <w:t> </w:t>
      </w:r>
      <w:r>
        <w:rPr/>
        <w:t>universities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transitioned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foundation</w:t>
      </w:r>
      <w:r>
        <w:rPr>
          <w:spacing w:val="-6"/>
        </w:rPr>
        <w:t> </w:t>
      </w:r>
      <w:r>
        <w:rPr/>
        <w:t>status.</w:t>
      </w:r>
      <w:r>
        <w:rPr>
          <w:spacing w:val="1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conducted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2010 (three years following RJIES) and again in 2017, so does not provide for a pre- and post-RJIES</w:t>
      </w:r>
      <w:r>
        <w:rPr>
          <w:spacing w:val="1"/>
        </w:rPr>
        <w:t> </w:t>
      </w:r>
      <w:r>
        <w:rPr/>
        <w:t>comparative analysis of Portuguese universities. However, the tool does provide a helpful internationally</w:t>
      </w:r>
      <w:r>
        <w:rPr>
          <w:spacing w:val="1"/>
        </w:rPr>
        <w:t> </w:t>
      </w:r>
      <w:r>
        <w:rPr/>
        <w:t>comparative vantage point into the current state of autonomy of the majority of Portuguese universities,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remain</w:t>
      </w:r>
      <w:r>
        <w:rPr>
          <w:spacing w:val="-1"/>
        </w:rPr>
        <w:t> </w:t>
      </w:r>
      <w:r>
        <w:rPr/>
        <w:t>outside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foundation-status</w:t>
      </w:r>
      <w:r>
        <w:rPr>
          <w:spacing w:val="-1"/>
        </w:rPr>
        <w:t> </w:t>
      </w:r>
      <w:r>
        <w:rPr/>
        <w:t>regime.</w:t>
      </w:r>
    </w:p>
    <w:p>
      <w:pPr>
        <w:pStyle w:val="BodyText"/>
        <w:spacing w:line="271" w:lineRule="auto" w:before="120"/>
        <w:ind w:left="183" w:right="301"/>
        <w:jc w:val="both"/>
      </w:pP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noted,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EUA</w:t>
      </w:r>
      <w:r>
        <w:rPr>
          <w:spacing w:val="-11"/>
        </w:rPr>
        <w:t> </w:t>
      </w:r>
      <w:r>
        <w:rPr>
          <w:spacing w:val="-1"/>
        </w:rPr>
        <w:t>University</w:t>
      </w:r>
      <w:r>
        <w:rPr>
          <w:spacing w:val="-12"/>
        </w:rPr>
        <w:t> </w:t>
      </w:r>
      <w:r>
        <w:rPr>
          <w:spacing w:val="-1"/>
        </w:rPr>
        <w:t>Autonomy</w:t>
      </w:r>
      <w:r>
        <w:rPr>
          <w:spacing w:val="-16"/>
        </w:rPr>
        <w:t> </w:t>
      </w:r>
      <w:r>
        <w:rPr>
          <w:spacing w:val="-1"/>
        </w:rPr>
        <w:t>Tool</w:t>
      </w:r>
      <w:r>
        <w:rPr>
          <w:spacing w:val="-11"/>
        </w:rPr>
        <w:t> </w:t>
      </w:r>
      <w:r>
        <w:rPr>
          <w:spacing w:val="-1"/>
        </w:rPr>
        <w:t>assessments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29</w:t>
      </w:r>
      <w:r>
        <w:rPr>
          <w:spacing w:val="4"/>
        </w:rPr>
        <w:t> </w:t>
      </w:r>
      <w:r>
        <w:rPr/>
        <w:t>European</w:t>
      </w:r>
      <w:r>
        <w:rPr>
          <w:spacing w:val="-11"/>
        </w:rPr>
        <w:t> </w:t>
      </w:r>
      <w:r>
        <w:rPr/>
        <w:t>HE</w:t>
      </w:r>
      <w:r>
        <w:rPr>
          <w:spacing w:val="-11"/>
        </w:rPr>
        <w:t> </w:t>
      </w:r>
      <w:r>
        <w:rPr/>
        <w:t>systems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last</w:t>
      </w:r>
      <w:r>
        <w:rPr>
          <w:spacing w:val="-8"/>
        </w:rPr>
        <w:t> </w:t>
      </w:r>
      <w:r>
        <w:rPr/>
        <w:t>published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2017,</w:t>
      </w:r>
      <w:r>
        <w:rPr>
          <w:spacing w:val="-11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>
          <w:spacing w:val="-1"/>
        </w:rPr>
        <w:t>ten</w:t>
      </w:r>
      <w:r>
        <w:rPr>
          <w:spacing w:val="-9"/>
        </w:rPr>
        <w:t> </w:t>
      </w:r>
      <w:r>
        <w:rPr>
          <w:spacing w:val="-1"/>
        </w:rPr>
        <w:t>years</w:t>
      </w:r>
      <w:r>
        <w:rPr>
          <w:spacing w:val="-11"/>
        </w:rPr>
        <w:t> </w:t>
      </w:r>
      <w:r>
        <w:rPr>
          <w:spacing w:val="-1"/>
        </w:rPr>
        <w:t>after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passage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RJIES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Portugal.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organisational</w:t>
      </w:r>
      <w:r>
        <w:rPr>
          <w:spacing w:val="-14"/>
        </w:rPr>
        <w:t> </w:t>
      </w:r>
      <w:r>
        <w:rPr/>
        <w:t>autonomy,</w:t>
      </w:r>
      <w:r>
        <w:rPr>
          <w:spacing w:val="-13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autonomy,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staff</w:t>
      </w:r>
      <w:r>
        <w:rPr>
          <w:spacing w:val="-8"/>
        </w:rPr>
        <w:t> </w:t>
      </w:r>
      <w:r>
        <w:rPr/>
        <w:t>autonomy,</w:t>
      </w:r>
      <w:r>
        <w:rPr>
          <w:spacing w:val="-8"/>
        </w:rPr>
        <w:t> </w:t>
      </w:r>
      <w:r>
        <w:rPr/>
        <w:t>Portugal</w:t>
      </w:r>
      <w:r>
        <w:rPr>
          <w:spacing w:val="-11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“medium-high”</w:t>
      </w:r>
      <w:r>
        <w:rPr>
          <w:spacing w:val="-9"/>
        </w:rPr>
        <w:t> </w:t>
      </w:r>
      <w:r>
        <w:rPr/>
        <w:t>rating,</w:t>
      </w:r>
      <w:r>
        <w:rPr>
          <w:spacing w:val="-8"/>
        </w:rPr>
        <w:t> </w:t>
      </w:r>
      <w:r>
        <w:rPr/>
        <w:t>while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autonomy,</w:t>
      </w:r>
      <w:r>
        <w:rPr>
          <w:spacing w:val="-7"/>
        </w:rPr>
        <w:t> </w:t>
      </w:r>
      <w:r>
        <w:rPr/>
        <w:t>its</w:t>
      </w:r>
      <w:r>
        <w:rPr>
          <w:spacing w:val="1"/>
        </w:rPr>
        <w:t> </w:t>
      </w:r>
      <w:r>
        <w:rPr/>
        <w:t>rating was “medium-low”. These ratings were unchanged from 2010, when the assessment was first</w:t>
      </w:r>
      <w:r>
        <w:rPr>
          <w:spacing w:val="1"/>
        </w:rPr>
        <w:t> </w:t>
      </w:r>
      <w:r>
        <w:rPr/>
        <w:t>conducted. According to the EUA, “there have been no significant changes to university autonomy in</w:t>
      </w:r>
      <w:r>
        <w:rPr>
          <w:spacing w:val="1"/>
        </w:rPr>
        <w:t> </w:t>
      </w:r>
      <w:r>
        <w:rPr/>
        <w:t>Portugal</w:t>
      </w:r>
      <w:r>
        <w:rPr>
          <w:spacing w:val="-7"/>
        </w:rPr>
        <w:t> </w:t>
      </w:r>
      <w:r>
        <w:rPr/>
        <w:t>since</w:t>
      </w:r>
      <w:r>
        <w:rPr>
          <w:spacing w:val="-7"/>
        </w:rPr>
        <w:t> </w:t>
      </w:r>
      <w:r>
        <w:rPr/>
        <w:t>2010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would</w:t>
      </w:r>
      <w:r>
        <w:rPr>
          <w:spacing w:val="-7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scores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any</w:t>
      </w:r>
      <w:r>
        <w:rPr>
          <w:spacing w:val="-1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autonomy</w:t>
      </w:r>
      <w:r>
        <w:rPr>
          <w:spacing w:val="-11"/>
        </w:rPr>
        <w:t> </w:t>
      </w:r>
      <w:r>
        <w:rPr/>
        <w:t>dimensions”</w:t>
      </w:r>
      <w:r>
        <w:rPr>
          <w:spacing w:val="2"/>
        </w:rPr>
        <w:t> </w:t>
      </w:r>
      <w:r>
        <w:rPr/>
        <w:t>(EUA,</w:t>
      </w:r>
      <w:r>
        <w:rPr>
          <w:spacing w:val="-6"/>
        </w:rPr>
        <w:t> </w:t>
      </w:r>
      <w:r>
        <w:rPr/>
        <w:t>2017,</w:t>
      </w:r>
    </w:p>
    <w:p>
      <w:pPr>
        <w:pStyle w:val="BodyText"/>
        <w:spacing w:line="271" w:lineRule="auto" w:before="1"/>
        <w:ind w:left="183" w:right="304"/>
        <w:jc w:val="both"/>
      </w:pPr>
      <w:r>
        <w:rPr>
          <w:position w:val="1"/>
        </w:rPr>
        <w:t>p. 154</w:t>
      </w:r>
      <w:r>
        <w:rPr>
          <w:sz w:val="13"/>
        </w:rPr>
        <w:t>[15]</w:t>
      </w:r>
      <w:r>
        <w:rPr>
          <w:position w:val="1"/>
        </w:rPr>
        <w:t>). Rankings for Portugal and for Finland and the Slovak Republic, for comparative purposes, are</w:t>
      </w:r>
      <w:r>
        <w:rPr>
          <w:spacing w:val="1"/>
          <w:position w:val="1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hyperlink w:history="true" w:anchor="_bookmark63">
        <w:r>
          <w:rPr/>
          <w:t>Table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A.3.</w:t>
        </w:r>
      </w:hyperlink>
    </w:p>
    <w:p>
      <w:pPr>
        <w:pStyle w:val="BodyText"/>
        <w:spacing w:line="271" w:lineRule="auto" w:before="122"/>
        <w:ind w:left="183" w:right="301"/>
        <w:jc w:val="both"/>
      </w:pPr>
      <w:r>
        <w:rPr/>
        <w:t>Portugal receives relatively high rankings in the areas of organisational autonomy (7</w:t>
      </w:r>
      <w:r>
        <w:rPr>
          <w:position w:val="6"/>
          <w:sz w:val="13"/>
        </w:rPr>
        <w:t>th</w:t>
      </w:r>
      <w:r>
        <w:rPr/>
        <w:t>) and financial</w:t>
      </w:r>
      <w:r>
        <w:rPr>
          <w:spacing w:val="1"/>
        </w:rPr>
        <w:t> </w:t>
      </w:r>
      <w:r>
        <w:rPr>
          <w:spacing w:val="-1"/>
        </w:rPr>
        <w:t>autonomy</w:t>
      </w:r>
      <w:r>
        <w:rPr>
          <w:spacing w:val="-14"/>
        </w:rPr>
        <w:t> </w:t>
      </w:r>
      <w:r>
        <w:rPr>
          <w:spacing w:val="-1"/>
        </w:rPr>
        <w:t>(7</w:t>
      </w:r>
      <w:r>
        <w:rPr>
          <w:spacing w:val="-1"/>
          <w:position w:val="6"/>
          <w:sz w:val="13"/>
        </w:rPr>
        <w:t>th</w:t>
      </w:r>
      <w:r>
        <w:rPr>
          <w:spacing w:val="-1"/>
        </w:rPr>
        <w:t>).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lower</w:t>
      </w:r>
      <w:r>
        <w:rPr>
          <w:spacing w:val="-5"/>
        </w:rPr>
        <w:t> </w:t>
      </w:r>
      <w:r>
        <w:rPr>
          <w:spacing w:val="-1"/>
        </w:rPr>
        <w:t>ranking</w:t>
      </w:r>
      <w:r>
        <w:rPr>
          <w:spacing w:val="-11"/>
        </w:rPr>
        <w:t> </w:t>
      </w:r>
      <w:r>
        <w:rPr>
          <w:spacing w:val="-1"/>
        </w:rPr>
        <w:t>area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staffing</w:t>
      </w:r>
      <w:r>
        <w:rPr>
          <w:spacing w:val="-11"/>
        </w:rPr>
        <w:t> </w:t>
      </w:r>
      <w:r>
        <w:rPr/>
        <w:t>autonomy,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EUA</w:t>
      </w:r>
      <w:r>
        <w:rPr>
          <w:spacing w:val="-9"/>
        </w:rPr>
        <w:t> </w:t>
      </w:r>
      <w:r>
        <w:rPr/>
        <w:t>highlights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status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Portuguese</w:t>
      </w:r>
      <w:r>
        <w:rPr>
          <w:spacing w:val="1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academic</w:t>
      </w:r>
      <w:r>
        <w:rPr>
          <w:spacing w:val="-7"/>
        </w:rPr>
        <w:t> </w:t>
      </w:r>
      <w:r>
        <w:rPr/>
        <w:t>staff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civil</w:t>
      </w:r>
      <w:r>
        <w:rPr>
          <w:spacing w:val="-10"/>
        </w:rPr>
        <w:t> </w:t>
      </w:r>
      <w:r>
        <w:rPr/>
        <w:t>servants,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regulation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law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senior</w:t>
      </w:r>
      <w:r>
        <w:rPr>
          <w:spacing w:val="-7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staff</w:t>
      </w:r>
      <w:r>
        <w:rPr>
          <w:spacing w:val="-7"/>
        </w:rPr>
        <w:t> </w:t>
      </w:r>
      <w:r>
        <w:rPr/>
        <w:t>recruitment,</w:t>
      </w:r>
      <w:r>
        <w:rPr>
          <w:spacing w:val="-8"/>
        </w:rPr>
        <w:t> </w:t>
      </w:r>
      <w:r>
        <w:rPr/>
        <w:t>state</w:t>
      </w:r>
      <w:r>
        <w:rPr>
          <w:spacing w:val="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salaries,</w:t>
      </w:r>
      <w:r>
        <w:rPr>
          <w:spacing w:val="-5"/>
        </w:rPr>
        <w:t> </w:t>
      </w:r>
      <w:r>
        <w:rPr/>
        <w:t>state</w:t>
      </w:r>
      <w:r>
        <w:rPr>
          <w:spacing w:val="-3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dismissals,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fact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while</w:t>
      </w:r>
      <w:r>
        <w:rPr>
          <w:spacing w:val="-5"/>
        </w:rPr>
        <w:t> </w:t>
      </w:r>
      <w:r>
        <w:rPr/>
        <w:t>senior</w:t>
      </w:r>
      <w:r>
        <w:rPr>
          <w:spacing w:val="-2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staff</w:t>
      </w:r>
      <w:r>
        <w:rPr>
          <w:spacing w:val="-3"/>
        </w:rPr>
        <w:t> </w:t>
      </w:r>
      <w:r>
        <w:rPr/>
        <w:t>promotions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2"/>
        <w:jc w:val="both"/>
      </w:pPr>
      <w:r>
        <w:rPr>
          <w:w w:val="95"/>
        </w:rPr>
        <w:t>take place based on a competitive basis, post-2011 state budgetary controls (stemming from the Economic</w:t>
      </w:r>
      <w:r>
        <w:rPr>
          <w:spacing w:val="1"/>
          <w:w w:val="95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Programme)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impact.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hold</w:t>
      </w:r>
      <w:r>
        <w:rPr>
          <w:spacing w:val="-6"/>
        </w:rPr>
        <w:t> </w:t>
      </w:r>
      <w:r>
        <w:rPr/>
        <w:t>staffing</w:t>
      </w:r>
      <w:r>
        <w:rPr>
          <w:spacing w:val="-6"/>
        </w:rPr>
        <w:t> </w:t>
      </w:r>
      <w:r>
        <w:rPr/>
        <w:t>costs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0%</w:t>
      </w:r>
      <w:r>
        <w:rPr>
          <w:spacing w:val="-4"/>
        </w:rPr>
        <w:t> </w:t>
      </w:r>
      <w:r>
        <w:rPr/>
        <w:t>increases</w:t>
      </w:r>
      <w:r>
        <w:rPr>
          <w:spacing w:val="-6"/>
        </w:rPr>
        <w:t> </w:t>
      </w:r>
      <w:r>
        <w:rPr/>
        <w:t>meant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promotions</w:t>
      </w:r>
      <w:r>
        <w:rPr>
          <w:spacing w:val="-5"/>
        </w:rPr>
        <w:t> </w:t>
      </w:r>
      <w:r>
        <w:rPr/>
        <w:t>could</w:t>
      </w:r>
      <w:r>
        <w:rPr>
          <w:spacing w:val="-6"/>
        </w:rPr>
        <w:t> </w:t>
      </w:r>
      <w:r>
        <w:rPr/>
        <w:t>only</w:t>
      </w:r>
      <w:r>
        <w:rPr>
          <w:spacing w:val="-10"/>
        </w:rPr>
        <w:t> </w:t>
      </w:r>
      <w:r>
        <w:rPr/>
        <w:t>happen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event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retirement.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realm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academic</w:t>
      </w:r>
      <w:r>
        <w:rPr>
          <w:spacing w:val="-10"/>
        </w:rPr>
        <w:t> </w:t>
      </w:r>
      <w:r>
        <w:rPr/>
        <w:t>autonomy,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which</w:t>
      </w:r>
      <w:r>
        <w:rPr>
          <w:spacing w:val="-9"/>
        </w:rPr>
        <w:t> </w:t>
      </w:r>
      <w:r>
        <w:rPr/>
        <w:t>Portugal</w:t>
      </w:r>
      <w:r>
        <w:rPr>
          <w:spacing w:val="-11"/>
        </w:rPr>
        <w:t> </w:t>
      </w:r>
      <w:r>
        <w:rPr/>
        <w:t>received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lowest</w:t>
      </w:r>
      <w:r>
        <w:rPr>
          <w:spacing w:val="-11"/>
        </w:rPr>
        <w:t> </w:t>
      </w:r>
      <w:r>
        <w:rPr/>
        <w:t>ranking,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EUA</w:t>
      </w:r>
      <w:r>
        <w:rPr>
          <w:spacing w:val="1"/>
        </w:rPr>
        <w:t> </w:t>
      </w:r>
      <w:r>
        <w:rPr/>
        <w:t>has highlighted how universities “negotiate” overall student numbers with MCTES, how bachelor-level</w:t>
      </w:r>
      <w:r>
        <w:rPr>
          <w:spacing w:val="1"/>
        </w:rPr>
        <w:t> </w:t>
      </w:r>
      <w:r>
        <w:rPr/>
        <w:t>admission criteria (rules for entrance exams) are “co-regulated” between universities and the National</w:t>
      </w:r>
      <w:r>
        <w:rPr>
          <w:spacing w:val="1"/>
        </w:rPr>
        <w:t> </w:t>
      </w:r>
      <w:r>
        <w:rPr/>
        <w:t>Commission for Access to Higher Education (as noted, post-graduate level admissions criteria are set by</w:t>
      </w:r>
      <w:r>
        <w:rPr>
          <w:spacing w:val="1"/>
        </w:rPr>
        <w:t> </w:t>
      </w:r>
      <w:r>
        <w:rPr/>
        <w:t>universities),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requirement for approval of</w:t>
      </w:r>
      <w:r>
        <w:rPr>
          <w:spacing w:val="1"/>
        </w:rPr>
        <w:t> </w:t>
      </w:r>
      <w:r>
        <w:rPr/>
        <w:t>new degree</w:t>
      </w:r>
      <w:r>
        <w:rPr>
          <w:spacing w:val="1"/>
        </w:rPr>
        <w:t> </w:t>
      </w:r>
      <w:r>
        <w:rPr/>
        <w:t>programmes at all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by A3ES.</w:t>
      </w:r>
      <w:r>
        <w:rPr>
          <w:spacing w:val="1"/>
        </w:rPr>
        <w:t> </w:t>
      </w:r>
      <w:r>
        <w:rPr/>
        <w:t>Universities are, however, able to independently terminate programmes, decide on the content of degree</w:t>
      </w:r>
      <w:r>
        <w:rPr>
          <w:spacing w:val="-53"/>
        </w:rPr>
        <w:t> </w:t>
      </w:r>
      <w:r>
        <w:rPr>
          <w:position w:val="1"/>
        </w:rPr>
        <w:t>programmes and choose the language of instruction (EUA, 2017</w:t>
      </w:r>
      <w:r>
        <w:rPr>
          <w:sz w:val="13"/>
        </w:rPr>
        <w:t>[15]</w:t>
      </w:r>
      <w:r>
        <w:rPr>
          <w:position w:val="1"/>
        </w:rPr>
        <w:t>). Reflecting on Portugal’s low EUA</w:t>
      </w:r>
      <w:r>
        <w:rPr>
          <w:spacing w:val="1"/>
          <w:position w:val="1"/>
        </w:rPr>
        <w:t> </w:t>
      </w:r>
      <w:r>
        <w:rPr/>
        <w:t>rankings in staffing and academic autonomy, the OECD concluded in 2019 that "national legislation</w:t>
      </w:r>
      <w:r>
        <w:rPr>
          <w:spacing w:val="1"/>
        </w:rPr>
        <w:t> </w:t>
      </w:r>
      <w:r>
        <w:rPr/>
        <w:t>governing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sector</w:t>
      </w:r>
      <w:r>
        <w:rPr>
          <w:spacing w:val="-12"/>
        </w:rPr>
        <w:t> </w:t>
      </w:r>
      <w:r>
        <w:rPr/>
        <w:t>employment,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procurement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are</w:t>
      </w:r>
      <w:r>
        <w:rPr>
          <w:spacing w:val="-10"/>
        </w:rPr>
        <w:t> </w:t>
      </w:r>
      <w:r>
        <w:rPr/>
        <w:t>burdensome,</w:t>
      </w:r>
      <w:r>
        <w:rPr>
          <w:spacing w:val="-14"/>
        </w:rPr>
        <w:t> </w:t>
      </w:r>
      <w:r>
        <w:rPr/>
        <w:t>and</w:t>
      </w:r>
      <w:r>
        <w:rPr>
          <w:spacing w:val="1"/>
        </w:rPr>
        <w:t> </w:t>
      </w:r>
      <w:r>
        <w:rPr/>
        <w:t>limit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ability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institutions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plan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manage</w:t>
      </w:r>
      <w:r>
        <w:rPr>
          <w:spacing w:val="-7"/>
        </w:rPr>
        <w:t> </w:t>
      </w:r>
      <w:r>
        <w:rPr/>
        <w:t>their</w:t>
      </w:r>
      <w:r>
        <w:rPr>
          <w:spacing w:val="-4"/>
        </w:rPr>
        <w:t> </w:t>
      </w:r>
      <w:r>
        <w:rPr/>
        <w:t>operations</w:t>
      </w:r>
      <w:r>
        <w:rPr>
          <w:spacing w:val="-7"/>
        </w:rPr>
        <w:t> </w:t>
      </w:r>
      <w:r>
        <w:rPr/>
        <w:t>efficiently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effectively"</w:t>
      </w:r>
      <w:r>
        <w:rPr>
          <w:spacing w:val="1"/>
        </w:rPr>
        <w:t> </w:t>
      </w:r>
      <w:r>
        <w:rPr/>
        <w:t>(OECD,</w:t>
      </w:r>
      <w:r>
        <w:rPr>
          <w:spacing w:val="-5"/>
        </w:rPr>
        <w:t> </w:t>
      </w:r>
      <w:r>
        <w:rPr/>
        <w:t>2019,</w:t>
      </w:r>
      <w:r>
        <w:rPr>
          <w:spacing w:val="1"/>
        </w:rPr>
        <w:t> </w:t>
      </w:r>
      <w:r>
        <w:rPr>
          <w:position w:val="1"/>
        </w:rPr>
        <w:t>p.</w:t>
      </w:r>
      <w:r>
        <w:rPr>
          <w:spacing w:val="-2"/>
          <w:position w:val="1"/>
        </w:rPr>
        <w:t> </w:t>
      </w:r>
      <w:r>
        <w:rPr>
          <w:position w:val="1"/>
        </w:rPr>
        <w:t>16</w:t>
      </w:r>
      <w:r>
        <w:rPr>
          <w:sz w:val="13"/>
        </w:rPr>
        <w:t>[5]</w:t>
      </w:r>
      <w:r>
        <w:rPr>
          <w:position w:val="1"/>
        </w:rPr>
        <w:t>).</w:t>
      </w:r>
    </w:p>
    <w:p>
      <w:pPr>
        <w:pStyle w:val="BodyText"/>
        <w:spacing w:before="11"/>
        <w:rPr>
          <w:sz w:val="28"/>
        </w:rPr>
      </w:pPr>
    </w:p>
    <w:p>
      <w:pPr>
        <w:spacing w:line="244" w:lineRule="auto" w:before="0"/>
        <w:ind w:left="183" w:right="497" w:firstLine="0"/>
        <w:jc w:val="both"/>
        <w:rPr>
          <w:rFonts w:ascii="Arial"/>
          <w:b/>
          <w:sz w:val="24"/>
        </w:rPr>
      </w:pPr>
      <w:bookmarkStart w:name="_bookmark63" w:id="178"/>
      <w:bookmarkEnd w:id="178"/>
      <w:r>
        <w:rPr/>
      </w:r>
      <w:r>
        <w:rPr>
          <w:rFonts w:ascii="Arial"/>
          <w:b/>
          <w:color w:val="4E81BD"/>
          <w:w w:val="80"/>
          <w:sz w:val="24"/>
        </w:rPr>
        <w:t>Table A A.3. EUA University Autonomy Tool ranking of Finland, Portugal and the Slovak Republic</w:t>
      </w:r>
      <w:r>
        <w:rPr>
          <w:rFonts w:ascii="Arial"/>
          <w:b/>
          <w:color w:val="4E81BD"/>
          <w:spacing w:val="1"/>
          <w:w w:val="80"/>
          <w:sz w:val="24"/>
        </w:rPr>
        <w:t> </w:t>
      </w:r>
      <w:r>
        <w:rPr>
          <w:rFonts w:ascii="Arial"/>
          <w:b/>
          <w:color w:val="4E81BD"/>
          <w:w w:val="90"/>
          <w:sz w:val="24"/>
        </w:rPr>
        <w:t>(2017)</w:t>
      </w:r>
    </w:p>
    <w:p>
      <w:pPr>
        <w:pStyle w:val="BodyText"/>
        <w:spacing w:before="5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858"/>
        <w:gridCol w:w="1860"/>
        <w:gridCol w:w="1860"/>
        <w:gridCol w:w="1860"/>
      </w:tblGrid>
      <w:tr>
        <w:trPr>
          <w:trHeight w:val="239" w:hRule="atLeast"/>
        </w:trPr>
        <w:tc>
          <w:tcPr>
            <w:tcW w:w="1874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8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Organisational</w:t>
            </w:r>
            <w:r>
              <w:rPr>
                <w:rFonts w:ascii="Microsoft Sans Serif"/>
                <w:spacing w:val="1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autonomy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30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Financial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autonomy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0"/>
              <w:ind w:left="3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Staffing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autonomy</w:t>
            </w:r>
          </w:p>
        </w:tc>
        <w:tc>
          <w:tcPr>
            <w:tcW w:w="1860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0"/>
              <w:ind w:left="2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Academic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autonomy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Finland</w:t>
            </w:r>
          </w:p>
        </w:tc>
        <w:tc>
          <w:tcPr>
            <w:tcW w:w="1858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3rd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11th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6th</w:t>
            </w:r>
          </w:p>
        </w:tc>
        <w:tc>
          <w:tcPr>
            <w:tcW w:w="186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20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2nd</w:t>
            </w:r>
          </w:p>
        </w:tc>
      </w:tr>
      <w:tr>
        <w:trPr>
          <w:trHeight w:val="236" w:hRule="atLeast"/>
        </w:trPr>
        <w:tc>
          <w:tcPr>
            <w:tcW w:w="187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Portugal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7th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7th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18th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before="20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20th</w:t>
            </w:r>
          </w:p>
        </w:tc>
      </w:tr>
      <w:tr>
        <w:trPr>
          <w:trHeight w:val="239" w:hRule="atLeast"/>
        </w:trPr>
        <w:tc>
          <w:tcPr>
            <w:tcW w:w="1874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  <w:tc>
          <w:tcPr>
            <w:tcW w:w="1858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28th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7th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19th</w:t>
            </w:r>
          </w:p>
        </w:tc>
        <w:tc>
          <w:tcPr>
            <w:tcW w:w="1860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before="20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18th</w:t>
            </w:r>
          </w:p>
        </w:tc>
      </w:tr>
    </w:tbl>
    <w:p>
      <w:pPr>
        <w:spacing w:line="259" w:lineRule="auto" w:before="128"/>
        <w:ind w:left="183" w:right="304" w:firstLine="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Note</w:t>
      </w:r>
      <w:r>
        <w:rPr>
          <w:rFonts w:ascii="Arial" w:hAnsi="Arial"/>
          <w:b/>
          <w:w w:val="80"/>
          <w:sz w:val="18"/>
        </w:rPr>
        <w:t>:</w:t>
      </w:r>
      <w:r>
        <w:rPr>
          <w:rFonts w:ascii="Arial" w:hAnsi="Arial"/>
          <w:b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EUA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defines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four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dimensions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of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its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analysis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as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follows: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(i)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Organisational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autonomy</w:t>
      </w:r>
      <w:r>
        <w:rPr>
          <w:rFonts w:ascii="Microsoft Sans Serif" w:hAnsi="Microsoft Sans Serif"/>
          <w:spacing w:val="12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refers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university’s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ability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decide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freely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on its internal organisation, such as the executive leadership, decision-making bodies, legal entities and internal academic structures. Financial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autonomy</w:t>
      </w:r>
      <w:r>
        <w:rPr>
          <w:rFonts w:ascii="Microsoft Sans Serif" w:hAnsi="Microsoft Sans Serif"/>
          <w:spacing w:val="10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refers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university’s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ability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decide</w:t>
      </w:r>
      <w:r>
        <w:rPr>
          <w:rFonts w:ascii="Microsoft Sans Serif" w:hAnsi="Microsoft Sans Serif"/>
          <w:spacing w:val="9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freely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on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its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internal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financial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affairs;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(ii)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The</w:t>
      </w:r>
      <w:r>
        <w:rPr>
          <w:rFonts w:ascii="Microsoft Sans Serif" w:hAnsi="Microsoft Sans Serif"/>
          <w:spacing w:val="8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ability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to</w:t>
      </w:r>
      <w:r>
        <w:rPr>
          <w:rFonts w:ascii="Microsoft Sans Serif" w:hAnsi="Microsoft Sans Serif"/>
          <w:spacing w:val="5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manage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its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funds</w:t>
      </w:r>
      <w:r>
        <w:rPr>
          <w:rFonts w:ascii="Microsoft Sans Serif" w:hAnsi="Microsoft Sans Serif"/>
          <w:spacing w:val="7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independently</w:t>
      </w:r>
      <w:r>
        <w:rPr>
          <w:rFonts w:ascii="Microsoft Sans Serif" w:hAnsi="Microsoft Sans Serif"/>
          <w:spacing w:val="6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enables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an institution to set and realise its strategic aims; (iii) Staffing autonomy refers to a university’s ability to decide freely on issues related to human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resources management, including recruitments, salaries, dismissals and promotions; (iv) Academic autonomy refers to a university’s ability to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decide on various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academic issues, such as student admissions, academic content, quality assurance, the introduction of degree programmes</w:t>
      </w:r>
      <w:r>
        <w:rPr>
          <w:rFonts w:ascii="Microsoft Sans Serif" w:hAnsi="Microsoft Sans Serif"/>
          <w:spacing w:val="1"/>
          <w:w w:val="8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and</w:t>
      </w:r>
      <w:r>
        <w:rPr>
          <w:rFonts w:ascii="Microsoft Sans Serif" w:hAnsi="Microsoft Sans Serif"/>
          <w:spacing w:val="-5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the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language</w:t>
      </w:r>
      <w:r>
        <w:rPr>
          <w:rFonts w:ascii="Microsoft Sans Serif" w:hAnsi="Microsoft Sans Serif"/>
          <w:spacing w:val="-1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of</w:t>
      </w:r>
      <w:r>
        <w:rPr>
          <w:rFonts w:ascii="Microsoft Sans Serif" w:hAnsi="Microsoft Sans Serif"/>
          <w:spacing w:val="-4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instruction.</w:t>
      </w:r>
    </w:p>
    <w:p>
      <w:pPr>
        <w:spacing w:line="204" w:lineRule="exact" w:before="0"/>
        <w:ind w:left="183" w:right="0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position w:val="1"/>
          <w:sz w:val="18"/>
        </w:rPr>
        <w:t>Source</w:t>
      </w:r>
      <w:r>
        <w:rPr>
          <w:rFonts w:ascii="Arial"/>
          <w:b/>
          <w:w w:val="80"/>
          <w:position w:val="1"/>
          <w:sz w:val="18"/>
        </w:rPr>
        <w:t>:</w:t>
      </w:r>
      <w:r>
        <w:rPr>
          <w:rFonts w:ascii="Arial"/>
          <w:b/>
          <w:spacing w:val="12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EUA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r>
        <w:rPr>
          <w:rFonts w:ascii="Microsoft Sans Serif"/>
          <w:w w:val="80"/>
          <w:position w:val="1"/>
          <w:sz w:val="18"/>
        </w:rPr>
        <w:t>(n.d.</w:t>
      </w:r>
      <w:r>
        <w:rPr>
          <w:rFonts w:ascii="Microsoft Sans Serif"/>
          <w:w w:val="80"/>
          <w:sz w:val="12"/>
        </w:rPr>
        <w:t>[16]</w:t>
      </w:r>
      <w:r>
        <w:rPr>
          <w:rFonts w:ascii="Microsoft Sans Serif"/>
          <w:w w:val="80"/>
          <w:position w:val="1"/>
          <w:sz w:val="18"/>
        </w:rPr>
        <w:t>),</w:t>
      </w:r>
      <w:r>
        <w:rPr>
          <w:rFonts w:ascii="Microsoft Sans Serif"/>
          <w:spacing w:val="20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University</w:t>
      </w:r>
      <w:r>
        <w:rPr>
          <w:rFonts w:ascii="Arial"/>
          <w:i/>
          <w:spacing w:val="15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Autonomy</w:t>
      </w:r>
      <w:r>
        <w:rPr>
          <w:rFonts w:ascii="Arial"/>
          <w:i/>
          <w:spacing w:val="15"/>
          <w:w w:val="80"/>
          <w:position w:val="1"/>
          <w:sz w:val="18"/>
        </w:rPr>
        <w:t> </w:t>
      </w:r>
      <w:r>
        <w:rPr>
          <w:rFonts w:ascii="Arial"/>
          <w:i/>
          <w:w w:val="80"/>
          <w:position w:val="1"/>
          <w:sz w:val="18"/>
        </w:rPr>
        <w:t>Rankings</w:t>
      </w:r>
      <w:r>
        <w:rPr>
          <w:rFonts w:ascii="Microsoft Sans Serif"/>
          <w:w w:val="80"/>
          <w:position w:val="1"/>
          <w:sz w:val="18"/>
        </w:rPr>
        <w:t>,</w:t>
      </w:r>
      <w:r>
        <w:rPr>
          <w:rFonts w:ascii="Microsoft Sans Serif"/>
          <w:spacing w:val="16"/>
          <w:w w:val="80"/>
          <w:position w:val="1"/>
          <w:sz w:val="18"/>
        </w:rPr>
        <w:t> </w:t>
      </w:r>
      <w:hyperlink r:id="rId205">
        <w:r>
          <w:rPr>
            <w:rFonts w:ascii="Microsoft Sans Serif"/>
            <w:color w:val="0000FF"/>
            <w:w w:val="80"/>
            <w:position w:val="1"/>
            <w:sz w:val="18"/>
            <w:u w:val="single" w:color="0000FF"/>
          </w:rPr>
          <w:t>www.university-autonomy.eu/</w:t>
        </w:r>
        <w:r>
          <w:rPr>
            <w:rFonts w:ascii="Microsoft Sans Serif"/>
            <w:w w:val="80"/>
            <w:position w:val="1"/>
            <w:sz w:val="18"/>
          </w:rPr>
          <w:t>.</w:t>
        </w:r>
      </w:hyperlink>
    </w:p>
    <w:p>
      <w:pPr>
        <w:pStyle w:val="BodyText"/>
        <w:spacing w:before="5"/>
        <w:rPr>
          <w:rFonts w:ascii="Microsoft Sans Serif"/>
          <w:sz w:val="26"/>
        </w:rPr>
      </w:pPr>
    </w:p>
    <w:p>
      <w:pPr>
        <w:pStyle w:val="BodyText"/>
        <w:spacing w:line="271" w:lineRule="auto" w:before="93"/>
        <w:ind w:left="183" w:right="306"/>
        <w:jc w:val="both"/>
      </w:pPr>
      <w:r>
        <w:rPr/>
        <w:t>Sector stakeholders interviewed by the OECD team highlighted that RJIES did result in minor autonomy</w:t>
      </w:r>
      <w:r>
        <w:rPr>
          <w:spacing w:val="1"/>
        </w:rPr>
        <w:t> </w:t>
      </w:r>
      <w:r>
        <w:rPr/>
        <w:t>gains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HEIs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did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transition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foundation</w:t>
      </w:r>
      <w:r>
        <w:rPr>
          <w:spacing w:val="-7"/>
        </w:rPr>
        <w:t> </w:t>
      </w:r>
      <w:r>
        <w:rPr/>
        <w:t>status.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areas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autonomy</w:t>
      </w:r>
      <w:r>
        <w:rPr>
          <w:spacing w:val="-7"/>
        </w:rPr>
        <w:t> </w:t>
      </w:r>
      <w:r>
        <w:rPr/>
        <w:t>gain</w:t>
      </w:r>
      <w:r>
        <w:rPr>
          <w:spacing w:val="-4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broader</w:t>
      </w:r>
      <w:r>
        <w:rPr>
          <w:spacing w:val="1"/>
        </w:rPr>
        <w:t> </w:t>
      </w:r>
      <w:r>
        <w:rPr/>
        <w:t>flexibility to recruit staff (while staying within budget), and delivery of base funding as a single grant, as</w:t>
      </w:r>
      <w:r>
        <w:rPr>
          <w:spacing w:val="1"/>
        </w:rPr>
        <w:t> </w:t>
      </w:r>
      <w:r>
        <w:rPr/>
        <w:t>opposed to separate core line items. Stakeholders also relayed, however, that these flexibilities did not</w:t>
      </w:r>
      <w:r>
        <w:rPr>
          <w:spacing w:val="1"/>
        </w:rPr>
        <w:t> </w:t>
      </w:r>
      <w:r>
        <w:rPr/>
        <w:t>have a major practical impact because of overall budgetary reductions that followed the Economic</w:t>
      </w:r>
      <w:r>
        <w:rPr>
          <w:spacing w:val="1"/>
        </w:rPr>
        <w:t> </w:t>
      </w:r>
      <w:r>
        <w:rPr/>
        <w:t>Adjustment Programme, leading to challenges meeting costs. In 2017, the EUA University Autonomy</w:t>
      </w:r>
      <w:r>
        <w:rPr>
          <w:spacing w:val="1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noted</w:t>
      </w:r>
      <w:r>
        <w:rPr>
          <w:spacing w:val="-1"/>
        </w:rPr>
        <w:t> </w:t>
      </w:r>
      <w:r>
        <w:rPr/>
        <w:t>that:</w:t>
      </w:r>
    </w:p>
    <w:p>
      <w:pPr>
        <w:spacing w:before="148"/>
        <w:ind w:left="862" w:right="988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659874pt;width:2.2pt;height:57.9pt;mso-position-horizontal-relative:page;mso-position-vertical-relative:paragraph;z-index:15763456" coordorigin="1832,93" coordsize="44,1158" path="m1875,612l1832,612,1832,843,1832,843,1832,1251,1875,1251,1875,843,1875,843,1875,612xm1875,93l1832,93,1832,381,1832,612,1875,612,1875,381,1875,93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5"/>
          <w:sz w:val="20"/>
        </w:rPr>
        <w:t>All Portuguese public institutions are currently subject to austerity rules, which also has an impact on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universities and their autonomy. The annual budget law with its detailed restrictions on all areas of public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administration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places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universities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under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quite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tight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controls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in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terms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of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their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ability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to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develop</w:t>
      </w:r>
      <w:r>
        <w:rPr>
          <w:rFonts w:ascii="Arial"/>
          <w:i/>
          <w:spacing w:val="-5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their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financial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strategies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and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contracts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with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external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partners</w:t>
      </w:r>
      <w:r>
        <w:rPr>
          <w:rFonts w:ascii="Arial"/>
          <w:i/>
          <w:spacing w:val="4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(EUA,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2017,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p.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155</w:t>
      </w:r>
      <w:r>
        <w:rPr>
          <w:rFonts w:ascii="Arial"/>
          <w:i/>
          <w:w w:val="80"/>
          <w:sz w:val="13"/>
        </w:rPr>
        <w:t>[15]</w:t>
      </w:r>
      <w:r>
        <w:rPr>
          <w:rFonts w:ascii="Arial"/>
          <w:i/>
          <w:w w:val="80"/>
          <w:position w:val="1"/>
          <w:sz w:val="20"/>
        </w:rPr>
        <w:t>).</w:t>
      </w:r>
    </w:p>
    <w:p>
      <w:pPr>
        <w:pStyle w:val="BodyText"/>
        <w:spacing w:before="4"/>
        <w:rPr>
          <w:rFonts w:ascii="Arial"/>
          <w:i/>
          <w:sz w:val="18"/>
        </w:rPr>
      </w:pPr>
    </w:p>
    <w:p>
      <w:pPr>
        <w:pStyle w:val="BodyText"/>
        <w:spacing w:line="271" w:lineRule="auto" w:before="1"/>
        <w:ind w:left="183" w:right="303"/>
        <w:jc w:val="both"/>
      </w:pPr>
      <w:r>
        <w:rPr/>
        <w:t>While noting that the situation had improved, the EUA reported that the financial position of Portuguese</w:t>
      </w:r>
      <w:r>
        <w:rPr>
          <w:spacing w:val="1"/>
        </w:rPr>
        <w:t> </w:t>
      </w:r>
      <w:r>
        <w:rPr/>
        <w:t>universities had not recovered to pre-2011 conditions (this is also reflected in OECD data). Sector</w:t>
      </w:r>
      <w:r>
        <w:rPr>
          <w:spacing w:val="1"/>
        </w:rPr>
        <w:t> </w:t>
      </w:r>
      <w:r>
        <w:rPr/>
        <w:t>stakeholders interviewed by the OECD team in 2020 similarly reported continued improvement, but</w:t>
      </w:r>
      <w:r>
        <w:rPr>
          <w:spacing w:val="1"/>
        </w:rPr>
        <w:t> </w:t>
      </w:r>
      <w:r>
        <w:rPr/>
        <w:t>incomplete</w:t>
      </w:r>
      <w:r>
        <w:rPr>
          <w:spacing w:val="-3"/>
        </w:rPr>
        <w:t> </w:t>
      </w:r>
      <w:r>
        <w:rPr/>
        <w:t>recovery.</w:t>
      </w:r>
    </w:p>
    <w:p>
      <w:pPr>
        <w:pStyle w:val="BodyText"/>
        <w:spacing w:line="271" w:lineRule="auto" w:before="122"/>
        <w:ind w:left="183" w:right="305"/>
        <w:jc w:val="both"/>
      </w:pPr>
      <w:r>
        <w:rPr/>
        <w:t>Looking beyond their effects on autonomy, HEI governance reforms under RJIES have streamlined</w:t>
      </w:r>
      <w:r>
        <w:rPr>
          <w:spacing w:val="1"/>
        </w:rPr>
        <w:t> </w:t>
      </w:r>
      <w:r>
        <w:rPr/>
        <w:t>decision making within institutions following their implementation. Far smaller bodies are now involved in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decisions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rectors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at a</w:t>
      </w:r>
      <w:r>
        <w:rPr>
          <w:spacing w:val="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 unit</w:t>
      </w:r>
      <w:r>
        <w:rPr>
          <w:spacing w:val="3"/>
        </w:rPr>
        <w:t> </w:t>
      </w:r>
      <w:r>
        <w:rPr/>
        <w:t>levels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further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122"/>
        <w:ind w:left="183"/>
      </w:pPr>
      <w:r>
        <w:rPr/>
        <w:t>empowered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7"/>
        </w:rPr>
        <w:t> </w:t>
      </w:r>
      <w:r>
        <w:rPr/>
        <w:t>decisions.</w:t>
      </w:r>
      <w:r>
        <w:rPr>
          <w:spacing w:val="-7"/>
        </w:rPr>
        <w:t> </w:t>
      </w:r>
      <w:r>
        <w:rPr/>
        <w:t>HEIs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seen</w:t>
      </w:r>
      <w:r>
        <w:rPr>
          <w:spacing w:val="-8"/>
        </w:rPr>
        <w:t> </w:t>
      </w:r>
      <w:r>
        <w:rPr/>
        <w:t>now</w:t>
      </w:r>
      <w:r>
        <w:rPr>
          <w:spacing w:val="-8"/>
        </w:rPr>
        <w:t> </w:t>
      </w:r>
      <w:r>
        <w:rPr/>
        <w:t>as</w:t>
      </w:r>
      <w:r>
        <w:rPr>
          <w:spacing w:val="-3"/>
        </w:rPr>
        <w:t> </w:t>
      </w:r>
      <w:r>
        <w:rPr/>
        <w:t>“more</w:t>
      </w:r>
      <w:r>
        <w:rPr>
          <w:spacing w:val="-7"/>
        </w:rPr>
        <w:t> </w:t>
      </w:r>
      <w:r>
        <w:rPr/>
        <w:t>governable”</w:t>
      </w:r>
      <w:r>
        <w:rPr>
          <w:spacing w:val="-6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some</w:t>
      </w:r>
      <w:r>
        <w:rPr>
          <w:spacing w:val="-8"/>
        </w:rPr>
        <w:t> </w:t>
      </w:r>
      <w:r>
        <w:rPr/>
        <w:t>stakeholders</w:t>
      </w:r>
    </w:p>
    <w:p>
      <w:pPr>
        <w:pStyle w:val="BodyText"/>
        <w:spacing w:before="29"/>
        <w:ind w:left="183"/>
      </w:pPr>
      <w:r>
        <w:rPr/>
        <w:t>interviewed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OECD</w:t>
      </w:r>
      <w:r>
        <w:rPr>
          <w:spacing w:val="-2"/>
        </w:rPr>
        <w:t> </w:t>
      </w:r>
      <w:r>
        <w:rPr/>
        <w:t>team:</w:t>
      </w:r>
    </w:p>
    <w:p>
      <w:pPr>
        <w:pStyle w:val="ListParagraph"/>
        <w:numPr>
          <w:ilvl w:val="0"/>
          <w:numId w:val="34"/>
        </w:numPr>
        <w:tabs>
          <w:tab w:pos="862" w:val="left" w:leader="none"/>
          <w:tab w:pos="863" w:val="left" w:leader="none"/>
        </w:tabs>
        <w:spacing w:line="268" w:lineRule="auto" w:before="129" w:after="0"/>
        <w:ind w:left="862" w:right="311" w:hanging="339"/>
        <w:jc w:val="left"/>
        <w:rPr>
          <w:sz w:val="20"/>
        </w:rPr>
      </w:pPr>
      <w:r>
        <w:rPr>
          <w:sz w:val="20"/>
        </w:rPr>
        <w:t>Mandates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engage</w:t>
      </w:r>
      <w:r>
        <w:rPr>
          <w:spacing w:val="-9"/>
          <w:sz w:val="20"/>
        </w:rPr>
        <w:t> </w:t>
      </w:r>
      <w:r>
        <w:rPr>
          <w:sz w:val="20"/>
        </w:rPr>
        <w:t>bodies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hundreds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people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strategic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routine</w:t>
      </w:r>
      <w:r>
        <w:rPr>
          <w:spacing w:val="-8"/>
          <w:sz w:val="20"/>
        </w:rPr>
        <w:t> </w:t>
      </w:r>
      <w:r>
        <w:rPr>
          <w:sz w:val="20"/>
        </w:rPr>
        <w:t>managerial</w:t>
      </w:r>
      <w:r>
        <w:rPr>
          <w:spacing w:val="-9"/>
          <w:sz w:val="20"/>
        </w:rPr>
        <w:t> </w:t>
      </w:r>
      <w:r>
        <w:rPr>
          <w:sz w:val="20"/>
        </w:rPr>
        <w:t>decisions</w:t>
      </w:r>
      <w:r>
        <w:rPr>
          <w:spacing w:val="-5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longer</w:t>
      </w:r>
      <w:r>
        <w:rPr>
          <w:spacing w:val="-1"/>
          <w:sz w:val="20"/>
        </w:rPr>
        <w:t> </w:t>
      </w:r>
      <w:r>
        <w:rPr>
          <w:sz w:val="20"/>
        </w:rPr>
        <w:t>required.</w:t>
      </w:r>
    </w:p>
    <w:p>
      <w:pPr>
        <w:pStyle w:val="ListParagraph"/>
        <w:numPr>
          <w:ilvl w:val="0"/>
          <w:numId w:val="34"/>
        </w:numPr>
        <w:tabs>
          <w:tab w:pos="862" w:val="left" w:leader="none"/>
          <w:tab w:pos="863" w:val="left" w:leader="none"/>
        </w:tabs>
        <w:spacing w:line="240" w:lineRule="auto" w:before="49" w:after="0"/>
        <w:ind w:left="862" w:right="0" w:hanging="339"/>
        <w:jc w:val="left"/>
        <w:rPr>
          <w:sz w:val="20"/>
        </w:rPr>
      </w:pPr>
      <w:r>
        <w:rPr>
          <w:sz w:val="20"/>
        </w:rPr>
        <w:t>External</w:t>
      </w:r>
      <w:r>
        <w:rPr>
          <w:spacing w:val="-6"/>
          <w:sz w:val="20"/>
        </w:rPr>
        <w:t> </w:t>
      </w:r>
      <w:r>
        <w:rPr>
          <w:sz w:val="20"/>
        </w:rPr>
        <w:t>members</w:t>
      </w:r>
      <w:r>
        <w:rPr>
          <w:spacing w:val="-3"/>
          <w:sz w:val="20"/>
        </w:rPr>
        <w:t> </w:t>
      </w:r>
      <w:r>
        <w:rPr>
          <w:sz w:val="20"/>
        </w:rPr>
        <w:t>now</w:t>
      </w:r>
      <w:r>
        <w:rPr>
          <w:spacing w:val="-4"/>
          <w:sz w:val="20"/>
        </w:rPr>
        <w:t> </w:t>
      </w:r>
      <w:r>
        <w:rPr>
          <w:sz w:val="20"/>
        </w:rPr>
        <w:t>have</w:t>
      </w:r>
      <w:r>
        <w:rPr>
          <w:spacing w:val="-5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embedded</w:t>
      </w:r>
      <w:r>
        <w:rPr>
          <w:spacing w:val="-5"/>
          <w:sz w:val="20"/>
        </w:rPr>
        <w:t> </w:t>
      </w:r>
      <w:r>
        <w:rPr>
          <w:sz w:val="20"/>
        </w:rPr>
        <w:t>role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governance.</w:t>
      </w:r>
    </w:p>
    <w:p>
      <w:pPr>
        <w:pStyle w:val="ListParagraph"/>
        <w:numPr>
          <w:ilvl w:val="0"/>
          <w:numId w:val="34"/>
        </w:numPr>
        <w:tabs>
          <w:tab w:pos="862" w:val="left" w:leader="none"/>
          <w:tab w:pos="863" w:val="left" w:leader="none"/>
        </w:tabs>
        <w:spacing w:line="240" w:lineRule="auto" w:before="74" w:after="0"/>
        <w:ind w:left="862" w:right="0" w:hanging="339"/>
        <w:jc w:val="left"/>
        <w:rPr>
          <w:sz w:val="20"/>
        </w:rPr>
      </w:pPr>
      <w:r>
        <w:rPr>
          <w:sz w:val="20"/>
        </w:rPr>
        <w:t>Accountability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rectors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executives</w:t>
      </w:r>
      <w:r>
        <w:rPr>
          <w:spacing w:val="-5"/>
          <w:sz w:val="20"/>
        </w:rPr>
        <w:t> </w:t>
      </w:r>
      <w:r>
        <w:rPr>
          <w:sz w:val="20"/>
        </w:rPr>
        <w:t>has</w:t>
      </w:r>
      <w:r>
        <w:rPr>
          <w:spacing w:val="-5"/>
          <w:sz w:val="20"/>
        </w:rPr>
        <w:t> </w:t>
      </w:r>
      <w:r>
        <w:rPr>
          <w:sz w:val="20"/>
        </w:rPr>
        <w:t>increased</w:t>
      </w:r>
      <w:r>
        <w:rPr>
          <w:spacing w:val="-3"/>
          <w:sz w:val="20"/>
        </w:rPr>
        <w:t> </w:t>
      </w:r>
      <w:r>
        <w:rPr>
          <w:sz w:val="20"/>
        </w:rPr>
        <w:t>through</w:t>
      </w:r>
      <w:r>
        <w:rPr>
          <w:spacing w:val="-6"/>
          <w:sz w:val="20"/>
        </w:rPr>
        <w:t> </w:t>
      </w:r>
      <w:r>
        <w:rPr>
          <w:sz w:val="20"/>
        </w:rPr>
        <w:t>clearer</w:t>
      </w:r>
      <w:r>
        <w:rPr>
          <w:spacing w:val="-5"/>
          <w:sz w:val="20"/>
        </w:rPr>
        <w:t> </w:t>
      </w:r>
      <w:r>
        <w:rPr>
          <w:sz w:val="20"/>
        </w:rPr>
        <w:t>lines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responsibility.</w:t>
      </w:r>
    </w:p>
    <w:p>
      <w:pPr>
        <w:pStyle w:val="BodyText"/>
        <w:spacing w:line="271" w:lineRule="auto" w:before="157"/>
        <w:ind w:left="183" w:right="305"/>
        <w:jc w:val="both"/>
      </w:pPr>
      <w:r>
        <w:rPr/>
        <w:t>However,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reforms are</w:t>
      </w:r>
      <w:r>
        <w:rPr>
          <w:spacing w:val="-4"/>
        </w:rPr>
        <w:t> </w:t>
      </w:r>
      <w:r>
        <w:rPr/>
        <w:t>mixed,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few</w:t>
      </w:r>
      <w:r>
        <w:rPr>
          <w:spacing w:val="-3"/>
        </w:rPr>
        <w:t> </w:t>
      </w:r>
      <w:r>
        <w:rPr/>
        <w:t>key</w:t>
      </w:r>
      <w:r>
        <w:rPr>
          <w:spacing w:val="-5"/>
        </w:rPr>
        <w:t> </w:t>
      </w:r>
      <w:r>
        <w:rPr/>
        <w:t>concerns raised: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71" w:lineRule="auto" w:before="98" w:after="0"/>
        <w:ind w:left="862" w:right="304" w:hanging="339"/>
        <w:jc w:val="both"/>
        <w:rPr>
          <w:sz w:val="20"/>
        </w:rPr>
      </w:pPr>
      <w:r>
        <w:rPr>
          <w:sz w:val="20"/>
        </w:rPr>
        <w:t>While</w:t>
      </w:r>
      <w:r>
        <w:rPr>
          <w:spacing w:val="1"/>
          <w:sz w:val="20"/>
        </w:rPr>
        <w:t> </w:t>
      </w:r>
      <w:r>
        <w:rPr>
          <w:sz w:val="20"/>
        </w:rPr>
        <w:t>streamlining</w:t>
      </w:r>
      <w:r>
        <w:rPr>
          <w:spacing w:val="1"/>
          <w:sz w:val="20"/>
        </w:rPr>
        <w:t> </w:t>
      </w:r>
      <w:r>
        <w:rPr>
          <w:sz w:val="20"/>
        </w:rPr>
        <w:t>managerial</w:t>
      </w:r>
      <w:r>
        <w:rPr>
          <w:spacing w:val="1"/>
          <w:sz w:val="20"/>
        </w:rPr>
        <w:t> </w:t>
      </w:r>
      <w:r>
        <w:rPr>
          <w:sz w:val="20"/>
        </w:rPr>
        <w:t>capacity,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elimination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large</w:t>
      </w:r>
      <w:r>
        <w:rPr>
          <w:spacing w:val="1"/>
          <w:sz w:val="20"/>
        </w:rPr>
        <w:t> </w:t>
      </w:r>
      <w:r>
        <w:rPr>
          <w:sz w:val="20"/>
        </w:rPr>
        <w:t>collegial</w:t>
      </w:r>
      <w:r>
        <w:rPr>
          <w:spacing w:val="1"/>
          <w:sz w:val="20"/>
        </w:rPr>
        <w:t> </w:t>
      </w:r>
      <w:r>
        <w:rPr>
          <w:sz w:val="20"/>
        </w:rPr>
        <w:t>bodies</w:t>
      </w:r>
      <w:r>
        <w:rPr>
          <w:spacing w:val="1"/>
          <w:sz w:val="20"/>
        </w:rPr>
        <w:t> </w:t>
      </w:r>
      <w:r>
        <w:rPr>
          <w:sz w:val="20"/>
        </w:rPr>
        <w:t>governing</w:t>
      </w:r>
      <w:r>
        <w:rPr>
          <w:spacing w:val="1"/>
          <w:sz w:val="20"/>
        </w:rPr>
        <w:t> </w:t>
      </w:r>
      <w:r>
        <w:rPr>
          <w:sz w:val="20"/>
        </w:rPr>
        <w:t>institutions and teaching and research units has also resulted in a loss of the default spaces in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-10"/>
          <w:sz w:val="20"/>
        </w:rPr>
        <w:t> </w:t>
      </w:r>
      <w:r>
        <w:rPr>
          <w:sz w:val="20"/>
        </w:rPr>
        <w:t>institutional</w:t>
      </w:r>
      <w:r>
        <w:rPr>
          <w:spacing w:val="-10"/>
          <w:sz w:val="20"/>
        </w:rPr>
        <w:t> </w:t>
      </w:r>
      <w:r>
        <w:rPr>
          <w:sz w:val="20"/>
        </w:rPr>
        <w:t>matters</w:t>
      </w:r>
      <w:r>
        <w:rPr>
          <w:spacing w:val="-8"/>
          <w:sz w:val="20"/>
        </w:rPr>
        <w:t> </w:t>
      </w:r>
      <w:r>
        <w:rPr>
          <w:sz w:val="20"/>
        </w:rPr>
        <w:t>are</w:t>
      </w:r>
      <w:r>
        <w:rPr>
          <w:spacing w:val="-9"/>
          <w:sz w:val="20"/>
        </w:rPr>
        <w:t> </w:t>
      </w:r>
      <w:r>
        <w:rPr>
          <w:sz w:val="20"/>
        </w:rPr>
        <w:t>discussed,</w:t>
      </w:r>
      <w:r>
        <w:rPr>
          <w:spacing w:val="-10"/>
          <w:sz w:val="20"/>
        </w:rPr>
        <w:t> </w:t>
      </w:r>
      <w:r>
        <w:rPr>
          <w:sz w:val="20"/>
        </w:rPr>
        <w:t>debated,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understood</w:t>
      </w:r>
      <w:r>
        <w:rPr>
          <w:spacing w:val="-9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members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institutional</w:t>
      </w:r>
      <w:r>
        <w:rPr>
          <w:spacing w:val="-53"/>
          <w:sz w:val="20"/>
        </w:rPr>
        <w:t> </w:t>
      </w:r>
      <w:r>
        <w:rPr>
          <w:sz w:val="20"/>
        </w:rPr>
        <w:t>community. This was seen by some to result in a lack of capacity to build understanding and buy-</w:t>
      </w:r>
      <w:r>
        <w:rPr>
          <w:spacing w:val="-53"/>
          <w:sz w:val="20"/>
        </w:rPr>
        <w:t> </w:t>
      </w:r>
      <w:r>
        <w:rPr>
          <w:sz w:val="20"/>
        </w:rPr>
        <w:t>in of institutional direction among faculty, staff, students and organisational units. In some cases,</w:t>
      </w:r>
      <w:r>
        <w:rPr>
          <w:spacing w:val="1"/>
          <w:sz w:val="20"/>
        </w:rPr>
        <w:t> </w:t>
      </w:r>
      <w:r>
        <w:rPr>
          <w:sz w:val="20"/>
        </w:rPr>
        <w:t>governance changes challenged alignment of strategic plans due to “fragmentation between the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central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administration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and middle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management”</w:t>
      </w:r>
      <w:r>
        <w:rPr>
          <w:spacing w:val="3"/>
          <w:position w:val="1"/>
          <w:sz w:val="20"/>
        </w:rPr>
        <w:t> </w:t>
      </w:r>
      <w:r>
        <w:rPr>
          <w:position w:val="1"/>
          <w:sz w:val="20"/>
        </w:rPr>
        <w:t>(Magalhães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et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al.,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2013</w:t>
      </w:r>
      <w:r>
        <w:rPr>
          <w:sz w:val="13"/>
        </w:rPr>
        <w:t>[17]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71" w:lineRule="auto" w:before="46" w:after="0"/>
        <w:ind w:left="862" w:right="307" w:hanging="339"/>
        <w:jc w:val="both"/>
        <w:rPr>
          <w:sz w:val="20"/>
        </w:rPr>
      </w:pPr>
      <w:r>
        <w:rPr>
          <w:sz w:val="20"/>
        </w:rPr>
        <w:t>Some</w:t>
      </w:r>
      <w:r>
        <w:rPr>
          <w:spacing w:val="-8"/>
          <w:sz w:val="20"/>
        </w:rPr>
        <w:t> </w:t>
      </w:r>
      <w:r>
        <w:rPr>
          <w:sz w:val="20"/>
        </w:rPr>
        <w:t>sector</w:t>
      </w:r>
      <w:r>
        <w:rPr>
          <w:spacing w:val="-6"/>
          <w:sz w:val="20"/>
        </w:rPr>
        <w:t> </w:t>
      </w:r>
      <w:r>
        <w:rPr>
          <w:sz w:val="20"/>
        </w:rPr>
        <w:t>stakeholders</w:t>
      </w:r>
      <w:r>
        <w:rPr>
          <w:spacing w:val="-5"/>
          <w:sz w:val="20"/>
        </w:rPr>
        <w:t> </w:t>
      </w:r>
      <w:r>
        <w:rPr>
          <w:sz w:val="20"/>
        </w:rPr>
        <w:t>reported</w:t>
      </w:r>
      <w:r>
        <w:rPr>
          <w:spacing w:val="-8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inclusion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external</w:t>
      </w:r>
      <w:r>
        <w:rPr>
          <w:spacing w:val="-5"/>
          <w:sz w:val="20"/>
        </w:rPr>
        <w:t> </w:t>
      </w:r>
      <w:r>
        <w:rPr>
          <w:sz w:val="20"/>
        </w:rPr>
        <w:t>members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general</w:t>
      </w:r>
      <w:r>
        <w:rPr>
          <w:spacing w:val="-6"/>
          <w:sz w:val="20"/>
        </w:rPr>
        <w:t> </w:t>
      </w:r>
      <w:r>
        <w:rPr>
          <w:sz w:val="20"/>
        </w:rPr>
        <w:t>councils</w:t>
      </w:r>
      <w:r>
        <w:rPr>
          <w:spacing w:val="-6"/>
          <w:sz w:val="20"/>
        </w:rPr>
        <w:t> </w:t>
      </w:r>
      <w:r>
        <w:rPr>
          <w:sz w:val="20"/>
        </w:rPr>
        <w:t>has</w:t>
      </w:r>
      <w:r>
        <w:rPr>
          <w:spacing w:val="-6"/>
          <w:sz w:val="20"/>
        </w:rPr>
        <w:t> </w:t>
      </w:r>
      <w:r>
        <w:rPr>
          <w:sz w:val="20"/>
        </w:rPr>
        <w:t>not</w:t>
      </w:r>
      <w:r>
        <w:rPr>
          <w:spacing w:val="1"/>
          <w:sz w:val="20"/>
        </w:rPr>
        <w:t> </w:t>
      </w:r>
      <w:r>
        <w:rPr>
          <w:sz w:val="20"/>
        </w:rPr>
        <w:t>brought</w:t>
      </w:r>
      <w:r>
        <w:rPr>
          <w:spacing w:val="-7"/>
          <w:sz w:val="20"/>
        </w:rPr>
        <w:t> </w:t>
      </w:r>
      <w:r>
        <w:rPr>
          <w:sz w:val="20"/>
        </w:rPr>
        <w:t>discussion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broader</w:t>
      </w:r>
      <w:r>
        <w:rPr>
          <w:spacing w:val="-6"/>
          <w:sz w:val="20"/>
        </w:rPr>
        <w:t> </w:t>
      </w:r>
      <w:r>
        <w:rPr>
          <w:sz w:val="20"/>
        </w:rPr>
        <w:t>societal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economic</w:t>
      </w:r>
      <w:r>
        <w:rPr>
          <w:spacing w:val="-5"/>
          <w:sz w:val="20"/>
        </w:rPr>
        <w:t> </w:t>
      </w:r>
      <w:r>
        <w:rPr>
          <w:sz w:val="20"/>
        </w:rPr>
        <w:t>concerns,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rather,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6"/>
          <w:sz w:val="20"/>
        </w:rPr>
        <w:t> </w:t>
      </w:r>
      <w:r>
        <w:rPr>
          <w:sz w:val="20"/>
        </w:rPr>
        <w:t>following</w:t>
      </w:r>
      <w:r>
        <w:rPr>
          <w:spacing w:val="-6"/>
          <w:sz w:val="20"/>
        </w:rPr>
        <w:t> </w:t>
      </w:r>
      <w:r>
        <w:rPr>
          <w:sz w:val="20"/>
        </w:rPr>
        <w:t>an</w:t>
      </w:r>
      <w:r>
        <w:rPr>
          <w:spacing w:val="-5"/>
          <w:sz w:val="20"/>
        </w:rPr>
        <w:t> </w:t>
      </w:r>
      <w:r>
        <w:rPr>
          <w:sz w:val="20"/>
        </w:rPr>
        <w:t>initial</w:t>
      </w:r>
      <w:r>
        <w:rPr>
          <w:spacing w:val="1"/>
          <w:sz w:val="20"/>
        </w:rPr>
        <w:t> </w:t>
      </w:r>
      <w:r>
        <w:rPr>
          <w:sz w:val="20"/>
        </w:rPr>
        <w:t>period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more</w:t>
      </w:r>
      <w:r>
        <w:rPr>
          <w:spacing w:val="1"/>
          <w:sz w:val="20"/>
        </w:rPr>
        <w:t> </w:t>
      </w:r>
      <w:r>
        <w:rPr>
          <w:sz w:val="20"/>
        </w:rPr>
        <w:t>robust</w:t>
      </w:r>
      <w:r>
        <w:rPr>
          <w:spacing w:val="1"/>
          <w:sz w:val="20"/>
        </w:rPr>
        <w:t> </w:t>
      </w:r>
      <w:r>
        <w:rPr>
          <w:sz w:val="20"/>
        </w:rPr>
        <w:t>engagement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external</w:t>
      </w:r>
      <w:r>
        <w:rPr>
          <w:spacing w:val="1"/>
          <w:sz w:val="20"/>
        </w:rPr>
        <w:t> </w:t>
      </w:r>
      <w:r>
        <w:rPr>
          <w:sz w:val="20"/>
        </w:rPr>
        <w:t>members,</w:t>
      </w:r>
      <w:r>
        <w:rPr>
          <w:spacing w:val="1"/>
          <w:sz w:val="20"/>
        </w:rPr>
        <w:t> </w:t>
      </w:r>
      <w:r>
        <w:rPr>
          <w:sz w:val="20"/>
        </w:rPr>
        <w:t>internal</w:t>
      </w:r>
      <w:r>
        <w:rPr>
          <w:spacing w:val="1"/>
          <w:sz w:val="20"/>
        </w:rPr>
        <w:t> </w:t>
      </w:r>
      <w:r>
        <w:rPr>
          <w:sz w:val="20"/>
        </w:rPr>
        <w:t>members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deeper</w:t>
      </w:r>
      <w:r>
        <w:rPr>
          <w:spacing w:val="1"/>
          <w:sz w:val="20"/>
        </w:rPr>
        <w:t> </w:t>
      </w:r>
      <w:r>
        <w:rPr>
          <w:sz w:val="20"/>
        </w:rPr>
        <w:t>institutional</w:t>
      </w:r>
      <w:r>
        <w:rPr>
          <w:spacing w:val="-13"/>
          <w:sz w:val="20"/>
        </w:rPr>
        <w:t> </w:t>
      </w:r>
      <w:r>
        <w:rPr>
          <w:sz w:val="20"/>
        </w:rPr>
        <w:t>familiarity</w:t>
      </w:r>
      <w:r>
        <w:rPr>
          <w:spacing w:val="-13"/>
          <w:sz w:val="20"/>
        </w:rPr>
        <w:t> </w:t>
      </w:r>
      <w:r>
        <w:rPr>
          <w:sz w:val="20"/>
        </w:rPr>
        <w:t>have</w:t>
      </w:r>
      <w:r>
        <w:rPr>
          <w:spacing w:val="-10"/>
          <w:sz w:val="20"/>
        </w:rPr>
        <w:t> </w:t>
      </w:r>
      <w:r>
        <w:rPr>
          <w:sz w:val="20"/>
        </w:rPr>
        <w:t>driven</w:t>
      </w:r>
      <w:r>
        <w:rPr>
          <w:spacing w:val="-11"/>
          <w:sz w:val="20"/>
        </w:rPr>
        <w:t> </w:t>
      </w:r>
      <w:r>
        <w:rPr>
          <w:sz w:val="20"/>
        </w:rPr>
        <w:t>deliberations.</w:t>
      </w:r>
      <w:r>
        <w:rPr>
          <w:spacing w:val="-10"/>
          <w:sz w:val="20"/>
        </w:rPr>
        <w:t> </w:t>
      </w:r>
      <w:r>
        <w:rPr>
          <w:sz w:val="20"/>
        </w:rPr>
        <w:t>Such</w:t>
      </w:r>
      <w:r>
        <w:rPr>
          <w:spacing w:val="-13"/>
          <w:sz w:val="20"/>
        </w:rPr>
        <w:t> </w:t>
      </w:r>
      <w:r>
        <w:rPr>
          <w:sz w:val="20"/>
        </w:rPr>
        <w:t>concerns</w:t>
      </w:r>
      <w:r>
        <w:rPr>
          <w:spacing w:val="-8"/>
          <w:sz w:val="20"/>
        </w:rPr>
        <w:t> </w:t>
      </w:r>
      <w:r>
        <w:rPr>
          <w:sz w:val="20"/>
        </w:rPr>
        <w:t>were</w:t>
      </w:r>
      <w:r>
        <w:rPr>
          <w:spacing w:val="-10"/>
          <w:sz w:val="20"/>
        </w:rPr>
        <w:t> </w:t>
      </w:r>
      <w:r>
        <w:rPr>
          <w:sz w:val="20"/>
        </w:rPr>
        <w:t>also</w:t>
      </w:r>
      <w:r>
        <w:rPr>
          <w:spacing w:val="-10"/>
          <w:sz w:val="20"/>
        </w:rPr>
        <w:t> </w:t>
      </w:r>
      <w:r>
        <w:rPr>
          <w:sz w:val="20"/>
        </w:rPr>
        <w:t>seen</w:t>
      </w:r>
      <w:r>
        <w:rPr>
          <w:spacing w:val="-10"/>
          <w:sz w:val="20"/>
        </w:rPr>
        <w:t> </w:t>
      </w:r>
      <w:r>
        <w:rPr>
          <w:sz w:val="20"/>
        </w:rPr>
        <w:t>by</w:t>
      </w:r>
      <w:r>
        <w:rPr>
          <w:spacing w:val="-13"/>
          <w:sz w:val="20"/>
        </w:rPr>
        <w:t> </w:t>
      </w:r>
      <w:r>
        <w:rPr>
          <w:sz w:val="20"/>
        </w:rPr>
        <w:t>stakeholders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differ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region,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7"/>
          <w:sz w:val="20"/>
        </w:rPr>
        <w:t> </w:t>
      </w:r>
      <w:r>
        <w:rPr>
          <w:sz w:val="20"/>
        </w:rPr>
        <w:t>more</w:t>
      </w:r>
      <w:r>
        <w:rPr>
          <w:spacing w:val="-6"/>
          <w:sz w:val="20"/>
        </w:rPr>
        <w:t> </w:t>
      </w:r>
      <w:r>
        <w:rPr>
          <w:sz w:val="20"/>
        </w:rPr>
        <w:t>industrialised</w:t>
      </w:r>
      <w:r>
        <w:rPr>
          <w:spacing w:val="-7"/>
          <w:sz w:val="20"/>
        </w:rPr>
        <w:t> </w:t>
      </w:r>
      <w:r>
        <w:rPr>
          <w:sz w:val="20"/>
        </w:rPr>
        <w:t>regions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north</w:t>
      </w:r>
      <w:r>
        <w:rPr>
          <w:spacing w:val="-6"/>
          <w:sz w:val="20"/>
        </w:rPr>
        <w:t> </w:t>
      </w:r>
      <w:r>
        <w:rPr>
          <w:sz w:val="20"/>
        </w:rPr>
        <w:t>seeing</w:t>
      </w:r>
      <w:r>
        <w:rPr>
          <w:spacing w:val="-7"/>
          <w:sz w:val="20"/>
        </w:rPr>
        <w:t> </w:t>
      </w:r>
      <w:r>
        <w:rPr>
          <w:sz w:val="20"/>
        </w:rPr>
        <w:t>more</w:t>
      </w:r>
      <w:r>
        <w:rPr>
          <w:spacing w:val="-7"/>
          <w:sz w:val="20"/>
        </w:rPr>
        <w:t> </w:t>
      </w:r>
      <w:r>
        <w:rPr>
          <w:sz w:val="20"/>
        </w:rPr>
        <w:t>robust</w:t>
      </w:r>
      <w:r>
        <w:rPr>
          <w:spacing w:val="-6"/>
          <w:sz w:val="20"/>
        </w:rPr>
        <w:t> </w:t>
      </w:r>
      <w:r>
        <w:rPr>
          <w:sz w:val="20"/>
        </w:rPr>
        <w:t>participation</w:t>
      </w:r>
      <w:r>
        <w:rPr>
          <w:spacing w:val="-7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external employer members related to institutional linkages with the broader economy. Still other</w:t>
      </w:r>
      <w:r>
        <w:rPr>
          <w:spacing w:val="1"/>
          <w:sz w:val="20"/>
        </w:rPr>
        <w:t> </w:t>
      </w:r>
      <w:r>
        <w:rPr>
          <w:sz w:val="20"/>
        </w:rPr>
        <w:t>stakeholders</w:t>
      </w:r>
      <w:r>
        <w:rPr>
          <w:spacing w:val="-11"/>
          <w:sz w:val="20"/>
        </w:rPr>
        <w:t> </w:t>
      </w:r>
      <w:r>
        <w:rPr>
          <w:sz w:val="20"/>
        </w:rPr>
        <w:t>emphasised</w:t>
      </w:r>
      <w:r>
        <w:rPr>
          <w:spacing w:val="-10"/>
          <w:sz w:val="20"/>
        </w:rPr>
        <w:t> </w:t>
      </w:r>
      <w:r>
        <w:rPr>
          <w:sz w:val="20"/>
        </w:rPr>
        <w:t>that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key</w:t>
      </w:r>
      <w:r>
        <w:rPr>
          <w:spacing w:val="-12"/>
          <w:sz w:val="20"/>
        </w:rPr>
        <w:t> </w:t>
      </w:r>
      <w:r>
        <w:rPr>
          <w:sz w:val="20"/>
        </w:rPr>
        <w:t>value</w:t>
      </w:r>
      <w:r>
        <w:rPr>
          <w:spacing w:val="-10"/>
          <w:sz w:val="20"/>
        </w:rPr>
        <w:t> </w:t>
      </w:r>
      <w:r>
        <w:rPr>
          <w:sz w:val="20"/>
        </w:rPr>
        <w:t>that</w:t>
      </w:r>
      <w:r>
        <w:rPr>
          <w:spacing w:val="-9"/>
          <w:sz w:val="20"/>
        </w:rPr>
        <w:t> </w:t>
      </w:r>
      <w:r>
        <w:rPr>
          <w:sz w:val="20"/>
        </w:rPr>
        <w:t>external</w:t>
      </w:r>
      <w:r>
        <w:rPr>
          <w:spacing w:val="-10"/>
          <w:sz w:val="20"/>
        </w:rPr>
        <w:t> </w:t>
      </w:r>
      <w:r>
        <w:rPr>
          <w:sz w:val="20"/>
        </w:rPr>
        <w:t>members</w:t>
      </w:r>
      <w:r>
        <w:rPr>
          <w:spacing w:val="-10"/>
          <w:sz w:val="20"/>
        </w:rPr>
        <w:t> </w:t>
      </w:r>
      <w:r>
        <w:rPr>
          <w:sz w:val="20"/>
        </w:rPr>
        <w:t>add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governance</w:t>
      </w:r>
      <w:r>
        <w:rPr>
          <w:spacing w:val="-9"/>
          <w:sz w:val="20"/>
        </w:rPr>
        <w:t> </w:t>
      </w:r>
      <w:r>
        <w:rPr>
          <w:sz w:val="20"/>
        </w:rPr>
        <w:t>is</w:t>
      </w:r>
      <w:r>
        <w:rPr>
          <w:spacing w:val="-8"/>
          <w:sz w:val="20"/>
        </w:rPr>
        <w:t> </w:t>
      </w:r>
      <w:r>
        <w:rPr>
          <w:sz w:val="20"/>
        </w:rPr>
        <w:t>less</w:t>
      </w:r>
      <w:r>
        <w:rPr>
          <w:spacing w:val="-10"/>
          <w:sz w:val="20"/>
        </w:rPr>
        <w:t> </w:t>
      </w:r>
      <w:r>
        <w:rPr>
          <w:sz w:val="20"/>
        </w:rPr>
        <w:t>their</w:t>
      </w:r>
      <w:r>
        <w:rPr>
          <w:spacing w:val="-54"/>
          <w:sz w:val="20"/>
        </w:rPr>
        <w:t> </w:t>
      </w:r>
      <w:r>
        <w:rPr>
          <w:sz w:val="20"/>
        </w:rPr>
        <w:t>unique</w:t>
      </w:r>
      <w:r>
        <w:rPr>
          <w:spacing w:val="-1"/>
          <w:sz w:val="20"/>
        </w:rPr>
        <w:t> </w:t>
      </w:r>
      <w:r>
        <w:rPr>
          <w:sz w:val="20"/>
        </w:rPr>
        <w:t>perspectives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more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2"/>
          <w:sz w:val="20"/>
        </w:rPr>
        <w:t> </w:t>
      </w:r>
      <w:r>
        <w:rPr>
          <w:sz w:val="20"/>
        </w:rPr>
        <w:t>independence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internal</w:t>
      </w:r>
      <w:r>
        <w:rPr>
          <w:spacing w:val="-2"/>
          <w:sz w:val="20"/>
        </w:rPr>
        <w:t> </w:t>
      </w:r>
      <w:r>
        <w:rPr>
          <w:sz w:val="20"/>
        </w:rPr>
        <w:t>institutional</w:t>
      </w:r>
      <w:r>
        <w:rPr>
          <w:spacing w:val="-4"/>
          <w:sz w:val="20"/>
        </w:rPr>
        <w:t> </w:t>
      </w:r>
      <w:r>
        <w:rPr>
          <w:sz w:val="20"/>
        </w:rPr>
        <w:t>concerns.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71" w:lineRule="auto" w:before="42" w:after="0"/>
        <w:ind w:left="862" w:right="307" w:hanging="339"/>
        <w:jc w:val="both"/>
        <w:rPr>
          <w:sz w:val="20"/>
        </w:rPr>
      </w:pPr>
      <w:r>
        <w:rPr>
          <w:sz w:val="20"/>
        </w:rPr>
        <w:t>As</w:t>
      </w:r>
      <w:r>
        <w:rPr>
          <w:spacing w:val="-10"/>
          <w:sz w:val="20"/>
        </w:rPr>
        <w:t> </w:t>
      </w:r>
      <w:r>
        <w:rPr>
          <w:sz w:val="20"/>
        </w:rPr>
        <w:t>noted,</w:t>
      </w:r>
      <w:r>
        <w:rPr>
          <w:spacing w:val="-10"/>
          <w:sz w:val="20"/>
        </w:rPr>
        <w:t> </w:t>
      </w:r>
      <w:r>
        <w:rPr>
          <w:sz w:val="20"/>
        </w:rPr>
        <w:t>rectors</w:t>
      </w:r>
      <w:r>
        <w:rPr>
          <w:spacing w:val="-7"/>
          <w:sz w:val="20"/>
        </w:rPr>
        <w:t> </w:t>
      </w:r>
      <w:r>
        <w:rPr>
          <w:sz w:val="20"/>
        </w:rPr>
        <w:t>were</w:t>
      </w:r>
      <w:r>
        <w:rPr>
          <w:spacing w:val="-8"/>
          <w:sz w:val="20"/>
        </w:rPr>
        <w:t> </w:t>
      </w:r>
      <w:r>
        <w:rPr>
          <w:sz w:val="20"/>
        </w:rPr>
        <w:t>previously</w:t>
      </w:r>
      <w:r>
        <w:rPr>
          <w:spacing w:val="-11"/>
          <w:sz w:val="20"/>
        </w:rPr>
        <w:t> </w:t>
      </w:r>
      <w:r>
        <w:rPr>
          <w:sz w:val="20"/>
        </w:rPr>
        <w:t>elected</w:t>
      </w:r>
      <w:r>
        <w:rPr>
          <w:spacing w:val="-9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broad</w:t>
      </w:r>
      <w:r>
        <w:rPr>
          <w:spacing w:val="-8"/>
          <w:sz w:val="20"/>
        </w:rPr>
        <w:t> </w:t>
      </w:r>
      <w:r>
        <w:rPr>
          <w:sz w:val="20"/>
        </w:rPr>
        <w:t>university</w:t>
      </w:r>
      <w:r>
        <w:rPr>
          <w:spacing w:val="-11"/>
          <w:sz w:val="20"/>
        </w:rPr>
        <w:t> </w:t>
      </w:r>
      <w:r>
        <w:rPr>
          <w:sz w:val="20"/>
        </w:rPr>
        <w:t>assemblies.</w:t>
      </w:r>
      <w:r>
        <w:rPr>
          <w:spacing w:val="-10"/>
          <w:sz w:val="20"/>
        </w:rPr>
        <w:t> </w:t>
      </w:r>
      <w:r>
        <w:rPr>
          <w:sz w:val="20"/>
        </w:rPr>
        <w:t>Now</w:t>
      </w:r>
      <w:r>
        <w:rPr>
          <w:spacing w:val="-11"/>
          <w:sz w:val="20"/>
        </w:rPr>
        <w:t> </w:t>
      </w:r>
      <w:r>
        <w:rPr>
          <w:sz w:val="20"/>
        </w:rPr>
        <w:t>they</w:t>
      </w:r>
      <w:r>
        <w:rPr>
          <w:spacing w:val="-11"/>
          <w:sz w:val="20"/>
        </w:rPr>
        <w:t> </w:t>
      </w:r>
      <w:r>
        <w:rPr>
          <w:sz w:val="20"/>
        </w:rPr>
        <w:t>are</w:t>
      </w:r>
      <w:r>
        <w:rPr>
          <w:spacing w:val="-8"/>
          <w:sz w:val="20"/>
        </w:rPr>
        <w:t> </w:t>
      </w:r>
      <w:r>
        <w:rPr>
          <w:sz w:val="20"/>
        </w:rPr>
        <w:t>elected</w:t>
      </w:r>
      <w:r>
        <w:rPr>
          <w:spacing w:val="-10"/>
          <w:sz w:val="20"/>
        </w:rPr>
        <w:t> </w:t>
      </w:r>
      <w:r>
        <w:rPr>
          <w:sz w:val="20"/>
        </w:rPr>
        <w:t>by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general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councils,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which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include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external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members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that</w:t>
      </w:r>
      <w:r>
        <w:rPr>
          <w:spacing w:val="-15"/>
          <w:sz w:val="20"/>
        </w:rPr>
        <w:t> </w:t>
      </w:r>
      <w:r>
        <w:rPr>
          <w:sz w:val="20"/>
        </w:rPr>
        <w:t>are</w:t>
      </w:r>
      <w:r>
        <w:rPr>
          <w:spacing w:val="-13"/>
          <w:sz w:val="20"/>
        </w:rPr>
        <w:t> </w:t>
      </w:r>
      <w:r>
        <w:rPr>
          <w:sz w:val="20"/>
        </w:rPr>
        <w:t>selected</w:t>
      </w:r>
      <w:r>
        <w:rPr>
          <w:spacing w:val="-13"/>
          <w:sz w:val="20"/>
        </w:rPr>
        <w:t> </w:t>
      </w:r>
      <w:r>
        <w:rPr>
          <w:sz w:val="20"/>
        </w:rPr>
        <w:t>by</w:t>
      </w:r>
      <w:r>
        <w:rPr>
          <w:spacing w:val="-16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internal</w:t>
      </w:r>
      <w:r>
        <w:rPr>
          <w:spacing w:val="-11"/>
          <w:sz w:val="20"/>
        </w:rPr>
        <w:t> </w:t>
      </w:r>
      <w:r>
        <w:rPr>
          <w:sz w:val="20"/>
        </w:rPr>
        <w:t>members.</w:t>
      </w:r>
      <w:r>
        <w:rPr>
          <w:spacing w:val="-15"/>
          <w:sz w:val="20"/>
        </w:rPr>
        <w:t> </w:t>
      </w:r>
      <w:r>
        <w:rPr>
          <w:sz w:val="20"/>
        </w:rPr>
        <w:t>There</w:t>
      </w:r>
      <w:r>
        <w:rPr>
          <w:spacing w:val="-53"/>
          <w:sz w:val="20"/>
        </w:rPr>
        <w:t> </w:t>
      </w:r>
      <w:r>
        <w:rPr>
          <w:sz w:val="20"/>
        </w:rPr>
        <w:t>are concerns that at times selection of external general council members by internal faculty and</w:t>
      </w:r>
      <w:r>
        <w:rPr>
          <w:spacing w:val="1"/>
          <w:sz w:val="20"/>
        </w:rPr>
        <w:t> </w:t>
      </w:r>
      <w:r>
        <w:rPr>
          <w:sz w:val="20"/>
        </w:rPr>
        <w:t>student members is based on internal members’ perception of who external members would</w:t>
      </w:r>
      <w:r>
        <w:rPr>
          <w:spacing w:val="1"/>
          <w:sz w:val="20"/>
        </w:rPr>
        <w:t> </w:t>
      </w:r>
      <w:r>
        <w:rPr>
          <w:sz w:val="20"/>
        </w:rPr>
        <w:t>support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selection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rector.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other</w:t>
      </w:r>
      <w:r>
        <w:rPr>
          <w:spacing w:val="-3"/>
          <w:sz w:val="20"/>
        </w:rPr>
        <w:t> </w:t>
      </w:r>
      <w:r>
        <w:rPr>
          <w:sz w:val="20"/>
        </w:rPr>
        <w:t>words,</w:t>
      </w:r>
      <w:r>
        <w:rPr>
          <w:spacing w:val="-7"/>
          <w:sz w:val="20"/>
        </w:rPr>
        <w:t> </w:t>
      </w:r>
      <w:r>
        <w:rPr>
          <w:sz w:val="20"/>
        </w:rPr>
        <w:t>it</w:t>
      </w:r>
      <w:r>
        <w:rPr>
          <w:spacing w:val="-4"/>
          <w:sz w:val="20"/>
        </w:rPr>
        <w:t> </w:t>
      </w:r>
      <w:r>
        <w:rPr>
          <w:sz w:val="20"/>
        </w:rPr>
        <w:t>appears</w:t>
      </w:r>
      <w:r>
        <w:rPr>
          <w:spacing w:val="-7"/>
          <w:sz w:val="20"/>
        </w:rPr>
        <w:t> </w:t>
      </w:r>
      <w:r>
        <w:rPr>
          <w:sz w:val="20"/>
        </w:rPr>
        <w:t>that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some</w:t>
      </w:r>
      <w:r>
        <w:rPr>
          <w:spacing w:val="-9"/>
          <w:sz w:val="20"/>
        </w:rPr>
        <w:t> </w:t>
      </w:r>
      <w:r>
        <w:rPr>
          <w:sz w:val="20"/>
        </w:rPr>
        <w:t>cases</w:t>
      </w:r>
      <w:r>
        <w:rPr>
          <w:spacing w:val="-7"/>
          <w:sz w:val="20"/>
        </w:rPr>
        <w:t> </w:t>
      </w:r>
      <w:r>
        <w:rPr>
          <w:sz w:val="20"/>
        </w:rPr>
        <w:t>rector</w:t>
      </w:r>
      <w:r>
        <w:rPr>
          <w:spacing w:val="-8"/>
          <w:sz w:val="20"/>
        </w:rPr>
        <w:t> </w:t>
      </w:r>
      <w:r>
        <w:rPr>
          <w:sz w:val="20"/>
        </w:rPr>
        <w:t>selection</w:t>
      </w:r>
      <w:r>
        <w:rPr>
          <w:spacing w:val="1"/>
          <w:sz w:val="20"/>
        </w:rPr>
        <w:t> </w:t>
      </w:r>
      <w:r>
        <w:rPr>
          <w:sz w:val="20"/>
        </w:rPr>
        <w:t>has continued within a political framework that can now also influence the composition of the</w:t>
      </w:r>
      <w:r>
        <w:rPr>
          <w:spacing w:val="1"/>
          <w:sz w:val="20"/>
        </w:rPr>
        <w:t> </w:t>
      </w:r>
      <w:r>
        <w:rPr>
          <w:sz w:val="20"/>
        </w:rPr>
        <w:t>governing</w:t>
      </w:r>
      <w:r>
        <w:rPr>
          <w:spacing w:val="-1"/>
          <w:sz w:val="20"/>
        </w:rPr>
        <w:t> </w:t>
      </w:r>
      <w:r>
        <w:rPr>
          <w:sz w:val="20"/>
        </w:rPr>
        <w:t>body,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form</w:t>
      </w:r>
      <w:r>
        <w:rPr>
          <w:spacing w:val="2"/>
          <w:sz w:val="20"/>
        </w:rPr>
        <w:t> </w:t>
      </w:r>
      <w:r>
        <w:rPr>
          <w:sz w:val="20"/>
        </w:rPr>
        <w:t>of the</w:t>
      </w:r>
      <w:r>
        <w:rPr>
          <w:spacing w:val="-1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council.</w:t>
      </w:r>
    </w:p>
    <w:p>
      <w:pPr>
        <w:pStyle w:val="BodyText"/>
        <w:spacing w:line="271" w:lineRule="auto" w:before="127"/>
        <w:ind w:left="183" w:right="300"/>
        <w:jc w:val="both"/>
      </w:pPr>
      <w:r>
        <w:rPr/>
        <w:t>These are concerns that may be addressed through continued development of the post-RJIES HEI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Portugal.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centralised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simultaneous adoption of more informal consultative mechanisms at an institutional level in order to lead</w:t>
      </w:r>
      <w:r>
        <w:rPr>
          <w:spacing w:val="1"/>
        </w:rPr>
        <w:t> </w:t>
      </w:r>
      <w:r>
        <w:rPr/>
        <w:t>the diffuse range of individuals and organisational units that form an HEI. These may be governance</w:t>
      </w:r>
      <w:r>
        <w:rPr>
          <w:spacing w:val="1"/>
        </w:rPr>
        <w:t> </w:t>
      </w:r>
      <w:r>
        <w:rPr/>
        <w:t>practices that fall outside of law or statute, including development of norms around expected consultation</w:t>
      </w:r>
      <w:r>
        <w:rPr>
          <w:spacing w:val="-53"/>
        </w:rPr>
        <w:t> </w:t>
      </w:r>
      <w:r>
        <w:rPr/>
        <w:t>in relation to substantial decisions. Further consideration of the selection process and approach to</w:t>
      </w:r>
      <w:r>
        <w:rPr>
          <w:spacing w:val="1"/>
        </w:rPr>
        <w:t> </w:t>
      </w:r>
      <w:r>
        <w:rPr/>
        <w:t>involvement of external members in general councils may also be required, with potential for deepening</w:t>
      </w:r>
      <w:r>
        <w:rPr>
          <w:spacing w:val="1"/>
        </w:rPr>
        <w:t> </w:t>
      </w:r>
      <w:r>
        <w:rPr/>
        <w:t>effective</w:t>
      </w:r>
      <w:r>
        <w:rPr>
          <w:spacing w:val="-14"/>
        </w:rPr>
        <w:t> </w:t>
      </w:r>
      <w:r>
        <w:rPr/>
        <w:t>engagement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individuals</w:t>
      </w:r>
      <w:r>
        <w:rPr>
          <w:spacing w:val="-10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institutional</w:t>
      </w:r>
      <w:r>
        <w:rPr>
          <w:spacing w:val="-11"/>
        </w:rPr>
        <w:t> </w:t>
      </w:r>
      <w:r>
        <w:rPr/>
        <w:t>ties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governance.</w:t>
      </w:r>
      <w:r>
        <w:rPr>
          <w:spacing w:val="-11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as</w:t>
      </w:r>
      <w:r>
        <w:rPr>
          <w:spacing w:val="-9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discussed,</w:t>
      </w:r>
      <w:r>
        <w:rPr>
          <w:spacing w:val="1"/>
        </w:rPr>
        <w:t> </w:t>
      </w:r>
      <w:r>
        <w:rPr/>
        <w:t>there are currently challenges to opening consideration of options for further development of the RJIES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framework.</w:t>
      </w:r>
    </w:p>
    <w:p>
      <w:pPr>
        <w:pStyle w:val="Heading8"/>
        <w:spacing w:before="119"/>
      </w:pP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foundation</w:t>
      </w:r>
      <w:r>
        <w:rPr>
          <w:spacing w:val="-4"/>
        </w:rPr>
        <w:t> </w:t>
      </w:r>
      <w:r>
        <w:rPr/>
        <w:t>status</w:t>
      </w:r>
    </w:p>
    <w:p>
      <w:pPr>
        <w:pStyle w:val="BodyText"/>
        <w:spacing w:line="271" w:lineRule="auto" w:before="151"/>
        <w:ind w:left="183" w:right="303"/>
        <w:jc w:val="both"/>
      </w:pPr>
      <w:r>
        <w:rPr>
          <w:w w:val="95"/>
        </w:rPr>
        <w:t>Since RJIES’ adoption, implementation of the foundation-status vision for Portuguese HEIs has progressed</w:t>
      </w:r>
      <w:r>
        <w:rPr>
          <w:spacing w:val="1"/>
          <w:w w:val="95"/>
        </w:rPr>
        <w:t> </w:t>
      </w:r>
      <w:r>
        <w:rPr/>
        <w:t>slowly in terms of the number of HEIs that are both eligible and choosing to take up this status. However,</w:t>
      </w:r>
      <w:r>
        <w:rPr>
          <w:spacing w:val="-53"/>
        </w:rPr>
        <w:t> </w:t>
      </w:r>
      <w:r>
        <w:rPr/>
        <w:t>institutions that have attained foundation status include five of the country’s ten largest universities</w:t>
      </w:r>
      <w:r>
        <w:rPr>
          <w:spacing w:val="1"/>
        </w:rPr>
        <w:t> </w:t>
      </w:r>
      <w:r>
        <w:rPr>
          <w:spacing w:val="-1"/>
        </w:rPr>
        <w:t>(representing</w:t>
      </w:r>
      <w:r>
        <w:rPr>
          <w:spacing w:val="-14"/>
        </w:rPr>
        <w:t> </w:t>
      </w:r>
      <w:r>
        <w:rPr>
          <w:spacing w:val="-1"/>
        </w:rPr>
        <w:t>25%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country’s</w:t>
      </w:r>
      <w:r>
        <w:rPr>
          <w:spacing w:val="-9"/>
        </w:rPr>
        <w:t> </w:t>
      </w:r>
      <w:r>
        <w:rPr>
          <w:spacing w:val="-1"/>
        </w:rPr>
        <w:t>HE</w:t>
      </w:r>
      <w:r>
        <w:rPr>
          <w:spacing w:val="-13"/>
        </w:rPr>
        <w:t> </w:t>
      </w:r>
      <w:r>
        <w:rPr>
          <w:spacing w:val="-1"/>
        </w:rPr>
        <w:t>student</w:t>
      </w:r>
      <w:r>
        <w:rPr>
          <w:spacing w:val="-13"/>
        </w:rPr>
        <w:t> </w:t>
      </w:r>
      <w:r>
        <w:rPr>
          <w:spacing w:val="-1"/>
        </w:rPr>
        <w:t>population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2016).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contrasts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only</w:t>
      </w:r>
      <w:r>
        <w:rPr>
          <w:spacing w:val="-16"/>
        </w:rPr>
        <w:t> </w:t>
      </w:r>
      <w:r>
        <w:rPr/>
        <w:t>one</w:t>
      </w:r>
      <w:r>
        <w:rPr>
          <w:spacing w:val="-11"/>
        </w:rPr>
        <w:t> </w:t>
      </w:r>
      <w:r>
        <w:rPr/>
        <w:t>polytechnic</w:t>
      </w:r>
      <w:r>
        <w:rPr>
          <w:spacing w:val="1"/>
        </w:rPr>
        <w:t> </w:t>
      </w:r>
      <w:r>
        <w:rPr/>
        <w:t>having</w:t>
      </w:r>
      <w:r>
        <w:rPr>
          <w:spacing w:val="-2"/>
        </w:rPr>
        <w:t> </w:t>
      </w:r>
      <w:r>
        <w:rPr/>
        <w:t>attained</w:t>
      </w:r>
      <w:r>
        <w:rPr>
          <w:spacing w:val="-1"/>
        </w:rPr>
        <w:t> </w:t>
      </w:r>
      <w:r>
        <w:rPr/>
        <w:t>foundations status.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1"/>
        <w:jc w:val="both"/>
      </w:pPr>
      <w:r>
        <w:rPr/>
        <w:t>The University of Porto, University of Aveiro and the Lisbon University Institute (Instituto Universitário de</w:t>
      </w:r>
      <w:r>
        <w:rPr>
          <w:spacing w:val="1"/>
        </w:rPr>
        <w:t> </w:t>
      </w:r>
      <w:r>
        <w:rPr/>
        <w:t>Lisboa – ISCTE) attained foundation status in 2009. With roughly 28 000 students, the University of Porto</w:t>
      </w:r>
      <w:r>
        <w:rPr>
          <w:spacing w:val="-54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country’s</w:t>
      </w:r>
      <w:r>
        <w:rPr>
          <w:spacing w:val="56"/>
        </w:rPr>
        <w:t> </w:t>
      </w:r>
      <w:r>
        <w:rPr/>
        <w:t>second</w:t>
      </w:r>
      <w:r>
        <w:rPr>
          <w:spacing w:val="55"/>
        </w:rPr>
        <w:t> </w:t>
      </w:r>
      <w:r>
        <w:rPr/>
        <w:t>largest</w:t>
      </w:r>
      <w:r>
        <w:rPr>
          <w:spacing w:val="56"/>
        </w:rPr>
        <w:t> </w:t>
      </w:r>
      <w:r>
        <w:rPr/>
        <w:t>university,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University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Aveiro</w:t>
      </w:r>
      <w:r>
        <w:rPr>
          <w:spacing w:val="56"/>
        </w:rPr>
        <w:t> </w:t>
      </w:r>
      <w:r>
        <w:rPr/>
        <w:t>is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sixth</w:t>
      </w:r>
      <w:r>
        <w:rPr>
          <w:spacing w:val="55"/>
        </w:rPr>
        <w:t> </w:t>
      </w:r>
      <w:r>
        <w:rPr/>
        <w:t>largest</w:t>
      </w:r>
      <w:r>
        <w:rPr>
          <w:spacing w:val="56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(12 000 students)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ISCTE</w:t>
      </w:r>
      <w:r>
        <w:rPr>
          <w:spacing w:val="1"/>
        </w:rPr>
        <w:t> </w:t>
      </w:r>
      <w:r>
        <w:rPr/>
        <w:t>Lisbon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(9 000 students).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universities, New University of Lisbon (the fourth largest university, at roughly 18 000 students) and</w:t>
      </w:r>
      <w:r>
        <w:rPr>
          <w:spacing w:val="1"/>
        </w:rPr>
        <w:t> </w:t>
      </w:r>
      <w:r>
        <w:rPr>
          <w:position w:val="1"/>
        </w:rPr>
        <w:t>University of Minho (the fifth largest university, at roughly 17 000 students) (ETER, 2021</w:t>
      </w:r>
      <w:r>
        <w:rPr>
          <w:sz w:val="13"/>
        </w:rPr>
        <w:t>[18]</w:t>
      </w:r>
      <w:r>
        <w:rPr>
          <w:position w:val="1"/>
        </w:rPr>
        <w:t>) later attained</w:t>
      </w:r>
      <w:r>
        <w:rPr>
          <w:spacing w:val="-53"/>
          <w:position w:val="1"/>
        </w:rPr>
        <w:t> </w:t>
      </w:r>
      <w:r>
        <w:rPr>
          <w:position w:val="1"/>
        </w:rPr>
        <w:t>foundation status in 2015 and 2016 (OECD, 2019</w:t>
      </w:r>
      <w:r>
        <w:rPr>
          <w:sz w:val="13"/>
        </w:rPr>
        <w:t>[5]</w:t>
      </w:r>
      <w:r>
        <w:rPr>
          <w:position w:val="1"/>
        </w:rPr>
        <w:t>). Most recently, the Polytechnic Institute of Cávado</w:t>
      </w:r>
      <w:r>
        <w:rPr>
          <w:spacing w:val="1"/>
          <w:position w:val="1"/>
        </w:rPr>
        <w:t> </w:t>
      </w:r>
      <w:r>
        <w:rPr/>
        <w:t>and Ave (the ninth largest polytechnic, at roughly 4 000 students) attained foundation status in 2018</w:t>
      </w:r>
      <w:r>
        <w:rPr>
          <w:spacing w:val="1"/>
        </w:rPr>
        <w:t> </w:t>
      </w:r>
      <w:r>
        <w:rPr>
          <w:position w:val="1"/>
        </w:rPr>
        <w:t>(Eurydice, n.d.</w:t>
      </w:r>
      <w:r>
        <w:rPr>
          <w:sz w:val="13"/>
        </w:rPr>
        <w:t>[19]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Sector stakeholders interviewed by the OECD team noted that aside from the two universities mentioned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Lisbon,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polytechnic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transitioned to foundation status are located in Portugal’s more industrialised north (where the majority of</w:t>
      </w:r>
      <w:r>
        <w:rPr>
          <w:spacing w:val="-53"/>
        </w:rPr>
        <w:t> </w:t>
      </w:r>
      <w:r>
        <w:rPr/>
        <w:t>HEIs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located).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Lisbon,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largest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most</w:t>
      </w:r>
      <w:r>
        <w:rPr>
          <w:spacing w:val="-11"/>
        </w:rPr>
        <w:t> </w:t>
      </w:r>
      <w:r>
        <w:rPr/>
        <w:t>research-intensive</w:t>
      </w:r>
      <w:r>
        <w:rPr>
          <w:spacing w:val="-9"/>
        </w:rPr>
        <w:t> </w:t>
      </w:r>
      <w:r>
        <w:rPr/>
        <w:t>institution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Portugal,</w:t>
      </w:r>
      <w:r>
        <w:rPr>
          <w:spacing w:val="1"/>
        </w:rPr>
        <w:t> </w:t>
      </w:r>
      <w:r>
        <w:rPr/>
        <w:t>has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transitioned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foundation</w:t>
      </w:r>
      <w:r>
        <w:rPr>
          <w:spacing w:val="-5"/>
        </w:rPr>
        <w:t> </w:t>
      </w:r>
      <w:r>
        <w:rPr/>
        <w:t>status,</w:t>
      </w:r>
      <w:r>
        <w:rPr>
          <w:spacing w:val="-4"/>
        </w:rPr>
        <w:t> </w:t>
      </w:r>
      <w:r>
        <w:rPr/>
        <w:t>contrary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what</w:t>
      </w:r>
      <w:r>
        <w:rPr>
          <w:spacing w:val="-5"/>
        </w:rPr>
        <w:t> </w:t>
      </w:r>
      <w:r>
        <w:rPr/>
        <w:t>stakeholders</w:t>
      </w:r>
      <w:r>
        <w:rPr>
          <w:spacing w:val="-3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core</w:t>
      </w:r>
      <w:r>
        <w:rPr>
          <w:spacing w:val="-2"/>
        </w:rPr>
        <w:t> </w:t>
      </w:r>
      <w:r>
        <w:rPr/>
        <w:t>vision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RJIES’ 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initial implementation.</w:t>
      </w:r>
      <w:r>
        <w:rPr>
          <w:spacing w:val="1"/>
        </w:rPr>
        <w:t> </w:t>
      </w:r>
      <w:r>
        <w:rPr/>
        <w:t>Institutions that have adopted foundation status appear to be those that are more oriented toward</w:t>
      </w:r>
      <w:r>
        <w:rPr>
          <w:spacing w:val="1"/>
        </w:rPr>
        <w:t> </w:t>
      </w:r>
      <w:r>
        <w:rPr/>
        <w:t>leveraging the flexibility it offers toward entrepreneurial activity, and also those located within regions and</w:t>
      </w:r>
      <w:r>
        <w:rPr>
          <w:spacing w:val="-53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contexts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positioned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support</w:t>
      </w:r>
      <w:r>
        <w:rPr>
          <w:spacing w:val="-9"/>
        </w:rPr>
        <w:t> </w:t>
      </w:r>
      <w:r>
        <w:rPr/>
        <w:t>these</w:t>
      </w:r>
      <w:r>
        <w:rPr>
          <w:spacing w:val="-8"/>
        </w:rPr>
        <w:t> </w:t>
      </w:r>
      <w:r>
        <w:rPr/>
        <w:t>activities.</w:t>
      </w:r>
      <w:r>
        <w:rPr>
          <w:spacing w:val="-10"/>
        </w:rPr>
        <w:t> </w:t>
      </w:r>
      <w:r>
        <w:rPr/>
        <w:t>Stakeholders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opposition</w:t>
      </w:r>
      <w:r>
        <w:rPr>
          <w:spacing w:val="-10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considering foundation status within some universities among faculty, staff and students that is based on</w:t>
      </w:r>
      <w:r>
        <w:rPr>
          <w:spacing w:val="1"/>
        </w:rPr>
        <w:t> </w:t>
      </w:r>
      <w:r>
        <w:rPr/>
        <w:t>the same views against perceived “privatisation” that were prevalent at the time of RJIES’ initial passage</w:t>
      </w:r>
      <w:r>
        <w:rPr>
          <w:spacing w:val="1"/>
        </w:rPr>
        <w:t> </w:t>
      </w:r>
      <w:r>
        <w:rPr>
          <w:position w:val="1"/>
        </w:rPr>
        <w:t>in</w:t>
      </w:r>
      <w:r>
        <w:rPr>
          <w:spacing w:val="-13"/>
          <w:position w:val="1"/>
        </w:rPr>
        <w:t> </w:t>
      </w:r>
      <w:r>
        <w:rPr>
          <w:position w:val="1"/>
        </w:rPr>
        <w:t>2007</w:t>
      </w:r>
      <w:r>
        <w:rPr>
          <w:spacing w:val="-11"/>
          <w:position w:val="1"/>
        </w:rPr>
        <w:t> </w:t>
      </w:r>
      <w:r>
        <w:rPr>
          <w:position w:val="1"/>
        </w:rPr>
        <w:t>(CCES,</w:t>
      </w:r>
      <w:r>
        <w:rPr>
          <w:spacing w:val="-9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[20]</w:t>
      </w:r>
      <w:r>
        <w:rPr>
          <w:position w:val="1"/>
        </w:rPr>
        <w:t>).</w:t>
      </w:r>
      <w:r>
        <w:rPr>
          <w:spacing w:val="-11"/>
          <w:position w:val="1"/>
        </w:rPr>
        <w:t> </w:t>
      </w:r>
      <w:r>
        <w:rPr>
          <w:position w:val="1"/>
        </w:rPr>
        <w:t>Stakeholders</w:t>
      </w:r>
      <w:r>
        <w:rPr>
          <w:spacing w:val="-10"/>
          <w:position w:val="1"/>
        </w:rPr>
        <w:t> </w:t>
      </w:r>
      <w:r>
        <w:rPr>
          <w:position w:val="1"/>
        </w:rPr>
        <w:t>report</w:t>
      </w:r>
      <w:r>
        <w:rPr>
          <w:spacing w:val="-11"/>
          <w:position w:val="1"/>
        </w:rPr>
        <w:t> </w:t>
      </w:r>
      <w:r>
        <w:rPr>
          <w:position w:val="1"/>
        </w:rPr>
        <w:t>that</w:t>
      </w:r>
      <w:r>
        <w:rPr>
          <w:spacing w:val="-9"/>
          <w:position w:val="1"/>
        </w:rPr>
        <w:t> </w:t>
      </w:r>
      <w:r>
        <w:rPr>
          <w:position w:val="1"/>
        </w:rPr>
        <w:t>within</w:t>
      </w:r>
      <w:r>
        <w:rPr>
          <w:spacing w:val="-12"/>
          <w:position w:val="1"/>
        </w:rPr>
        <w:t> </w:t>
      </w:r>
      <w:r>
        <w:rPr>
          <w:position w:val="1"/>
        </w:rPr>
        <w:t>some</w:t>
      </w:r>
      <w:r>
        <w:rPr>
          <w:spacing w:val="-12"/>
          <w:position w:val="1"/>
        </w:rPr>
        <w:t> </w:t>
      </w:r>
      <w:r>
        <w:rPr>
          <w:position w:val="1"/>
        </w:rPr>
        <w:t>HEIs,</w:t>
      </w:r>
      <w:r>
        <w:rPr>
          <w:spacing w:val="-12"/>
          <w:position w:val="1"/>
        </w:rPr>
        <w:t> </w:t>
      </w:r>
      <w:r>
        <w:rPr>
          <w:position w:val="1"/>
        </w:rPr>
        <w:t>it</w:t>
      </w:r>
      <w:r>
        <w:rPr>
          <w:spacing w:val="-11"/>
          <w:position w:val="1"/>
        </w:rPr>
        <w:t> </w:t>
      </w:r>
      <w:r>
        <w:rPr>
          <w:position w:val="1"/>
        </w:rPr>
        <w:t>is</w:t>
      </w:r>
      <w:r>
        <w:rPr>
          <w:spacing w:val="-10"/>
          <w:position w:val="1"/>
        </w:rPr>
        <w:t> </w:t>
      </w:r>
      <w:r>
        <w:rPr>
          <w:position w:val="1"/>
        </w:rPr>
        <w:t>not</w:t>
      </w:r>
      <w:r>
        <w:rPr>
          <w:spacing w:val="-11"/>
          <w:position w:val="1"/>
        </w:rPr>
        <w:t> </w:t>
      </w:r>
      <w:r>
        <w:rPr>
          <w:position w:val="1"/>
        </w:rPr>
        <w:t>possible</w:t>
      </w:r>
      <w:r>
        <w:rPr>
          <w:spacing w:val="-12"/>
          <w:position w:val="1"/>
        </w:rPr>
        <w:t> </w:t>
      </w:r>
      <w:r>
        <w:rPr>
          <w:position w:val="1"/>
        </w:rPr>
        <w:t>to</w:t>
      </w:r>
      <w:r>
        <w:rPr>
          <w:spacing w:val="-12"/>
          <w:position w:val="1"/>
        </w:rPr>
        <w:t> </w:t>
      </w:r>
      <w:r>
        <w:rPr>
          <w:position w:val="1"/>
        </w:rPr>
        <w:t>discuss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12"/>
          <w:position w:val="1"/>
        </w:rPr>
        <w:t> </w:t>
      </w:r>
      <w:r>
        <w:rPr>
          <w:position w:val="1"/>
        </w:rPr>
        <w:t>option</w:t>
      </w:r>
      <w:r>
        <w:rPr>
          <w:spacing w:val="1"/>
          <w:position w:val="1"/>
        </w:rPr>
        <w:t> </w:t>
      </w:r>
      <w:r>
        <w:rPr/>
        <w:t>of pursuing</w:t>
      </w:r>
      <w:r>
        <w:rPr>
          <w:spacing w:val="-2"/>
        </w:rPr>
        <w:t> </w:t>
      </w:r>
      <w:r>
        <w:rPr/>
        <w:t>foundation</w:t>
      </w:r>
      <w:r>
        <w:rPr>
          <w:spacing w:val="-2"/>
        </w:rPr>
        <w:t> </w:t>
      </w:r>
      <w:r>
        <w:rPr/>
        <w:t>status due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view.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However, perhaps more important to determining institutions’ choices regarding the pursuit or non-pursuit</w:t>
      </w:r>
      <w:r>
        <w:rPr>
          <w:spacing w:val="-54"/>
        </w:rPr>
        <w:t> </w:t>
      </w:r>
      <w:r>
        <w:rPr/>
        <w:t>of foundation status are what it takes to qualify for the status, and the ultimate utility of foundation status</w:t>
      </w:r>
      <w:r>
        <w:rPr>
          <w:spacing w:val="1"/>
        </w:rPr>
        <w:t> </w:t>
      </w:r>
      <w:r>
        <w:rPr/>
        <w:t>to HEIs. Compared to the initial vision, foundation status is in some ways both harder to attain and offers</w:t>
      </w:r>
      <w:r>
        <w:rPr>
          <w:spacing w:val="1"/>
        </w:rPr>
        <w:t> </w:t>
      </w:r>
      <w:r>
        <w:rPr/>
        <w:t>fewer</w:t>
      </w:r>
      <w:r>
        <w:rPr>
          <w:spacing w:val="-2"/>
        </w:rPr>
        <w:t> </w:t>
      </w:r>
      <w:r>
        <w:rPr/>
        <w:t>benefits than originally</w:t>
      </w:r>
      <w:r>
        <w:rPr>
          <w:spacing w:val="-2"/>
        </w:rPr>
        <w:t> </w:t>
      </w:r>
      <w:r>
        <w:rPr/>
        <w:t>planned.</w:t>
      </w:r>
    </w:p>
    <w:p>
      <w:pPr>
        <w:pStyle w:val="BodyText"/>
        <w:spacing w:line="271" w:lineRule="auto" w:before="120"/>
        <w:ind w:left="183" w:right="300"/>
        <w:jc w:val="both"/>
      </w:pPr>
      <w:r>
        <w:rPr/>
        <w:t>For foundation-status qualification, RJIES formally requires baseline information about how the status</w:t>
      </w:r>
      <w:r>
        <w:rPr>
          <w:spacing w:val="1"/>
        </w:rPr>
        <w:t> </w:t>
      </w:r>
      <w:r>
        <w:rPr/>
        <w:t>would</w:t>
      </w:r>
      <w:r>
        <w:rPr>
          <w:spacing w:val="-10"/>
        </w:rPr>
        <w:t> </w:t>
      </w:r>
      <w:r>
        <w:rPr/>
        <w:t>benefit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HEI’s</w:t>
      </w:r>
      <w:r>
        <w:rPr>
          <w:spacing w:val="-9"/>
        </w:rPr>
        <w:t> </w:t>
      </w:r>
      <w:r>
        <w:rPr/>
        <w:t>operations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mission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process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approval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to transition to the status. The Ministry of Finance has applied a more specific requirement for HEIs: they</w:t>
      </w:r>
      <w:r>
        <w:rPr>
          <w:spacing w:val="1"/>
        </w:rPr>
        <w:t> </w:t>
      </w:r>
      <w:r>
        <w:rPr/>
        <w:t>must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able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demonstrate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least</w:t>
      </w:r>
      <w:r>
        <w:rPr>
          <w:spacing w:val="-8"/>
        </w:rPr>
        <w:t> </w:t>
      </w:r>
      <w:r>
        <w:rPr/>
        <w:t>50%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10"/>
        </w:rPr>
        <w:t> </w:t>
      </w:r>
      <w:r>
        <w:rPr/>
        <w:t>revenues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from</w:t>
      </w:r>
      <w:r>
        <w:rPr>
          <w:spacing w:val="-6"/>
        </w:rPr>
        <w:t> </w:t>
      </w:r>
      <w:r>
        <w:rPr/>
        <w:t>private</w:t>
      </w:r>
      <w:r>
        <w:rPr>
          <w:spacing w:val="-10"/>
        </w:rPr>
        <w:t> </w:t>
      </w:r>
      <w:r>
        <w:rPr/>
        <w:t>sources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qualify</w:t>
      </w:r>
      <w:r>
        <w:rPr>
          <w:spacing w:val="1"/>
        </w:rPr>
        <w:t> </w:t>
      </w:r>
      <w:r>
        <w:rPr/>
        <w:t>for foundation status. This more stringent requirement established following the 2008 financial crisis</w:t>
      </w:r>
      <w:r>
        <w:rPr>
          <w:spacing w:val="1"/>
        </w:rPr>
        <w:t> </w:t>
      </w:r>
      <w:r>
        <w:rPr/>
        <w:t>challenges the ability of some HEIs to meet the qualification threshold, particularly those with fewer links</w:t>
      </w:r>
      <w:r>
        <w:rPr>
          <w:spacing w:val="1"/>
        </w:rPr>
        <w:t> </w:t>
      </w:r>
      <w:r>
        <w:rPr/>
        <w:t>to the private sector, and as a result, lesser capacity to generate investment. Uncertainty regarding what</w:t>
      </w:r>
      <w:r>
        <w:rPr>
          <w:spacing w:val="1"/>
        </w:rPr>
        <w:t> </w:t>
      </w:r>
      <w:r>
        <w:rPr/>
        <w:t>forms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revenue</w:t>
      </w:r>
      <w:r>
        <w:rPr>
          <w:spacing w:val="-12"/>
        </w:rPr>
        <w:t> </w:t>
      </w:r>
      <w:r>
        <w:rPr/>
        <w:t>count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versus</w:t>
      </w:r>
      <w:r>
        <w:rPr>
          <w:spacing w:val="-10"/>
        </w:rPr>
        <w:t> </w:t>
      </w:r>
      <w:r>
        <w:rPr/>
        <w:t>private</w:t>
      </w:r>
      <w:r>
        <w:rPr>
          <w:spacing w:val="-13"/>
        </w:rPr>
        <w:t> </w:t>
      </w:r>
      <w:r>
        <w:rPr/>
        <w:t>sources,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particular,</w:t>
      </w:r>
      <w:r>
        <w:rPr>
          <w:spacing w:val="-9"/>
        </w:rPr>
        <w:t> </w:t>
      </w:r>
      <w:r>
        <w:rPr/>
        <w:t>whether</w:t>
      </w:r>
      <w:r>
        <w:rPr>
          <w:spacing w:val="-12"/>
        </w:rPr>
        <w:t> </w:t>
      </w:r>
      <w:r>
        <w:rPr/>
        <w:t>tuition</w:t>
      </w:r>
      <w:r>
        <w:rPr>
          <w:spacing w:val="-12"/>
        </w:rPr>
        <w:t> </w:t>
      </w:r>
      <w:r>
        <w:rPr/>
        <w:t>fees</w:t>
      </w:r>
      <w:r>
        <w:rPr>
          <w:spacing w:val="-11"/>
        </w:rPr>
        <w:t> </w:t>
      </w:r>
      <w:r>
        <w:rPr/>
        <w:t>count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private</w:t>
      </w:r>
      <w:r>
        <w:rPr>
          <w:spacing w:val="1"/>
        </w:rPr>
        <w:t> </w:t>
      </w:r>
      <w:r>
        <w:rPr/>
        <w:t>sources, has also created confusion in the past regarding whether or not specific HEIs meet the 50%</w:t>
      </w:r>
      <w:r>
        <w:rPr>
          <w:spacing w:val="1"/>
        </w:rPr>
        <w:t> </w:t>
      </w:r>
      <w:r>
        <w:rPr>
          <w:position w:val="1"/>
        </w:rPr>
        <w:t>threshold and could qualify to achieve foundation status (OECD, 2019</w:t>
      </w:r>
      <w:r>
        <w:rPr>
          <w:sz w:val="13"/>
        </w:rPr>
        <w:t>[5]</w:t>
      </w:r>
      <w:r>
        <w:rPr>
          <w:position w:val="1"/>
        </w:rPr>
        <w:t>). As of 2017, some of this</w:t>
      </w:r>
      <w:r>
        <w:rPr>
          <w:spacing w:val="1"/>
          <w:position w:val="1"/>
        </w:rPr>
        <w:t> </w:t>
      </w:r>
      <w:r>
        <w:rPr>
          <w:position w:val="1"/>
        </w:rPr>
        <w:t>confusion</w:t>
      </w:r>
      <w:r>
        <w:rPr>
          <w:spacing w:val="-3"/>
          <w:position w:val="1"/>
        </w:rPr>
        <w:t> </w:t>
      </w:r>
      <w:r>
        <w:rPr>
          <w:position w:val="1"/>
        </w:rPr>
        <w:t>appears</w:t>
      </w:r>
      <w:r>
        <w:rPr>
          <w:spacing w:val="1"/>
          <w:position w:val="1"/>
        </w:rPr>
        <w:t> </w:t>
      </w:r>
      <w:r>
        <w:rPr>
          <w:position w:val="1"/>
        </w:rPr>
        <w:t>to</w:t>
      </w:r>
      <w:r>
        <w:rPr>
          <w:spacing w:val="-1"/>
          <w:position w:val="1"/>
        </w:rPr>
        <w:t> </w:t>
      </w:r>
      <w:r>
        <w:rPr>
          <w:position w:val="1"/>
        </w:rPr>
        <w:t>be</w:t>
      </w:r>
      <w:r>
        <w:rPr>
          <w:spacing w:val="-1"/>
          <w:position w:val="1"/>
        </w:rPr>
        <w:t> </w:t>
      </w:r>
      <w:r>
        <w:rPr>
          <w:position w:val="1"/>
        </w:rPr>
        <w:t>resolved (CCES,</w:t>
      </w:r>
      <w:r>
        <w:rPr>
          <w:spacing w:val="-1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[20]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299"/>
        <w:jc w:val="both"/>
      </w:pPr>
      <w:r>
        <w:rPr/>
        <w:t>Soon after the adoption of RJIES, the global recession beginning in 2008 and the subsequent 2011-14</w:t>
      </w:r>
      <w:r>
        <w:rPr>
          <w:spacing w:val="1"/>
        </w:rPr>
        <w:t> </w:t>
      </w:r>
      <w:r>
        <w:rPr/>
        <w:t>Economic Adjustment Programme for Portugal “led Portuguese authorities to adopt heightened public</w:t>
      </w:r>
      <w:r>
        <w:rPr>
          <w:spacing w:val="1"/>
        </w:rPr>
        <w:t> </w:t>
      </w:r>
      <w:r>
        <w:rPr/>
        <w:t>sector financial controls that sharply reduced the financial and managerial autonomy first envisioned for</w:t>
      </w:r>
      <w:r>
        <w:rPr>
          <w:spacing w:val="1"/>
        </w:rPr>
        <w:t> </w:t>
      </w:r>
      <w:r>
        <w:rPr>
          <w:position w:val="1"/>
        </w:rPr>
        <w:t>foundation universities” (OECD, 2019, p. 151</w:t>
      </w:r>
      <w:r>
        <w:rPr>
          <w:sz w:val="13"/>
        </w:rPr>
        <w:t>[5]</w:t>
      </w:r>
      <w:r>
        <w:rPr>
          <w:position w:val="1"/>
        </w:rPr>
        <w:t>). Direct public operating funding to HEIs declined from</w:t>
      </w:r>
      <w:r>
        <w:rPr>
          <w:spacing w:val="1"/>
          <w:position w:val="1"/>
        </w:rPr>
        <w:t> </w:t>
      </w:r>
      <w:r>
        <w:rPr>
          <w:position w:val="1"/>
        </w:rPr>
        <w:t>EUR</w:t>
      </w:r>
      <w:r>
        <w:rPr>
          <w:spacing w:val="-5"/>
          <w:position w:val="1"/>
        </w:rPr>
        <w:t> </w:t>
      </w:r>
      <w:r>
        <w:rPr>
          <w:position w:val="1"/>
        </w:rPr>
        <w:t>1.07</w:t>
      </w:r>
      <w:r>
        <w:rPr>
          <w:spacing w:val="-2"/>
          <w:position w:val="1"/>
        </w:rPr>
        <w:t> </w:t>
      </w:r>
      <w:r>
        <w:rPr>
          <w:position w:val="1"/>
        </w:rPr>
        <w:t>billion</w:t>
      </w:r>
      <w:r>
        <w:rPr>
          <w:spacing w:val="-9"/>
          <w:position w:val="1"/>
        </w:rPr>
        <w:t> </w:t>
      </w:r>
      <w:r>
        <w:rPr>
          <w:position w:val="1"/>
        </w:rPr>
        <w:t>in</w:t>
      </w:r>
      <w:r>
        <w:rPr>
          <w:spacing w:val="-7"/>
          <w:position w:val="1"/>
        </w:rPr>
        <w:t> </w:t>
      </w:r>
      <w:r>
        <w:rPr>
          <w:position w:val="1"/>
        </w:rPr>
        <w:t>2011</w:t>
      </w:r>
      <w:r>
        <w:rPr>
          <w:spacing w:val="-9"/>
          <w:position w:val="1"/>
        </w:rPr>
        <w:t> </w:t>
      </w:r>
      <w:r>
        <w:rPr>
          <w:position w:val="1"/>
        </w:rPr>
        <w:t>to</w:t>
      </w:r>
      <w:r>
        <w:rPr>
          <w:spacing w:val="-7"/>
          <w:position w:val="1"/>
        </w:rPr>
        <w:t> </w:t>
      </w:r>
      <w:r>
        <w:rPr>
          <w:position w:val="1"/>
        </w:rPr>
        <w:t>EUR</w:t>
      </w:r>
      <w:r>
        <w:rPr>
          <w:spacing w:val="-2"/>
          <w:position w:val="1"/>
        </w:rPr>
        <w:t> </w:t>
      </w:r>
      <w:r>
        <w:rPr>
          <w:position w:val="1"/>
        </w:rPr>
        <w:t>871</w:t>
      </w:r>
      <w:r>
        <w:rPr>
          <w:spacing w:val="-4"/>
          <w:position w:val="1"/>
        </w:rPr>
        <w:t> </w:t>
      </w:r>
      <w:r>
        <w:rPr>
          <w:position w:val="1"/>
        </w:rPr>
        <w:t>million</w:t>
      </w:r>
      <w:r>
        <w:rPr>
          <w:spacing w:val="-7"/>
          <w:position w:val="1"/>
        </w:rPr>
        <w:t> </w:t>
      </w:r>
      <w:r>
        <w:rPr>
          <w:position w:val="1"/>
        </w:rPr>
        <w:t>in</w:t>
      </w:r>
      <w:r>
        <w:rPr>
          <w:spacing w:val="-7"/>
          <w:position w:val="1"/>
        </w:rPr>
        <w:t> </w:t>
      </w:r>
      <w:r>
        <w:rPr>
          <w:position w:val="1"/>
        </w:rPr>
        <w:t>2012</w:t>
      </w:r>
      <w:r>
        <w:rPr>
          <w:spacing w:val="-8"/>
          <w:position w:val="1"/>
        </w:rPr>
        <w:t> </w:t>
      </w:r>
      <w:r>
        <w:rPr>
          <w:position w:val="1"/>
        </w:rPr>
        <w:t>(OECD,</w:t>
      </w:r>
      <w:r>
        <w:rPr>
          <w:spacing w:val="-9"/>
          <w:position w:val="1"/>
        </w:rPr>
        <w:t> </w:t>
      </w:r>
      <w:r>
        <w:rPr>
          <w:position w:val="1"/>
        </w:rPr>
        <w:t>2019</w:t>
      </w:r>
      <w:r>
        <w:rPr>
          <w:sz w:val="13"/>
        </w:rPr>
        <w:t>[5]</w:t>
      </w:r>
      <w:r>
        <w:rPr>
          <w:position w:val="1"/>
        </w:rPr>
        <w:t>).</w:t>
      </w:r>
      <w:r>
        <w:rPr>
          <w:spacing w:val="-9"/>
          <w:position w:val="1"/>
        </w:rPr>
        <w:t> </w:t>
      </w:r>
      <w:r>
        <w:rPr>
          <w:position w:val="1"/>
        </w:rPr>
        <w:t>In</w:t>
      </w:r>
      <w:r>
        <w:rPr>
          <w:spacing w:val="-8"/>
          <w:position w:val="1"/>
        </w:rPr>
        <w:t> </w:t>
      </w:r>
      <w:r>
        <w:rPr>
          <w:position w:val="1"/>
        </w:rPr>
        <w:t>addition</w:t>
      </w:r>
      <w:r>
        <w:rPr>
          <w:spacing w:val="-9"/>
          <w:position w:val="1"/>
        </w:rPr>
        <w:t> </w:t>
      </w:r>
      <w:r>
        <w:rPr>
          <w:position w:val="1"/>
        </w:rPr>
        <w:t>to</w:t>
      </w:r>
      <w:r>
        <w:rPr>
          <w:spacing w:val="-7"/>
          <w:position w:val="1"/>
        </w:rPr>
        <w:t> </w:t>
      </w:r>
      <w:r>
        <w:rPr>
          <w:position w:val="1"/>
        </w:rPr>
        <w:t>funding</w:t>
      </w:r>
      <w:r>
        <w:rPr>
          <w:spacing w:val="-7"/>
          <w:position w:val="1"/>
        </w:rPr>
        <w:t> </w:t>
      </w:r>
      <w:r>
        <w:rPr>
          <w:position w:val="1"/>
        </w:rPr>
        <w:t>decreases</w:t>
      </w:r>
      <w:r>
        <w:rPr>
          <w:spacing w:val="-8"/>
          <w:position w:val="1"/>
        </w:rPr>
        <w:t> </w:t>
      </w:r>
      <w:r>
        <w:rPr>
          <w:position w:val="1"/>
        </w:rPr>
        <w:t>and</w:t>
      </w:r>
      <w:r>
        <w:rPr>
          <w:spacing w:val="1"/>
          <w:position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introduction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multi-year</w:t>
      </w:r>
      <w:r>
        <w:rPr>
          <w:spacing w:val="-10"/>
        </w:rPr>
        <w:t> </w:t>
      </w:r>
      <w:r>
        <w:rPr>
          <w:spacing w:val="-1"/>
        </w:rPr>
        <w:t>salary</w:t>
      </w:r>
      <w:r>
        <w:rPr>
          <w:spacing w:val="-13"/>
        </w:rPr>
        <w:t> </w:t>
      </w:r>
      <w:r>
        <w:rPr>
          <w:spacing w:val="-1"/>
        </w:rPr>
        <w:t>controls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9"/>
        </w:rPr>
        <w:t> </w:t>
      </w:r>
      <w:r>
        <w:rPr>
          <w:spacing w:val="-1"/>
        </w:rPr>
        <w:t>public</w:t>
      </w:r>
      <w:r>
        <w:rPr>
          <w:spacing w:val="-9"/>
        </w:rPr>
        <w:t> </w:t>
      </w:r>
      <w:r>
        <w:rPr>
          <w:spacing w:val="-1"/>
        </w:rPr>
        <w:t>servant</w:t>
      </w:r>
      <w:r>
        <w:rPr>
          <w:spacing w:val="-11"/>
        </w:rPr>
        <w:t> </w:t>
      </w:r>
      <w:r>
        <w:rPr/>
        <w:t>staff</w:t>
      </w:r>
      <w:r>
        <w:rPr>
          <w:spacing w:val="-7"/>
        </w:rPr>
        <w:t> </w:t>
      </w:r>
      <w:r>
        <w:rPr/>
        <w:t>across</w:t>
      </w:r>
      <w:r>
        <w:rPr>
          <w:spacing w:val="-9"/>
        </w:rPr>
        <w:t> </w:t>
      </w:r>
      <w:r>
        <w:rPr/>
        <w:t>all</w:t>
      </w:r>
      <w:r>
        <w:rPr>
          <w:spacing w:val="-11"/>
        </w:rPr>
        <w:t> </w:t>
      </w:r>
      <w:r>
        <w:rPr/>
        <w:t>HEIs</w:t>
      </w:r>
      <w:r>
        <w:rPr>
          <w:spacing w:val="-10"/>
        </w:rPr>
        <w:t> </w:t>
      </w:r>
      <w:r>
        <w:rPr/>
        <w:t>(including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foundation-</w:t>
      </w:r>
      <w:r>
        <w:rPr>
          <w:spacing w:val="1"/>
        </w:rPr>
        <w:t> </w:t>
      </w:r>
      <w:r>
        <w:rPr/>
        <w:t>status institutions), for foundation-status HEIs in particular, exemptions from procurement codes, from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permission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budgetary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(protection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“captivations”), independent authorisations to take on debt, and to buy and sell real estate were all</w:t>
      </w:r>
      <w:r>
        <w:rPr>
          <w:spacing w:val="1"/>
        </w:rPr>
        <w:t> </w:t>
      </w:r>
      <w:r>
        <w:rPr/>
        <w:t>effectively suspended. The financial and managerial autonomy envisioned for foundation-status HEIs, as</w:t>
      </w:r>
      <w:r>
        <w:rPr>
          <w:spacing w:val="1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61">
        <w:r>
          <w:rPr/>
          <w:t>Box A</w:t>
        </w:r>
        <w:r>
          <w:rPr>
            <w:spacing w:val="1"/>
          </w:rPr>
          <w:t> </w:t>
        </w:r>
        <w:r>
          <w:rPr/>
          <w:t>A.1, </w:t>
        </w:r>
      </w:hyperlink>
      <w:r>
        <w:rPr/>
        <w:t>was largely</w:t>
      </w:r>
      <w:r>
        <w:rPr>
          <w:spacing w:val="-4"/>
        </w:rPr>
        <w:t> </w:t>
      </w:r>
      <w:r>
        <w:rPr/>
        <w:t>upended.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0"/>
        <w:jc w:val="both"/>
      </w:pPr>
      <w:r>
        <w:rPr/>
        <w:t>A 2016 commission created by CCES to analyse the implementation of the foundation-status regime</w:t>
      </w:r>
      <w:r>
        <w:rPr>
          <w:spacing w:val="1"/>
        </w:rPr>
        <w:t> </w:t>
      </w:r>
      <w:r>
        <w:rPr>
          <w:position w:val="1"/>
        </w:rPr>
        <w:t>(CCES, 2017</w:t>
      </w:r>
      <w:r>
        <w:rPr>
          <w:sz w:val="13"/>
        </w:rPr>
        <w:t>[20]</w:t>
      </w:r>
      <w:r>
        <w:rPr>
          <w:position w:val="1"/>
        </w:rPr>
        <w:t>) found that the foundation universities had been “integrated again into the state budget</w:t>
      </w:r>
      <w:r>
        <w:rPr>
          <w:spacing w:val="1"/>
          <w:position w:val="1"/>
        </w:rPr>
        <w:t> </w:t>
      </w:r>
      <w:r>
        <w:rPr>
          <w:position w:val="1"/>
        </w:rPr>
        <w:t>perimeter” (OECD, 2019, p. 151</w:t>
      </w:r>
      <w:r>
        <w:rPr>
          <w:sz w:val="13"/>
        </w:rPr>
        <w:t>[5]</w:t>
      </w:r>
      <w:r>
        <w:rPr>
          <w:position w:val="1"/>
        </w:rPr>
        <w:t>). Sector stakeholders interviewed by the OECD team confirmed that</w:t>
      </w:r>
      <w:r>
        <w:rPr>
          <w:spacing w:val="1"/>
          <w:position w:val="1"/>
        </w:rPr>
        <w:t> </w:t>
      </w:r>
      <w:r>
        <w:rPr/>
        <w:t>foundation-status</w:t>
      </w:r>
      <w:r>
        <w:rPr>
          <w:spacing w:val="-9"/>
        </w:rPr>
        <w:t> </w:t>
      </w:r>
      <w:r>
        <w:rPr/>
        <w:t>HEIs</w:t>
      </w:r>
      <w:r>
        <w:rPr>
          <w:spacing w:val="-8"/>
        </w:rPr>
        <w:t> </w:t>
      </w:r>
      <w:r>
        <w:rPr/>
        <w:t>remain</w:t>
      </w:r>
      <w:r>
        <w:rPr>
          <w:spacing w:val="-6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this</w:t>
      </w:r>
      <w:r>
        <w:rPr>
          <w:spacing w:val="-9"/>
        </w:rPr>
        <w:t> </w:t>
      </w:r>
      <w:r>
        <w:rPr/>
        <w:t>state</w:t>
      </w:r>
      <w:r>
        <w:rPr>
          <w:spacing w:val="-7"/>
        </w:rPr>
        <w:t> </w:t>
      </w:r>
      <w:r>
        <w:rPr/>
        <w:t>budget</w:t>
      </w:r>
      <w:r>
        <w:rPr>
          <w:spacing w:val="-6"/>
        </w:rPr>
        <w:t> </w:t>
      </w:r>
      <w:r>
        <w:rPr/>
        <w:t>perimeter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recovered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envisioned.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foundation-status</w:t>
      </w:r>
      <w:r>
        <w:rPr>
          <w:spacing w:val="1"/>
        </w:rPr>
        <w:t> </w:t>
      </w:r>
      <w:r>
        <w:rPr/>
        <w:t>universities in 2009 – University of Porto, University of Aveiro and ISCTE Lisbon – were supposed to</w:t>
      </w:r>
      <w:r>
        <w:rPr>
          <w:spacing w:val="1"/>
        </w:rPr>
        <w:t> </w:t>
      </w:r>
      <w:r>
        <w:rPr>
          <w:spacing w:val="-1"/>
        </w:rPr>
        <w:t>receive</w:t>
      </w:r>
      <w:r>
        <w:rPr>
          <w:spacing w:val="-11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initial</w:t>
      </w:r>
      <w:r>
        <w:rPr>
          <w:spacing w:val="-11"/>
        </w:rPr>
        <w:t> </w:t>
      </w:r>
      <w:r>
        <w:rPr>
          <w:spacing w:val="-1"/>
        </w:rPr>
        <w:t>grant</w:t>
      </w:r>
      <w:r>
        <w:rPr>
          <w:spacing w:val="-10"/>
        </w:rPr>
        <w:t> </w:t>
      </w:r>
      <w:r>
        <w:rPr>
          <w:spacing w:val="-1"/>
        </w:rPr>
        <w:t>committed</w:t>
      </w:r>
      <w:r>
        <w:rPr>
          <w:spacing w:val="-11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support</w:t>
      </w:r>
      <w:r>
        <w:rPr>
          <w:spacing w:val="-9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independent</w:t>
      </w:r>
      <w:r>
        <w:rPr>
          <w:spacing w:val="-10"/>
        </w:rPr>
        <w:t> </w:t>
      </w:r>
      <w:r>
        <w:rPr/>
        <w:t>endowments.</w:t>
      </w:r>
      <w:r>
        <w:rPr>
          <w:spacing w:val="1"/>
        </w:rPr>
        <w:t> </w:t>
      </w:r>
      <w:r>
        <w:rPr/>
        <w:t>Despite the universities meeting their agreed requirements for release of these funds, the committed</w:t>
      </w:r>
      <w:r>
        <w:rPr>
          <w:spacing w:val="1"/>
        </w:rPr>
        <w:t> </w:t>
      </w:r>
      <w:r>
        <w:rPr/>
        <w:t>investments</w:t>
      </w:r>
      <w:r>
        <w:rPr>
          <w:spacing w:val="-9"/>
        </w:rPr>
        <w:t> </w:t>
      </w:r>
      <w:r>
        <w:rPr/>
        <w:t>were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delivered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public</w:t>
      </w:r>
      <w:r>
        <w:rPr>
          <w:spacing w:val="-2"/>
        </w:rPr>
        <w:t> </w:t>
      </w:r>
      <w:r>
        <w:rPr/>
        <w:t>sector</w:t>
      </w:r>
      <w:r>
        <w:rPr>
          <w:spacing w:val="-8"/>
        </w:rPr>
        <w:t> </w:t>
      </w:r>
      <w:r>
        <w:rPr/>
        <w:t>financial</w:t>
      </w:r>
      <w:r>
        <w:rPr>
          <w:spacing w:val="-10"/>
        </w:rPr>
        <w:t> </w:t>
      </w:r>
      <w:r>
        <w:rPr/>
        <w:t>controls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2011-14</w:t>
      </w:r>
      <w:r>
        <w:rPr>
          <w:spacing w:val="-7"/>
        </w:rPr>
        <w:t> </w:t>
      </w:r>
      <w:r>
        <w:rPr/>
        <w:t>period</w:t>
      </w:r>
      <w:r>
        <w:rPr>
          <w:spacing w:val="-6"/>
        </w:rPr>
        <w:t> </w:t>
      </w:r>
      <w:r>
        <w:rPr/>
        <w:t>(CCES,</w:t>
      </w:r>
      <w:r>
        <w:rPr>
          <w:spacing w:val="1"/>
        </w:rPr>
        <w:t> </w:t>
      </w:r>
      <w:r>
        <w:rPr>
          <w:position w:val="1"/>
        </w:rPr>
        <w:t>2017</w:t>
      </w:r>
      <w:r>
        <w:rPr>
          <w:sz w:val="13"/>
        </w:rPr>
        <w:t>[20]</w:t>
      </w:r>
      <w:r>
        <w:rPr>
          <w:position w:val="1"/>
        </w:rPr>
        <w:t>).</w:t>
      </w:r>
      <w:r>
        <w:rPr>
          <w:spacing w:val="-4"/>
          <w:position w:val="1"/>
        </w:rPr>
        <w:t> </w:t>
      </w:r>
      <w:r>
        <w:rPr>
          <w:position w:val="1"/>
        </w:rPr>
        <w:t>Such</w:t>
      </w:r>
      <w:r>
        <w:rPr>
          <w:spacing w:val="-3"/>
          <w:position w:val="1"/>
        </w:rPr>
        <w:t> </w:t>
      </w:r>
      <w:r>
        <w:rPr>
          <w:position w:val="1"/>
        </w:rPr>
        <w:t>support</w:t>
      </w:r>
      <w:r>
        <w:rPr>
          <w:spacing w:val="-3"/>
          <w:position w:val="1"/>
        </w:rPr>
        <w:t> </w:t>
      </w:r>
      <w:r>
        <w:rPr>
          <w:position w:val="1"/>
        </w:rPr>
        <w:t>has not</w:t>
      </w:r>
      <w:r>
        <w:rPr>
          <w:spacing w:val="-3"/>
          <w:position w:val="1"/>
        </w:rPr>
        <w:t> </w:t>
      </w:r>
      <w:r>
        <w:rPr>
          <w:position w:val="1"/>
        </w:rPr>
        <w:t>been</w:t>
      </w:r>
      <w:r>
        <w:rPr>
          <w:spacing w:val="-1"/>
          <w:position w:val="1"/>
        </w:rPr>
        <w:t> </w:t>
      </w:r>
      <w:r>
        <w:rPr>
          <w:position w:val="1"/>
        </w:rPr>
        <w:t>offered</w:t>
      </w:r>
      <w:r>
        <w:rPr>
          <w:spacing w:val="-4"/>
          <w:position w:val="1"/>
        </w:rPr>
        <w:t> </w:t>
      </w:r>
      <w:r>
        <w:rPr>
          <w:position w:val="1"/>
        </w:rPr>
        <w:t>to</w:t>
      </w:r>
      <w:r>
        <w:rPr>
          <w:spacing w:val="-4"/>
          <w:position w:val="1"/>
        </w:rPr>
        <w:t> </w:t>
      </w:r>
      <w:r>
        <w:rPr>
          <w:position w:val="1"/>
        </w:rPr>
        <w:t>other</w:t>
      </w:r>
      <w:r>
        <w:rPr>
          <w:spacing w:val="-2"/>
          <w:position w:val="1"/>
        </w:rPr>
        <w:t> </w:t>
      </w:r>
      <w:r>
        <w:rPr>
          <w:position w:val="1"/>
        </w:rPr>
        <w:t>HEIs</w:t>
      </w:r>
      <w:r>
        <w:rPr>
          <w:spacing w:val="-2"/>
          <w:position w:val="1"/>
        </w:rPr>
        <w:t> </w:t>
      </w:r>
      <w:r>
        <w:rPr>
          <w:position w:val="1"/>
        </w:rPr>
        <w:t>transitioning</w:t>
      </w:r>
      <w:r>
        <w:rPr>
          <w:spacing w:val="-4"/>
          <w:position w:val="1"/>
        </w:rPr>
        <w:t> </w:t>
      </w:r>
      <w:r>
        <w:rPr>
          <w:position w:val="1"/>
        </w:rPr>
        <w:t>to</w:t>
      </w:r>
      <w:r>
        <w:rPr>
          <w:spacing w:val="-3"/>
          <w:position w:val="1"/>
        </w:rPr>
        <w:t> </w:t>
      </w:r>
      <w:r>
        <w:rPr>
          <w:position w:val="1"/>
        </w:rPr>
        <w:t>foundation</w:t>
      </w:r>
      <w:r>
        <w:rPr>
          <w:spacing w:val="-4"/>
          <w:position w:val="1"/>
        </w:rPr>
        <w:t> </w:t>
      </w:r>
      <w:r>
        <w:rPr>
          <w:position w:val="1"/>
        </w:rPr>
        <w:t>since</w:t>
      </w:r>
      <w:r>
        <w:rPr>
          <w:spacing w:val="-1"/>
          <w:position w:val="1"/>
        </w:rPr>
        <w:t> </w:t>
      </w:r>
      <w:r>
        <w:rPr>
          <w:position w:val="1"/>
        </w:rPr>
        <w:t>this</w:t>
      </w:r>
      <w:r>
        <w:rPr>
          <w:spacing w:val="-3"/>
          <w:position w:val="1"/>
        </w:rPr>
        <w:t> </w:t>
      </w:r>
      <w:r>
        <w:rPr>
          <w:position w:val="1"/>
        </w:rPr>
        <w:t>time.</w:t>
      </w:r>
    </w:p>
    <w:p>
      <w:pPr>
        <w:pStyle w:val="BodyText"/>
        <w:spacing w:line="271" w:lineRule="auto" w:before="120"/>
        <w:ind w:left="183" w:right="302"/>
        <w:jc w:val="both"/>
      </w:pPr>
      <w:r>
        <w:rPr/>
        <w:t>One area of managerial autonomy for foundation-status universities that has not been formally restricted</w:t>
      </w:r>
      <w:r>
        <w:rPr>
          <w:spacing w:val="1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hire</w:t>
      </w:r>
      <w:r>
        <w:rPr>
          <w:spacing w:val="-9"/>
        </w:rPr>
        <w:t> </w:t>
      </w:r>
      <w:r>
        <w:rPr/>
        <w:t>staff</w:t>
      </w:r>
      <w:r>
        <w:rPr>
          <w:spacing w:val="-7"/>
        </w:rPr>
        <w:t> </w:t>
      </w:r>
      <w:r>
        <w:rPr/>
        <w:t>under</w:t>
      </w:r>
      <w:r>
        <w:rPr>
          <w:spacing w:val="-8"/>
        </w:rPr>
        <w:t> </w:t>
      </w:r>
      <w:r>
        <w:rPr/>
        <w:t>private</w:t>
      </w:r>
      <w:r>
        <w:rPr>
          <w:spacing w:val="-9"/>
        </w:rPr>
        <w:t> </w:t>
      </w:r>
      <w:r>
        <w:rPr/>
        <w:t>law</w:t>
      </w:r>
      <w:r>
        <w:rPr>
          <w:spacing w:val="-11"/>
        </w:rPr>
        <w:t> </w:t>
      </w:r>
      <w:r>
        <w:rPr/>
        <w:t>outside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civil</w:t>
      </w:r>
      <w:r>
        <w:rPr>
          <w:spacing w:val="-10"/>
        </w:rPr>
        <w:t> </w:t>
      </w:r>
      <w:r>
        <w:rPr/>
        <w:t>service</w:t>
      </w:r>
      <w:r>
        <w:rPr>
          <w:spacing w:val="-9"/>
        </w:rPr>
        <w:t> </w:t>
      </w:r>
      <w:r>
        <w:rPr/>
        <w:t>schema.</w:t>
      </w:r>
      <w:r>
        <w:rPr>
          <w:spacing w:val="-9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confusion</w:t>
      </w:r>
      <w:r>
        <w:rPr>
          <w:spacing w:val="-9"/>
        </w:rPr>
        <w:t> </w:t>
      </w:r>
      <w:r>
        <w:rPr/>
        <w:t>remains</w:t>
      </w:r>
      <w:r>
        <w:rPr>
          <w:spacing w:val="1"/>
        </w:rPr>
        <w:t> </w:t>
      </w:r>
      <w:r>
        <w:rPr/>
        <w:t>regarding “the extent to which staff working under public and private labour law must have parallel</w:t>
      </w:r>
      <w:r>
        <w:rPr>
          <w:spacing w:val="1"/>
        </w:rPr>
        <w:t> </w:t>
      </w:r>
      <w:r>
        <w:rPr>
          <w:position w:val="1"/>
        </w:rPr>
        <w:t>conditions for advancement and compensation” (OECD, 2019, p. 152</w:t>
      </w:r>
      <w:r>
        <w:rPr>
          <w:sz w:val="13"/>
        </w:rPr>
        <w:t>[5]</w:t>
      </w:r>
      <w:r>
        <w:rPr>
          <w:position w:val="1"/>
        </w:rPr>
        <w:t>), given that foundation-status</w:t>
      </w:r>
      <w:r>
        <w:rPr>
          <w:spacing w:val="1"/>
          <w:position w:val="1"/>
        </w:rPr>
        <w:t> </w:t>
      </w:r>
      <w:r>
        <w:rPr/>
        <w:t>universities may employ staff under both private employment law and civil servant status. This confusion,</w:t>
      </w:r>
      <w:r>
        <w:rPr>
          <w:spacing w:val="-53"/>
        </w:rPr>
        <w:t> </w:t>
      </w:r>
      <w:r>
        <w:rPr>
          <w:spacing w:val="-1"/>
        </w:rPr>
        <w:t>among</w:t>
      </w:r>
      <w:r>
        <w:rPr>
          <w:spacing w:val="-11"/>
        </w:rPr>
        <w:t> </w:t>
      </w:r>
      <w:r>
        <w:rPr>
          <w:spacing w:val="-1"/>
        </w:rPr>
        <w:t>other</w:t>
      </w:r>
      <w:r>
        <w:rPr>
          <w:spacing w:val="-10"/>
        </w:rPr>
        <w:t> </w:t>
      </w:r>
      <w:r>
        <w:rPr>
          <w:spacing w:val="-1"/>
        </w:rPr>
        <w:t>factors,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contributed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mixed</w:t>
      </w:r>
      <w:r>
        <w:rPr>
          <w:spacing w:val="-10"/>
        </w:rPr>
        <w:t> </w:t>
      </w:r>
      <w:r>
        <w:rPr/>
        <w:t>uptake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private</w:t>
      </w:r>
      <w:r>
        <w:rPr>
          <w:spacing w:val="-11"/>
        </w:rPr>
        <w:t> </w:t>
      </w:r>
      <w:r>
        <w:rPr/>
        <w:t>law</w:t>
      </w:r>
      <w:r>
        <w:rPr>
          <w:spacing w:val="-10"/>
        </w:rPr>
        <w:t> </w:t>
      </w:r>
      <w:r>
        <w:rPr/>
        <w:t>employment</w:t>
      </w:r>
      <w:r>
        <w:rPr>
          <w:spacing w:val="-9"/>
        </w:rPr>
        <w:t> </w:t>
      </w:r>
      <w:r>
        <w:rPr/>
        <w:t>pathway</w:t>
      </w:r>
      <w:r>
        <w:rPr>
          <w:spacing w:val="-14"/>
        </w:rPr>
        <w:t> </w:t>
      </w:r>
      <w:r>
        <w:rPr/>
        <w:t>for</w:t>
      </w:r>
      <w:r>
        <w:rPr>
          <w:spacing w:val="-10"/>
        </w:rPr>
        <w:t> </w:t>
      </w:r>
      <w:r>
        <w:rPr/>
        <w:t>HEIs</w:t>
      </w:r>
      <w:r>
        <w:rPr>
          <w:spacing w:val="-6"/>
        </w:rPr>
        <w:t> </w:t>
      </w:r>
      <w:r>
        <w:rPr/>
        <w:t>with</w:t>
      </w:r>
      <w:r>
        <w:rPr>
          <w:spacing w:val="1"/>
        </w:rPr>
        <w:t> </w:t>
      </w:r>
      <w:r>
        <w:rPr/>
        <w:t>foundation status. Across the board, private law hiring at foundation universities is far more prevalent for</w:t>
      </w:r>
      <w:r>
        <w:rPr>
          <w:spacing w:val="1"/>
        </w:rPr>
        <w:t> </w:t>
      </w:r>
      <w:r>
        <w:rPr/>
        <w:t>career</w:t>
      </w:r>
      <w:r>
        <w:rPr>
          <w:spacing w:val="-1"/>
        </w:rPr>
        <w:t> </w:t>
      </w:r>
      <w:r>
        <w:rPr/>
        <w:t>researchers than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faculty:</w:t>
      </w:r>
    </w:p>
    <w:p>
      <w:pPr>
        <w:spacing w:before="149"/>
        <w:ind w:left="862" w:right="978" w:firstLine="0"/>
        <w:jc w:val="both"/>
        <w:rPr>
          <w:rFonts w:ascii="Arial" w:hAnsi="Arial"/>
          <w:i/>
          <w:sz w:val="20"/>
        </w:rPr>
      </w:pPr>
      <w:r>
        <w:rPr/>
        <w:pict>
          <v:shape style="position:absolute;margin-left:91.583008pt;margin-top:4.710857pt;width:2.2pt;height:115.25pt;mso-position-horizontal-relative:page;mso-position-vertical-relative:paragraph;z-index:15764480" coordorigin="1832,94" coordsize="44,2305" path="m1875,1301l1832,1301,1832,1532,1832,1760,1832,1760,1832,1990,1832,1990,1832,2399,1875,2399,1875,1990,1875,1990,1875,1760,1875,1760,1875,1532,1875,1301xm1875,613l1832,613,1832,843,1832,1071,1832,1071,1832,1301,1875,1301,1875,1071,1875,1071,1875,843,1875,613xm1875,94l1832,94,1832,382,1832,613,1875,613,1875,382,1875,94xe" filled="true" fillcolor="#9f9f9f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w w:val="80"/>
          <w:sz w:val="20"/>
        </w:rPr>
        <w:t>At the three public universities that were the first to adopt foundation status – Aveiro, Porto, and ISCTE – by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2016, 38% of staff holding appointments as technical staff and 94% of all career researchers (investigadores)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were employed under private law contracts, while about 12% of instructional faculty (docentes) held contracts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under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private employment law. Foundation universities vary in their willingness to</w:t>
      </w:r>
      <w:r>
        <w:rPr>
          <w:rFonts w:ascii="Arial" w:hAnsi="Arial"/>
          <w:i/>
          <w:spacing w:val="33"/>
          <w:sz w:val="20"/>
        </w:rPr>
        <w:t> </w:t>
      </w:r>
      <w:r>
        <w:rPr>
          <w:rFonts w:ascii="Arial" w:hAnsi="Arial"/>
          <w:i/>
          <w:w w:val="80"/>
          <w:sz w:val="20"/>
        </w:rPr>
        <w:t>use private law hiring with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their docentes workforce – in some institutions it is effectively unused. The University of Minho, though awarded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foundation status in 2015, appears to have made fuller use of its legal possibilities with respect to employment.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For example, when its faculty members have obtained external offers that exceed the public sector salary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scale, the Minho administrators have been able to retain faculty by creating teaching and research posts under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private</w:t>
      </w:r>
      <w:r>
        <w:rPr>
          <w:rFonts w:ascii="Arial" w:hAnsi="Arial"/>
          <w:i/>
          <w:spacing w:val="3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employment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law,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and</w:t>
      </w:r>
      <w:r>
        <w:rPr>
          <w:rFonts w:ascii="Arial" w:hAnsi="Arial"/>
          <w:i/>
          <w:spacing w:val="3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thus</w:t>
      </w:r>
      <w:r>
        <w:rPr>
          <w:rFonts w:ascii="Arial" w:hAnsi="Arial"/>
          <w:i/>
          <w:spacing w:val="5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outside</w:t>
      </w:r>
      <w:r>
        <w:rPr>
          <w:rFonts w:ascii="Arial" w:hAnsi="Arial"/>
          <w:i/>
          <w:spacing w:val="4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public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sector</w:t>
      </w:r>
      <w:r>
        <w:rPr>
          <w:rFonts w:ascii="Arial" w:hAnsi="Arial"/>
          <w:i/>
          <w:spacing w:val="3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salary</w:t>
      </w:r>
      <w:r>
        <w:rPr>
          <w:rFonts w:ascii="Arial" w:hAnsi="Arial"/>
          <w:i/>
          <w:spacing w:val="5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limits.</w:t>
      </w:r>
      <w:r>
        <w:rPr>
          <w:rFonts w:ascii="Arial" w:hAnsi="Arial"/>
          <w:i/>
          <w:spacing w:val="7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(OECD,</w:t>
      </w:r>
      <w:r>
        <w:rPr>
          <w:rFonts w:ascii="Arial" w:hAnsi="Arial"/>
          <w:i/>
          <w:spacing w:val="3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2019,</w:t>
      </w:r>
      <w:r>
        <w:rPr>
          <w:rFonts w:ascii="Arial" w:hAnsi="Arial"/>
          <w:i/>
          <w:spacing w:val="3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p.</w:t>
      </w:r>
      <w:r>
        <w:rPr>
          <w:rFonts w:ascii="Arial" w:hAnsi="Arial"/>
          <w:i/>
          <w:spacing w:val="4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151</w:t>
      </w:r>
      <w:r>
        <w:rPr>
          <w:rFonts w:ascii="Arial" w:hAnsi="Arial"/>
          <w:i/>
          <w:w w:val="80"/>
          <w:sz w:val="13"/>
        </w:rPr>
        <w:t>[5]</w:t>
      </w:r>
      <w:r>
        <w:rPr>
          <w:rFonts w:ascii="Arial" w:hAnsi="Arial"/>
          <w:i/>
          <w:w w:val="80"/>
          <w:position w:val="1"/>
          <w:sz w:val="20"/>
        </w:rPr>
        <w:t>).</w:t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11"/>
        <w:jc w:val="both"/>
      </w:pPr>
      <w:r>
        <w:rPr/>
        <w:t>The University of Porto has similarly used foundation status flexibilities to introduce two additional salary</w:t>
      </w:r>
      <w:r>
        <w:rPr>
          <w:spacing w:val="1"/>
        </w:rPr>
        <w:t> </w:t>
      </w:r>
      <w:r>
        <w:rPr/>
        <w:t>levels above what is available to civil service teaching staff, in order to increase its competitiveness in</w:t>
      </w:r>
      <w:r>
        <w:rPr>
          <w:spacing w:val="1"/>
        </w:rPr>
        <w:t> </w:t>
      </w:r>
      <w:r>
        <w:rPr>
          <w:position w:val="1"/>
        </w:rPr>
        <w:t>hiring</w:t>
      </w:r>
      <w:r>
        <w:rPr>
          <w:spacing w:val="-2"/>
          <w:position w:val="1"/>
        </w:rPr>
        <w:t> </w:t>
      </w:r>
      <w:r>
        <w:rPr>
          <w:position w:val="1"/>
        </w:rPr>
        <w:t>(CCES,</w:t>
      </w:r>
      <w:r>
        <w:rPr>
          <w:spacing w:val="1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[20]</w:t>
      </w:r>
      <w:r>
        <w:rPr>
          <w:position w:val="1"/>
        </w:rPr>
        <w:t>) (see</w:t>
      </w:r>
      <w:r>
        <w:rPr>
          <w:spacing w:val="2"/>
          <w:position w:val="1"/>
        </w:rPr>
        <w:t> </w:t>
      </w:r>
      <w:hyperlink w:history="true" w:anchor="_bookmark64">
        <w:r>
          <w:rPr>
            <w:position w:val="1"/>
          </w:rPr>
          <w:t>Box</w:t>
        </w:r>
        <w:r>
          <w:rPr>
            <w:spacing w:val="2"/>
            <w:position w:val="1"/>
          </w:rPr>
          <w:t> </w:t>
        </w:r>
        <w:r>
          <w:rPr>
            <w:position w:val="1"/>
          </w:rPr>
          <w:t>A</w:t>
        </w:r>
        <w:r>
          <w:rPr>
            <w:spacing w:val="-3"/>
            <w:position w:val="1"/>
          </w:rPr>
          <w:t> </w:t>
        </w:r>
        <w:r>
          <w:rPr>
            <w:position w:val="1"/>
          </w:rPr>
          <w:t>A.2</w:t>
        </w:r>
      </w:hyperlink>
      <w:r>
        <w:rPr>
          <w:position w:val="1"/>
        </w:rPr>
        <w:t>).</w:t>
      </w: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64.944pt;margin-top:10.974268pt;width:465.6pt;height:237.65pt;mso-position-horizontal-relative:page;mso-position-vertical-relative:paragraph;z-index:-15693312;mso-wrap-distance-left:0;mso-wrap-distance-right:0" type="#_x0000_t202" filled="true" fillcolor="#eeece1" stroked="true" strokeweight=".48004pt" strokecolor="#4e81bd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1"/>
                    </w:rPr>
                  </w:pPr>
                </w:p>
                <w:p>
                  <w:pPr>
                    <w:spacing w:line="244" w:lineRule="auto" w:before="0"/>
                    <w:ind w:left="136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_bookmark64" w:id="179"/>
                  <w:bookmarkEnd w:id="179"/>
                  <w:r>
                    <w:rPr/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Box</w:t>
                  </w:r>
                  <w:r>
                    <w:rPr>
                      <w:rFonts w:ascii="Arial"/>
                      <w:b/>
                      <w:color w:val="4E81BD"/>
                      <w:spacing w:val="14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A.2.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Collaboration</w:t>
                  </w:r>
                  <w:r>
                    <w:rPr>
                      <w:rFonts w:ascii="Arial"/>
                      <w:b/>
                      <w:color w:val="4E81BD"/>
                      <w:spacing w:val="12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between</w:t>
                  </w:r>
                  <w:r>
                    <w:rPr>
                      <w:rFonts w:ascii="Arial"/>
                      <w:b/>
                      <w:color w:val="4E81BD"/>
                      <w:spacing w:val="14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the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University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color w:val="4E81BD"/>
                      <w:spacing w:val="11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Minho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and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Bosch,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supported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by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foundation</w:t>
                  </w:r>
                  <w:r>
                    <w:rPr>
                      <w:rFonts w:ascii="Arial"/>
                      <w:b/>
                      <w:color w:val="4E81BD"/>
                      <w:spacing w:val="-50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90"/>
                      <w:sz w:val="24"/>
                    </w:rPr>
                    <w:t>status</w:t>
                  </w:r>
                </w:p>
                <w:p>
                  <w:pPr>
                    <w:pStyle w:val="BodyText"/>
                    <w:spacing w:line="271" w:lineRule="auto" w:before="204"/>
                    <w:ind w:left="136" w:right="145"/>
                    <w:jc w:val="both"/>
                  </w:pPr>
                  <w:r>
                    <w:rPr/>
                    <w:t>Founded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1973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named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“new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universities”,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four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campuses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across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region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Minho, the University of Minho is one of the largest in Portugal. It received foundation status in 2015.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ability to hire staff under private law outside of the civil service schema is one of the key benefits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available to foundation-status institutions. For the University of Minho, this has supported private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partnerships with industries that have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had 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wider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impact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economy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 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region.</w:t>
                  </w:r>
                </w:p>
                <w:p>
                  <w:pPr>
                    <w:pStyle w:val="BodyText"/>
                    <w:spacing w:line="271" w:lineRule="auto" w:before="122"/>
                    <w:ind w:left="136" w:right="139"/>
                    <w:jc w:val="both"/>
                  </w:pPr>
                  <w:r>
                    <w:rPr/>
                    <w:t>With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increased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flexibility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hiring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financial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management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foundation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status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provides,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University of Minho has been able to build and expand strategic partnerships with industry through</w:t>
                  </w:r>
                  <w:r>
                    <w:rPr>
                      <w:spacing w:val="-53"/>
                    </w:rPr>
                    <w:t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blend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internal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external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hiring.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One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most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successful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projects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ongoing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partnership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Bosch,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multinational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engineering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technology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company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headquartered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Germany.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partnership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began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2012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HMIExcel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programme.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Focused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 new technologies and components for the automotive sector, this work was carried out at a new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Bosch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unit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Braga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campus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university.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project,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operated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2013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2015,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included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research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(R&amp;D)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investment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19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million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Bosch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and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73"/>
      </w:pPr>
      <w:r>
        <w:rPr/>
        <w:pict>
          <v:shape style="width:465.6pt;height:217.6pt;mso-position-horizontal-relative:char;mso-position-vertical-relative:line" type="#_x0000_t202" filled="true" fillcolor="#eeece1" stroked="true" strokeweight=".48004pt" strokecolor="#4e81bd">
            <w10:anchorlock/>
            <v:textbox inset="0,0,0,0">
              <w:txbxContent>
                <w:p>
                  <w:pPr>
                    <w:pStyle w:val="BodyText"/>
                    <w:spacing w:line="271" w:lineRule="auto" w:before="28"/>
                    <w:ind w:left="136" w:right="145"/>
                    <w:jc w:val="both"/>
                  </w:pPr>
                  <w:r>
                    <w:rPr/>
                    <w:t>resulted in 12 new patents and the publication of 32 scientific journal articles. It also led to a second,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larger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phase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collaboration.</w:t>
                  </w:r>
                </w:p>
                <w:p>
                  <w:pPr>
                    <w:pStyle w:val="BodyText"/>
                    <w:spacing w:line="271" w:lineRule="auto" w:before="121"/>
                    <w:ind w:left="136" w:right="138"/>
                    <w:jc w:val="both"/>
                  </w:pPr>
                  <w:r>
                    <w:rPr/>
                    <w:t>This new project, the Innovative Car MHI programme, represented the largest ever R&amp;D contract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firm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Portuguese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total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investment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54.7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million.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-54"/>
                    </w:rPr>
                    <w:t> </w:t>
                  </w:r>
                  <w:r>
                    <w:rPr/>
                    <w:t>hiring over 400 new staff, including Bosch engineers and over 200 university research fellows. Project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outcomes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included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22 new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patents 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72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scientific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publications.</w:t>
                  </w:r>
                </w:p>
                <w:p>
                  <w:pPr>
                    <w:pStyle w:val="BodyText"/>
                    <w:spacing w:before="120"/>
                    <w:ind w:left="136"/>
                    <w:jc w:val="both"/>
                  </w:pP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partnership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Minho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Bosch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62"/>
                    </w:rPr>
                    <w:t> </w:t>
                  </w:r>
                  <w:r>
                    <w:rPr/>
                    <w:t>now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entered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its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third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phase</w:t>
                  </w:r>
                </w:p>
                <w:p>
                  <w:pPr>
                    <w:pStyle w:val="BodyText"/>
                    <w:spacing w:line="271" w:lineRule="auto" w:before="29"/>
                    <w:ind w:left="136" w:right="141"/>
                    <w:jc w:val="both"/>
                  </w:pPr>
                  <w:r>
                    <w:rPr/>
                    <w:t>– “Crossmapping the Future” – and represents a further EUR 35 million in investment and the hiring of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60 new Bosch employees and 70 university research fellows. The work includes new research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patents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 areas 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automated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cars,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automobile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multimedia 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“Factory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Future”.</w:t>
                  </w:r>
                </w:p>
                <w:p>
                  <w:pPr>
                    <w:spacing w:line="256" w:lineRule="auto" w:before="100"/>
                    <w:ind w:left="136" w:right="0" w:firstLine="0"/>
                    <w:jc w:val="left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Sources:</w:t>
                  </w:r>
                  <w:r>
                    <w:rPr>
                      <w:rFonts w:ascii="Microsoft Sans Seri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Fibrenamics</w:t>
                  </w:r>
                  <w:r>
                    <w:rPr>
                      <w:rFonts w:ascii="Microsoft Sans Seri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(n.d.</w:t>
                  </w:r>
                  <w:r>
                    <w:rPr>
                      <w:rFonts w:ascii="Microsoft Sans Serif"/>
                      <w:w w:val="80"/>
                      <w:sz w:val="12"/>
                    </w:rPr>
                    <w:t>[21]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),</w:t>
                  </w:r>
                  <w:r>
                    <w:rPr>
                      <w:rFonts w:ascii="Microsoft Sans Seri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Bosch Innovative</w:t>
                  </w:r>
                  <w:r>
                    <w:rPr>
                      <w:rFonts w:ascii="Arial"/>
                      <w:i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Car HMI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,</w:t>
                  </w:r>
                  <w:r>
                    <w:rPr>
                      <w:rFonts w:ascii="Microsoft Sans Serif"/>
                      <w:spacing w:val="1"/>
                      <w:w w:val="80"/>
                      <w:position w:val="1"/>
                      <w:sz w:val="18"/>
                    </w:rPr>
                    <w:t> </w:t>
                  </w:r>
                  <w:hyperlink r:id="rId206">
                    <w:r>
                      <w:rPr>
                        <w:rFonts w:ascii="Microsoft Sans Serif"/>
                        <w:color w:val="0000FF"/>
                        <w:w w:val="80"/>
                        <w:position w:val="1"/>
                        <w:sz w:val="18"/>
                        <w:u w:val="single" w:color="0000FF"/>
                      </w:rPr>
                      <w:t>https://www.fibrenamics.com/en/business/partners/bosch-innovative-car-hm</w:t>
                    </w:r>
                    <w:r>
                      <w:rPr>
                        <w:rFonts w:ascii="Microsoft Sans Serif"/>
                        <w:color w:val="0000FF"/>
                        <w:w w:val="80"/>
                        <w:position w:val="1"/>
                        <w:sz w:val="18"/>
                      </w:rPr>
                      <w:t>i</w:t>
                    </w:r>
                  </w:hyperlink>
                  <w:r>
                    <w:rPr>
                      <w:rFonts w:ascii="Microsoft Sans Serif"/>
                      <w:color w:val="0000FF"/>
                      <w:spacing w:val="-36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95"/>
                      <w:position w:val="1"/>
                      <w:sz w:val="18"/>
                    </w:rPr>
                    <w:t>Universidade do Minho (n.d.</w:t>
                  </w:r>
                  <w:r>
                    <w:rPr>
                      <w:rFonts w:ascii="Microsoft Sans Serif"/>
                      <w:w w:val="95"/>
                      <w:sz w:val="12"/>
                    </w:rPr>
                    <w:t>[22]</w:t>
                  </w:r>
                  <w:r>
                    <w:rPr>
                      <w:rFonts w:ascii="Microsoft Sans Serif"/>
                      <w:w w:val="95"/>
                      <w:position w:val="1"/>
                      <w:sz w:val="18"/>
                    </w:rPr>
                    <w:t>), </w:t>
                  </w:r>
                  <w:r>
                    <w:rPr>
                      <w:rFonts w:ascii="Arial"/>
                      <w:i/>
                      <w:w w:val="95"/>
                      <w:position w:val="1"/>
                      <w:sz w:val="18"/>
                    </w:rPr>
                    <w:t>Programme Innovative Car HMI</w:t>
                  </w:r>
                  <w:r>
                    <w:rPr>
                      <w:rFonts w:ascii="Microsoft Sans Serif"/>
                      <w:w w:val="95"/>
                      <w:position w:val="1"/>
                      <w:sz w:val="18"/>
                    </w:rPr>
                    <w:t>,</w:t>
                  </w:r>
                  <w:r>
                    <w:rPr>
                      <w:rFonts w:ascii="Microsoft Sans Serif"/>
                      <w:spacing w:val="1"/>
                      <w:w w:val="95"/>
                      <w:position w:val="1"/>
                      <w:sz w:val="18"/>
                    </w:rPr>
                    <w:t> </w:t>
                  </w:r>
                  <w:hyperlink r:id="rId207">
                    <w:r>
                      <w:rPr>
                        <w:rFonts w:ascii="Microsoft Sans Serif"/>
                        <w:color w:val="0000FF"/>
                        <w:w w:val="95"/>
                        <w:sz w:val="18"/>
                        <w:u w:val="single" w:color="0000FF"/>
                      </w:rPr>
                      <w:t>https://www.eng.uminho.pt/en/researchinnovate/projectsinindustry/Pages/programmeinnovativecarhmi.aspx</w:t>
                    </w:r>
                    <w:r>
                      <w:rPr>
                        <w:rFonts w:ascii="Microsoft Sans Serif"/>
                        <w:w w:val="95"/>
                        <w:sz w:val="18"/>
                      </w:rPr>
                      <w:t>;</w:t>
                    </w:r>
                  </w:hyperlink>
                </w:p>
                <w:p>
                  <w:pPr>
                    <w:spacing w:line="207" w:lineRule="exact" w:before="0"/>
                    <w:ind w:left="136" w:right="0" w:firstLine="0"/>
                    <w:jc w:val="left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Crossmapping</w:t>
                  </w:r>
                  <w:r>
                    <w:rPr>
                      <w:rFonts w:ascii="Microsoft Sans Serif"/>
                      <w:spacing w:val="17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the</w:t>
                  </w:r>
                  <w:r>
                    <w:rPr>
                      <w:rFonts w:ascii="Microsoft Sans Serif"/>
                      <w:spacing w:val="1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future</w:t>
                  </w:r>
                  <w:r>
                    <w:rPr>
                      <w:rFonts w:ascii="Microsoft Sans Serif"/>
                      <w:spacing w:val="1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(n.d.</w:t>
                  </w:r>
                  <w:r>
                    <w:rPr>
                      <w:rFonts w:ascii="Microsoft Sans Serif"/>
                      <w:w w:val="80"/>
                      <w:sz w:val="12"/>
                    </w:rPr>
                    <w:t>[23]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),</w:t>
                  </w:r>
                  <w:r>
                    <w:rPr>
                      <w:rFonts w:ascii="Microsoft Sans Serif"/>
                      <w:spacing w:val="1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Factory</w:t>
                  </w:r>
                  <w:r>
                    <w:rPr>
                      <w:rFonts w:ascii="Arial"/>
                      <w:i/>
                      <w:spacing w:val="1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of</w:t>
                  </w:r>
                  <w:r>
                    <w:rPr>
                      <w:rFonts w:ascii="Arial"/>
                      <w:i/>
                      <w:spacing w:val="18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the</w:t>
                  </w:r>
                  <w:r>
                    <w:rPr>
                      <w:rFonts w:ascii="Arial"/>
                      <w:i/>
                      <w:spacing w:val="19"/>
                      <w:w w:val="80"/>
                      <w:position w:val="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position w:val="1"/>
                      <w:sz w:val="18"/>
                    </w:rPr>
                    <w:t>future</w:t>
                  </w:r>
                  <w:r>
                    <w:rPr>
                      <w:rFonts w:ascii="Microsoft Sans Serif"/>
                      <w:w w:val="80"/>
                      <w:position w:val="1"/>
                      <w:sz w:val="18"/>
                    </w:rPr>
                    <w:t>,</w:t>
                  </w:r>
                  <w:r>
                    <w:rPr>
                      <w:rFonts w:ascii="Microsoft Sans Serif"/>
                      <w:spacing w:val="18"/>
                      <w:w w:val="80"/>
                      <w:position w:val="1"/>
                      <w:sz w:val="18"/>
                    </w:rPr>
                    <w:t> </w:t>
                  </w:r>
                  <w:hyperlink r:id="rId208">
                    <w:r>
                      <w:rPr>
                        <w:rFonts w:ascii="Microsoft Sans Serif"/>
                        <w:color w:val="0000FF"/>
                        <w:w w:val="80"/>
                        <w:position w:val="1"/>
                        <w:sz w:val="18"/>
                        <w:u w:val="single" w:color="0000FF"/>
                      </w:rPr>
                      <w:t>https://innovativecarhmi.com/factory-of-the-future#factory-of-the-future1</w:t>
                    </w:r>
                    <w:r>
                      <w:rPr>
                        <w:rFonts w:ascii="Microsoft Sans Serif"/>
                        <w:w w:val="80"/>
                        <w:position w:val="1"/>
                        <w:sz w:val="18"/>
                      </w:rPr>
                      <w:t>.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/>
      </w:r>
    </w:p>
    <w:p>
      <w:pPr>
        <w:pStyle w:val="BodyText"/>
        <w:spacing w:before="7"/>
        <w:rPr>
          <w:sz w:val="12"/>
        </w:rPr>
      </w:pPr>
    </w:p>
    <w:p>
      <w:pPr>
        <w:pStyle w:val="Heading8"/>
        <w:spacing w:before="93"/>
      </w:pPr>
      <w:r>
        <w:rPr/>
        <w:t>Foundation</w:t>
      </w:r>
      <w:r>
        <w:rPr>
          <w:spacing w:val="-7"/>
        </w:rPr>
        <w:t> </w:t>
      </w:r>
      <w:r>
        <w:rPr/>
        <w:t>status</w:t>
      </w:r>
      <w:r>
        <w:rPr>
          <w:spacing w:val="-7"/>
        </w:rPr>
        <w:t> </w:t>
      </w:r>
      <w:r>
        <w:rPr/>
        <w:t>outcomes</w:t>
      </w:r>
    </w:p>
    <w:p>
      <w:pPr>
        <w:spacing w:line="273" w:lineRule="auto" w:before="151"/>
        <w:ind w:left="183" w:right="305" w:firstLine="0"/>
        <w:jc w:val="both"/>
        <w:rPr>
          <w:sz w:val="20"/>
        </w:rPr>
      </w:pPr>
      <w:r>
        <w:rPr>
          <w:sz w:val="20"/>
        </w:rPr>
        <w:t>As of the 2019 </w:t>
      </w:r>
      <w:r>
        <w:rPr>
          <w:rFonts w:ascii="Arial"/>
          <w:i/>
          <w:sz w:val="20"/>
        </w:rPr>
        <w:t>OECD Review of Higher Education, Research and Innovation in Portugal</w:t>
      </w:r>
      <w:r>
        <w:rPr>
          <w:sz w:val="20"/>
        </w:rPr>
        <w:t>, the OECD</w:t>
      </w:r>
      <w:r>
        <w:rPr>
          <w:spacing w:val="1"/>
          <w:sz w:val="20"/>
        </w:rPr>
        <w:t> </w:t>
      </w:r>
      <w:r>
        <w:rPr>
          <w:sz w:val="20"/>
        </w:rPr>
        <w:t>reached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conclusions</w:t>
      </w:r>
      <w:r>
        <w:rPr>
          <w:spacing w:val="-1"/>
          <w:sz w:val="20"/>
        </w:rPr>
        <w:t> </w:t>
      </w:r>
      <w:r>
        <w:rPr>
          <w:sz w:val="20"/>
        </w:rPr>
        <w:t>regarding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overall</w:t>
      </w:r>
      <w:r>
        <w:rPr>
          <w:spacing w:val="-3"/>
          <w:sz w:val="20"/>
        </w:rPr>
        <w:t> </w:t>
      </w:r>
      <w:r>
        <w:rPr>
          <w:sz w:val="20"/>
        </w:rPr>
        <w:t>effectiveness</w:t>
      </w:r>
      <w:r>
        <w:rPr>
          <w:spacing w:val="-1"/>
          <w:sz w:val="20"/>
        </w:rPr>
        <w:t> </w:t>
      </w:r>
      <w:r>
        <w:rPr>
          <w:sz w:val="20"/>
        </w:rPr>
        <w:t>of RJIES:</w:t>
      </w:r>
    </w:p>
    <w:p>
      <w:pPr>
        <w:spacing w:before="146"/>
        <w:ind w:left="862" w:right="981" w:firstLine="0"/>
        <w:jc w:val="both"/>
        <w:rPr>
          <w:rFonts w:ascii="Arial" w:hAnsi="Arial"/>
          <w:i/>
          <w:sz w:val="20"/>
        </w:rPr>
      </w:pPr>
      <w:r>
        <w:rPr/>
        <w:pict>
          <v:shape style="position:absolute;margin-left:91.583008pt;margin-top:4.440856pt;width:2.2pt;height:69.4pt;mso-position-horizontal-relative:page;mso-position-vertical-relative:paragraph;z-index:15765504" coordorigin="1832,89" coordsize="44,1388" path="m1875,838l1832,838,1832,1068,1832,1476,1875,1476,1875,1068,1875,838xm1875,89l1832,89,1832,379,1832,379,1832,610,1832,838,1875,838,1875,610,1875,379,1875,379,1875,89xe" filled="true" fillcolor="#9f9f9f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w w:val="85"/>
          <w:sz w:val="20"/>
        </w:rPr>
        <w:t>The goals underlying the 2007 legal framework for HEIs, the RJIES, have been only partly realised. One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decade after the law’s adoption, Portuguese HEIs remain – on average – less autonomous, more inwardly-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oriented, and less capable of providing </w:t>
      </w:r>
      <w:r>
        <w:rPr>
          <w:rFonts w:ascii="Arial" w:hAnsi="Arial"/>
          <w:i/>
          <w:w w:val="85"/>
          <w:sz w:val="20"/>
        </w:rPr>
        <w:t>agile and flexible support to innovation than those in leading higher</w:t>
      </w:r>
      <w:r>
        <w:rPr>
          <w:rFonts w:ascii="Arial" w:hAnsi="Arial"/>
          <w:i/>
          <w:spacing w:val="-46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education systems – such as the Netherlands, Finland or Switzerland. Foundation status, expected to transform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institutional</w:t>
      </w:r>
      <w:r>
        <w:rPr>
          <w:rFonts w:ascii="Arial" w:hAnsi="Arial"/>
          <w:i/>
          <w:spacing w:val="1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autonomy,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has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accomplished</w:t>
      </w:r>
      <w:r>
        <w:rPr>
          <w:rFonts w:ascii="Arial" w:hAnsi="Arial"/>
          <w:i/>
          <w:spacing w:val="3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less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than</w:t>
      </w:r>
      <w:r>
        <w:rPr>
          <w:rFonts w:ascii="Arial" w:hAnsi="Arial"/>
          <w:i/>
          <w:spacing w:val="3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expected</w:t>
      </w:r>
      <w:r>
        <w:rPr>
          <w:rFonts w:ascii="Arial" w:hAnsi="Arial"/>
          <w:i/>
          <w:spacing w:val="7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(OECD,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2019,</w:t>
      </w:r>
      <w:r>
        <w:rPr>
          <w:rFonts w:ascii="Arial" w:hAnsi="Arial"/>
          <w:i/>
          <w:spacing w:val="2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p.</w:t>
      </w:r>
      <w:r>
        <w:rPr>
          <w:rFonts w:ascii="Arial" w:hAnsi="Arial"/>
          <w:i/>
          <w:spacing w:val="4"/>
          <w:w w:val="80"/>
          <w:position w:val="1"/>
          <w:sz w:val="20"/>
        </w:rPr>
        <w:t> </w:t>
      </w:r>
      <w:r>
        <w:rPr>
          <w:rFonts w:ascii="Arial" w:hAnsi="Arial"/>
          <w:i/>
          <w:w w:val="80"/>
          <w:position w:val="1"/>
          <w:sz w:val="20"/>
        </w:rPr>
        <w:t>149</w:t>
      </w:r>
      <w:r>
        <w:rPr>
          <w:rFonts w:ascii="Arial" w:hAnsi="Arial"/>
          <w:i/>
          <w:w w:val="80"/>
          <w:sz w:val="13"/>
        </w:rPr>
        <w:t>[5]</w:t>
      </w:r>
      <w:r>
        <w:rPr>
          <w:rFonts w:ascii="Arial" w:hAnsi="Arial"/>
          <w:i/>
          <w:w w:val="80"/>
          <w:position w:val="1"/>
          <w:sz w:val="20"/>
        </w:rPr>
        <w:t>).</w:t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BodyText"/>
        <w:ind w:left="183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review</w:t>
      </w:r>
      <w:r>
        <w:rPr>
          <w:spacing w:val="-10"/>
        </w:rPr>
        <w:t> </w:t>
      </w:r>
      <w:r>
        <w:rPr>
          <w:spacing w:val="-1"/>
        </w:rPr>
        <w:t>further</w:t>
      </w:r>
      <w:r>
        <w:rPr>
          <w:spacing w:val="-9"/>
        </w:rPr>
        <w:t> </w:t>
      </w:r>
      <w:r>
        <w:rPr>
          <w:spacing w:val="-1"/>
        </w:rPr>
        <w:t>recommended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following</w:t>
      </w:r>
      <w:r>
        <w:rPr>
          <w:spacing w:val="-8"/>
        </w:rPr>
        <w:t> </w:t>
      </w:r>
      <w:r>
        <w:rPr>
          <w:spacing w:val="-1"/>
        </w:rPr>
        <w:t>actions</w:t>
      </w:r>
      <w:r>
        <w:rPr>
          <w:spacing w:val="-5"/>
        </w:rPr>
        <w:t> </w:t>
      </w:r>
      <w:r>
        <w:rPr/>
        <w:t>to</w:t>
      </w:r>
      <w:r>
        <w:rPr>
          <w:spacing w:val="-11"/>
        </w:rPr>
        <w:t> </w:t>
      </w:r>
      <w:r>
        <w:rPr/>
        <w:t>strengthen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HEI</w:t>
      </w:r>
      <w:r>
        <w:rPr>
          <w:spacing w:val="-8"/>
        </w:rPr>
        <w:t> </w:t>
      </w:r>
      <w:r>
        <w:rPr/>
        <w:t>autonomy</w:t>
      </w:r>
      <w:r>
        <w:rPr>
          <w:spacing w:val="-13"/>
        </w:rPr>
        <w:t> </w:t>
      </w:r>
      <w:r>
        <w:rPr/>
        <w:t>regime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Portugal: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40" w:lineRule="auto" w:before="131" w:after="0"/>
        <w:ind w:left="862" w:right="0" w:hanging="339"/>
        <w:jc w:val="both"/>
        <w:rPr>
          <w:sz w:val="20"/>
        </w:rPr>
      </w:pPr>
      <w:r>
        <w:rPr>
          <w:sz w:val="20"/>
        </w:rPr>
        <w:t>improving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effectiveness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foundation</w:t>
      </w:r>
      <w:r>
        <w:rPr>
          <w:spacing w:val="-6"/>
          <w:sz w:val="20"/>
        </w:rPr>
        <w:t> </w:t>
      </w:r>
      <w:r>
        <w:rPr>
          <w:sz w:val="20"/>
        </w:rPr>
        <w:t>status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HEIs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5"/>
          <w:sz w:val="20"/>
        </w:rPr>
        <w:t> </w:t>
      </w:r>
      <w:r>
        <w:rPr>
          <w:sz w:val="20"/>
        </w:rPr>
        <w:t>already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71" w:lineRule="auto" w:before="75" w:after="0"/>
        <w:ind w:left="862" w:right="303" w:hanging="339"/>
        <w:jc w:val="both"/>
        <w:rPr>
          <w:sz w:val="20"/>
        </w:rPr>
      </w:pPr>
      <w:r>
        <w:rPr>
          <w:sz w:val="20"/>
        </w:rPr>
        <w:t>approaching financial management for all institutions on a continual basis (multi-year budgeting)</w:t>
      </w:r>
      <w:r>
        <w:rPr>
          <w:spacing w:val="1"/>
          <w:sz w:val="20"/>
        </w:rPr>
        <w:t> </w:t>
      </w:r>
      <w:r>
        <w:rPr>
          <w:sz w:val="20"/>
        </w:rPr>
        <w:t>instead of</w:t>
      </w:r>
      <w:r>
        <w:rPr>
          <w:spacing w:val="1"/>
          <w:sz w:val="20"/>
        </w:rPr>
        <w:t> </w:t>
      </w:r>
      <w:r>
        <w:rPr>
          <w:sz w:val="20"/>
        </w:rPr>
        <w:t>being subject to annual budget decisions</w:t>
      </w:r>
      <w:r>
        <w:rPr>
          <w:spacing w:val="1"/>
          <w:sz w:val="20"/>
        </w:rPr>
        <w:t> </w:t>
      </w:r>
      <w:r>
        <w:rPr>
          <w:sz w:val="20"/>
        </w:rPr>
        <w:t>and the possibility of</w:t>
      </w:r>
      <w:r>
        <w:rPr>
          <w:spacing w:val="1"/>
          <w:sz w:val="20"/>
        </w:rPr>
        <w:t> </w:t>
      </w:r>
      <w:r>
        <w:rPr>
          <w:sz w:val="20"/>
        </w:rPr>
        <w:t>mid-year</w:t>
      </w:r>
      <w:r>
        <w:rPr>
          <w:spacing w:val="1"/>
          <w:sz w:val="20"/>
        </w:rPr>
        <w:t> </w:t>
      </w:r>
      <w:r>
        <w:rPr>
          <w:sz w:val="20"/>
        </w:rPr>
        <w:t>budget</w:t>
      </w:r>
      <w:r>
        <w:rPr>
          <w:spacing w:val="1"/>
          <w:sz w:val="20"/>
        </w:rPr>
        <w:t> </w:t>
      </w:r>
      <w:r>
        <w:rPr>
          <w:sz w:val="20"/>
        </w:rPr>
        <w:t>reductions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balance</w:t>
      </w:r>
      <w:r>
        <w:rPr>
          <w:spacing w:val="1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z w:val="20"/>
        </w:rPr>
        <w:t>accounts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40" w:lineRule="auto" w:before="43" w:after="0"/>
        <w:ind w:left="862" w:right="0" w:hanging="339"/>
        <w:jc w:val="both"/>
        <w:rPr>
          <w:sz w:val="20"/>
        </w:rPr>
      </w:pPr>
      <w:r>
        <w:rPr>
          <w:sz w:val="20"/>
        </w:rPr>
        <w:t>clearly</w:t>
      </w:r>
      <w:r>
        <w:rPr>
          <w:spacing w:val="-9"/>
          <w:sz w:val="20"/>
        </w:rPr>
        <w:t> </w:t>
      </w:r>
      <w:r>
        <w:rPr>
          <w:sz w:val="20"/>
        </w:rPr>
        <w:t>exempting</w:t>
      </w:r>
      <w:r>
        <w:rPr>
          <w:spacing w:val="-5"/>
          <w:sz w:val="20"/>
        </w:rPr>
        <w:t> </w:t>
      </w:r>
      <w:r>
        <w:rPr>
          <w:sz w:val="20"/>
        </w:rPr>
        <w:t>foundation</w:t>
      </w:r>
      <w:r>
        <w:rPr>
          <w:spacing w:val="-6"/>
          <w:sz w:val="20"/>
        </w:rPr>
        <w:t> </w:t>
      </w:r>
      <w:r>
        <w:rPr>
          <w:sz w:val="20"/>
        </w:rPr>
        <w:t>universities</w:t>
      </w:r>
      <w:r>
        <w:rPr>
          <w:spacing w:val="-5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public</w:t>
      </w:r>
      <w:r>
        <w:rPr>
          <w:spacing w:val="-3"/>
          <w:sz w:val="20"/>
        </w:rPr>
        <w:t> </w:t>
      </w:r>
      <w:r>
        <w:rPr>
          <w:sz w:val="20"/>
        </w:rPr>
        <w:t>accounting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contracting</w:t>
      </w:r>
      <w:r>
        <w:rPr>
          <w:spacing w:val="-6"/>
          <w:sz w:val="20"/>
        </w:rPr>
        <w:t> </w:t>
      </w:r>
      <w:r>
        <w:rPr>
          <w:sz w:val="20"/>
        </w:rPr>
        <w:t>codes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40" w:lineRule="auto" w:before="74" w:after="0"/>
        <w:ind w:left="862" w:right="0" w:hanging="339"/>
        <w:jc w:val="both"/>
        <w:rPr>
          <w:sz w:val="20"/>
        </w:rPr>
      </w:pPr>
      <w:r>
        <w:rPr>
          <w:sz w:val="20"/>
        </w:rPr>
        <w:t>devising</w:t>
      </w:r>
      <w:r>
        <w:rPr>
          <w:spacing w:val="-4"/>
          <w:sz w:val="20"/>
        </w:rPr>
        <w:t> </w:t>
      </w:r>
      <w:r>
        <w:rPr>
          <w:sz w:val="20"/>
        </w:rPr>
        <w:t>qualification</w:t>
      </w:r>
      <w:r>
        <w:rPr>
          <w:spacing w:val="-5"/>
          <w:sz w:val="20"/>
        </w:rPr>
        <w:t> </w:t>
      </w:r>
      <w:r>
        <w:rPr>
          <w:sz w:val="20"/>
        </w:rPr>
        <w:t>criteria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extending</w:t>
      </w:r>
      <w:r>
        <w:rPr>
          <w:spacing w:val="-4"/>
          <w:sz w:val="20"/>
        </w:rPr>
        <w:t> </w:t>
      </w:r>
      <w:r>
        <w:rPr>
          <w:sz w:val="20"/>
        </w:rPr>
        <w:t>foundation</w:t>
      </w:r>
      <w:r>
        <w:rPr>
          <w:spacing w:val="-2"/>
          <w:sz w:val="20"/>
        </w:rPr>
        <w:t> </w:t>
      </w:r>
      <w:r>
        <w:rPr>
          <w:sz w:val="20"/>
        </w:rPr>
        <w:t>status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HEIs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mid-term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6" w:lineRule="auto" w:before="77" w:after="0"/>
        <w:ind w:left="862" w:right="309" w:hanging="339"/>
        <w:jc w:val="both"/>
        <w:rPr>
          <w:sz w:val="20"/>
        </w:rPr>
      </w:pPr>
      <w:r>
        <w:rPr>
          <w:sz w:val="20"/>
        </w:rPr>
        <w:t>adopting</w:t>
      </w:r>
      <w:r>
        <w:rPr>
          <w:spacing w:val="-14"/>
          <w:sz w:val="20"/>
        </w:rPr>
        <w:t> </w:t>
      </w:r>
      <w:r>
        <w:rPr>
          <w:sz w:val="20"/>
        </w:rPr>
        <w:t>revised</w:t>
      </w:r>
      <w:r>
        <w:rPr>
          <w:spacing w:val="-13"/>
          <w:sz w:val="20"/>
        </w:rPr>
        <w:t> </w:t>
      </w:r>
      <w:r>
        <w:rPr>
          <w:sz w:val="20"/>
        </w:rPr>
        <w:t>financial</w:t>
      </w:r>
      <w:r>
        <w:rPr>
          <w:spacing w:val="-10"/>
          <w:sz w:val="20"/>
        </w:rPr>
        <w:t> </w:t>
      </w:r>
      <w:r>
        <w:rPr>
          <w:sz w:val="20"/>
        </w:rPr>
        <w:t>management</w:t>
      </w:r>
      <w:r>
        <w:rPr>
          <w:spacing w:val="-12"/>
          <w:sz w:val="20"/>
        </w:rPr>
        <w:t> </w:t>
      </w:r>
      <w:r>
        <w:rPr>
          <w:sz w:val="20"/>
        </w:rPr>
        <w:t>criteria</w:t>
      </w:r>
      <w:r>
        <w:rPr>
          <w:spacing w:val="-13"/>
          <w:sz w:val="20"/>
        </w:rPr>
        <w:t> </w:t>
      </w:r>
      <w:r>
        <w:rPr>
          <w:sz w:val="20"/>
        </w:rPr>
        <w:t>for</w:t>
      </w:r>
      <w:r>
        <w:rPr>
          <w:spacing w:val="-12"/>
          <w:sz w:val="20"/>
        </w:rPr>
        <w:t> </w:t>
      </w:r>
      <w:r>
        <w:rPr>
          <w:sz w:val="20"/>
        </w:rPr>
        <w:t>foundation</w:t>
      </w:r>
      <w:r>
        <w:rPr>
          <w:spacing w:val="-12"/>
          <w:sz w:val="20"/>
        </w:rPr>
        <w:t> </w:t>
      </w:r>
      <w:r>
        <w:rPr>
          <w:sz w:val="20"/>
        </w:rPr>
        <w:t>status</w:t>
      </w:r>
      <w:r>
        <w:rPr>
          <w:spacing w:val="-11"/>
          <w:sz w:val="20"/>
        </w:rPr>
        <w:t> </w:t>
      </w:r>
      <w:r>
        <w:rPr>
          <w:sz w:val="20"/>
        </w:rPr>
        <w:t>based</w:t>
      </w:r>
      <w:r>
        <w:rPr>
          <w:spacing w:val="-11"/>
          <w:sz w:val="20"/>
        </w:rPr>
        <w:t> </w:t>
      </w:r>
      <w:r>
        <w:rPr>
          <w:sz w:val="20"/>
        </w:rPr>
        <w:t>on</w:t>
      </w:r>
      <w:r>
        <w:rPr>
          <w:spacing w:val="-10"/>
          <w:sz w:val="20"/>
        </w:rPr>
        <w:t> </w:t>
      </w:r>
      <w:r>
        <w:rPr>
          <w:sz w:val="20"/>
        </w:rPr>
        <w:t>less</w:t>
      </w:r>
      <w:r>
        <w:rPr>
          <w:spacing w:val="-12"/>
          <w:sz w:val="20"/>
        </w:rPr>
        <w:t> </w:t>
      </w:r>
      <w:r>
        <w:rPr>
          <w:sz w:val="20"/>
        </w:rPr>
        <w:t>restrictive</w:t>
      </w:r>
      <w:r>
        <w:rPr>
          <w:spacing w:val="-10"/>
          <w:sz w:val="20"/>
        </w:rPr>
        <w:t> </w:t>
      </w:r>
      <w:r>
        <w:rPr>
          <w:sz w:val="20"/>
        </w:rPr>
        <w:t>good</w:t>
      </w:r>
      <w:r>
        <w:rPr>
          <w:spacing w:val="-53"/>
          <w:sz w:val="20"/>
        </w:rPr>
        <w:t> </w:t>
      </w:r>
      <w:r>
        <w:rPr>
          <w:position w:val="1"/>
          <w:sz w:val="20"/>
        </w:rPr>
        <w:t>management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practices</w:t>
      </w:r>
      <w:r>
        <w:rPr>
          <w:spacing w:val="2"/>
          <w:position w:val="1"/>
          <w:sz w:val="20"/>
        </w:rPr>
        <w:t> </w:t>
      </w:r>
      <w:r>
        <w:rPr>
          <w:position w:val="1"/>
          <w:sz w:val="20"/>
        </w:rPr>
        <w:t>(OECD,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2019</w:t>
      </w:r>
      <w:r>
        <w:rPr>
          <w:sz w:val="13"/>
        </w:rPr>
        <w:t>[5]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32"/>
        <w:ind w:left="183" w:right="301"/>
        <w:jc w:val="both"/>
      </w:pPr>
      <w:r>
        <w:rPr/>
        <w:t>RJIES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intended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evaluated</w:t>
      </w:r>
      <w:r>
        <w:rPr>
          <w:spacing w:val="-6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spacing w:val="-6"/>
        </w:rPr>
        <w:t> </w:t>
      </w:r>
      <w:r>
        <w:rPr/>
        <w:t>after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enactment,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requirement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Article</w:t>
      </w:r>
      <w:r>
        <w:rPr>
          <w:spacing w:val="2"/>
        </w:rPr>
        <w:t> </w:t>
      </w:r>
      <w:r>
        <w:rPr/>
        <w:t>185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act.</w:t>
      </w:r>
      <w:r>
        <w:rPr>
          <w:spacing w:val="-53"/>
        </w:rPr>
        <w:t> </w:t>
      </w:r>
      <w:r>
        <w:rPr/>
        <w:t>Stakeholders interviewed by the OECD team reported that with this scheduled date (2012) falling at the</w:t>
      </w:r>
      <w:r>
        <w:rPr>
          <w:spacing w:val="1"/>
        </w:rPr>
        <w:t> </w:t>
      </w:r>
      <w:r>
        <w:rPr/>
        <w:t>height of the Economic Adjustment Programme, the planned review did not occur, and has not occurred</w:t>
      </w:r>
      <w:r>
        <w:rPr>
          <w:spacing w:val="1"/>
        </w:rPr>
        <w:t> </w:t>
      </w:r>
      <w:r>
        <w:rPr/>
        <w:t>since. While there are issues related to foundation status as well as regarding the HEI governance</w:t>
      </w:r>
      <w:r>
        <w:rPr>
          <w:spacing w:val="1"/>
        </w:rPr>
        <w:t> </w:t>
      </w:r>
      <w:r>
        <w:rPr/>
        <w:t>framework outlined above that could be productively considered and tuned through an official evaluation,</w:t>
      </w:r>
      <w:r>
        <w:rPr>
          <w:spacing w:val="1"/>
        </w:rPr>
        <w:t> </w:t>
      </w:r>
      <w:r>
        <w:rPr/>
        <w:t>there is a reluctance to proceed. Reforms enabled by RJIES continue to be understood through a highly</w:t>
      </w:r>
      <w:r>
        <w:rPr>
          <w:spacing w:val="1"/>
        </w:rPr>
        <w:t> </w:t>
      </w:r>
      <w:r>
        <w:rPr/>
        <w:t>political lens. According to stakeholders interviewed by the OECD team, an evaluation in the current</w:t>
      </w:r>
      <w:r>
        <w:rPr>
          <w:spacing w:val="1"/>
        </w:rPr>
        <w:t> </w:t>
      </w:r>
      <w:r>
        <w:rPr/>
        <w:t>context would likely result in a debate over reversal of core RJIES reforms rather than tuning and</w:t>
      </w:r>
      <w:r>
        <w:rPr>
          <w:spacing w:val="1"/>
        </w:rPr>
        <w:t> </w:t>
      </w:r>
      <w:r>
        <w:rPr/>
        <w:t>adjustment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build</w:t>
      </w:r>
      <w:r>
        <w:rPr>
          <w:spacing w:val="-7"/>
        </w:rPr>
        <w:t> </w:t>
      </w:r>
      <w:r>
        <w:rPr/>
        <w:t>upon</w:t>
      </w:r>
      <w:r>
        <w:rPr>
          <w:spacing w:val="-9"/>
        </w:rPr>
        <w:t> </w:t>
      </w:r>
      <w:r>
        <w:rPr/>
        <w:t>them.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greater</w:t>
      </w:r>
      <w:r>
        <w:rPr>
          <w:spacing w:val="-6"/>
        </w:rPr>
        <w:t> </w:t>
      </w:r>
      <w:r>
        <w:rPr/>
        <w:t>parliamentary</w:t>
      </w:r>
      <w:r>
        <w:rPr>
          <w:spacing w:val="-11"/>
        </w:rPr>
        <w:t> </w:t>
      </w:r>
      <w:r>
        <w:rPr/>
        <w:t>prominence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perspectives</w:t>
      </w:r>
      <w:r>
        <w:rPr>
          <w:spacing w:val="-8"/>
        </w:rPr>
        <w:t> </w:t>
      </w:r>
      <w:r>
        <w:rPr/>
        <w:t>aligned</w:t>
      </w:r>
      <w:r>
        <w:rPr>
          <w:spacing w:val="-7"/>
        </w:rPr>
        <w:t> </w:t>
      </w:r>
      <w:r>
        <w:rPr/>
        <w:t>to</w:t>
      </w:r>
      <w:r>
        <w:rPr>
          <w:spacing w:val="1"/>
        </w:rPr>
        <w:t> </w:t>
      </w:r>
      <w:r>
        <w:rPr/>
        <w:t>both the initial opposition to RJIES in 2007 and the continued opposition to RJIES and foundation status</w:t>
      </w:r>
      <w:r>
        <w:rPr>
          <w:spacing w:val="1"/>
        </w:rPr>
        <w:t> </w:t>
      </w:r>
      <w:r>
        <w:rPr/>
        <w:t>that, as discussed, is common within some HEIs. It could be concluded that, in the present context,</w:t>
      </w:r>
      <w:r>
        <w:rPr>
          <w:spacing w:val="1"/>
        </w:rPr>
        <w:t> </w:t>
      </w:r>
      <w:r>
        <w:rPr/>
        <w:t>adjustment of approaches to utilising both reformed HEI governance structures and foundation status</w:t>
      </w:r>
      <w:r>
        <w:rPr>
          <w:spacing w:val="1"/>
        </w:rPr>
        <w:t> </w:t>
      </w:r>
      <w:r>
        <w:rPr/>
        <w:t>(within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limitations)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more likely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institutional, rather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system-wide,</w:t>
      </w:r>
      <w:r>
        <w:rPr>
          <w:spacing w:val="-3"/>
        </w:rPr>
        <w:t> </w:t>
      </w:r>
      <w:r>
        <w:rPr/>
        <w:t>level.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Heading2"/>
        <w:spacing w:before="125"/>
      </w:pPr>
      <w:bookmarkStart w:name="_bookmark65" w:id="180"/>
      <w:bookmarkEnd w:id="180"/>
      <w:r>
        <w:rPr>
          <w:b w:val="0"/>
        </w:rPr>
      </w:r>
      <w:r>
        <w:rPr>
          <w:color w:val="4E81BD"/>
        </w:rPr>
        <w:t>Finland:</w:t>
      </w:r>
      <w:r>
        <w:rPr>
          <w:color w:val="4E81BD"/>
          <w:spacing w:val="-3"/>
        </w:rPr>
        <w:t> </w:t>
      </w:r>
      <w:r>
        <w:rPr>
          <w:color w:val="4E81BD"/>
        </w:rPr>
        <w:t>Institutional</w:t>
      </w:r>
      <w:r>
        <w:rPr>
          <w:color w:val="4E81BD"/>
          <w:spacing w:val="-4"/>
        </w:rPr>
        <w:t> </w:t>
      </w:r>
      <w:r>
        <w:rPr>
          <w:color w:val="4E81BD"/>
        </w:rPr>
        <w:t>landscape</w:t>
      </w:r>
      <w:r>
        <w:rPr>
          <w:color w:val="4E81BD"/>
          <w:spacing w:val="-1"/>
        </w:rPr>
        <w:t> </w:t>
      </w:r>
      <w:r>
        <w:rPr>
          <w:color w:val="4E81BD"/>
        </w:rPr>
        <w:t>rationalisation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Heading5"/>
        <w:spacing w:before="1"/>
        <w:jc w:val="left"/>
      </w:pPr>
      <w:r>
        <w:rPr>
          <w:color w:val="616161"/>
        </w:rPr>
        <w:t>Key</w:t>
      </w:r>
      <w:r>
        <w:rPr>
          <w:color w:val="616161"/>
          <w:spacing w:val="-2"/>
        </w:rPr>
        <w:t> </w:t>
      </w:r>
      <w:r>
        <w:rPr>
          <w:color w:val="616161"/>
        </w:rPr>
        <w:t>governance</w:t>
      </w:r>
      <w:r>
        <w:rPr>
          <w:color w:val="616161"/>
          <w:spacing w:val="-2"/>
        </w:rPr>
        <w:t> </w:t>
      </w:r>
      <w:r>
        <w:rPr>
          <w:color w:val="616161"/>
        </w:rPr>
        <w:t>actors</w:t>
      </w:r>
      <w:r>
        <w:rPr>
          <w:color w:val="616161"/>
          <w:spacing w:val="-3"/>
        </w:rPr>
        <w:t> </w:t>
      </w:r>
      <w:r>
        <w:rPr>
          <w:color w:val="616161"/>
        </w:rPr>
        <w:t>in</w:t>
      </w:r>
      <w:r>
        <w:rPr>
          <w:color w:val="616161"/>
          <w:spacing w:val="-4"/>
        </w:rPr>
        <w:t> </w:t>
      </w:r>
      <w:r>
        <w:rPr>
          <w:color w:val="616161"/>
        </w:rPr>
        <w:t>the</w:t>
      </w:r>
      <w:r>
        <w:rPr>
          <w:color w:val="616161"/>
          <w:spacing w:val="-5"/>
        </w:rPr>
        <w:t> </w:t>
      </w:r>
      <w:r>
        <w:rPr>
          <w:color w:val="616161"/>
        </w:rPr>
        <w:t>HE</w:t>
      </w:r>
      <w:r>
        <w:rPr>
          <w:color w:val="616161"/>
          <w:spacing w:val="-1"/>
        </w:rPr>
        <w:t> </w:t>
      </w:r>
      <w:r>
        <w:rPr>
          <w:color w:val="616161"/>
        </w:rPr>
        <w:t>system</w:t>
      </w:r>
    </w:p>
    <w:p>
      <w:pPr>
        <w:pStyle w:val="BodyText"/>
        <w:spacing w:before="9"/>
        <w:rPr>
          <w:rFonts w:ascii="Arial"/>
          <w:b/>
          <w:i/>
          <w:sz w:val="18"/>
        </w:rPr>
      </w:pPr>
    </w:p>
    <w:p>
      <w:pPr>
        <w:pStyle w:val="BodyText"/>
        <w:spacing w:line="271" w:lineRule="auto" w:before="1"/>
        <w:ind w:left="183" w:right="302"/>
        <w:jc w:val="both"/>
      </w:pPr>
      <w:r>
        <w:rPr/>
        <w:t>Finland is a Northern European state that has operated as a presidential, unitary, parliamentary republic</w:t>
      </w:r>
      <w:r>
        <w:rPr>
          <w:spacing w:val="1"/>
        </w:rPr>
        <w:t> </w:t>
      </w:r>
      <w:r>
        <w:rPr>
          <w:position w:val="1"/>
        </w:rPr>
        <w:t>since 1919, following its independence from the Russian Empire in 1918 (Lukacs, 1992</w:t>
      </w:r>
      <w:r>
        <w:rPr>
          <w:sz w:val="13"/>
        </w:rPr>
        <w:t>[24]</w:t>
      </w:r>
      <w:r>
        <w:rPr>
          <w:position w:val="1"/>
        </w:rPr>
        <w:t>). Finland’s</w:t>
      </w:r>
      <w:r>
        <w:rPr>
          <w:spacing w:val="1"/>
          <w:position w:val="1"/>
        </w:rPr>
        <w:t> </w:t>
      </w:r>
      <w:r>
        <w:rPr/>
        <w:t>parliament is a unicameral legislature comprised of 200 members. Parliaments are elected on a four-year</w:t>
      </w:r>
      <w:r>
        <w:rPr>
          <w:spacing w:val="-53"/>
        </w:rPr>
        <w:t> </w:t>
      </w:r>
      <w:r>
        <w:rPr/>
        <w:t>cycle utilising proportional representation. Parliaments with a majority government are uncommon in</w:t>
      </w:r>
      <w:r>
        <w:rPr>
          <w:spacing w:val="1"/>
        </w:rPr>
        <w:t> </w:t>
      </w:r>
      <w:r>
        <w:rPr/>
        <w:t>Finland,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largest</w:t>
      </w:r>
      <w:r>
        <w:rPr>
          <w:spacing w:val="-6"/>
        </w:rPr>
        <w:t> </w:t>
      </w:r>
      <w:r>
        <w:rPr/>
        <w:t>party</w:t>
      </w:r>
      <w:r>
        <w:rPr>
          <w:spacing w:val="-10"/>
        </w:rPr>
        <w:t> </w:t>
      </w:r>
      <w:r>
        <w:rPr/>
        <w:t>capturing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average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48 seats</w:t>
      </w:r>
      <w:r>
        <w:rPr>
          <w:spacing w:val="-3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-6"/>
        </w:rPr>
        <w:t> </w:t>
      </w:r>
      <w:r>
        <w:rPr/>
        <w:t>5</w:t>
      </w:r>
      <w:r>
        <w:rPr>
          <w:spacing w:val="-1"/>
        </w:rPr>
        <w:t> </w:t>
      </w:r>
      <w:r>
        <w:rPr/>
        <w:t>elections</w:t>
      </w:r>
      <w:r>
        <w:rPr>
          <w:spacing w:val="-4"/>
        </w:rPr>
        <w:t> </w:t>
      </w:r>
      <w:r>
        <w:rPr/>
        <w:t>(Official</w:t>
      </w:r>
      <w:r>
        <w:rPr>
          <w:spacing w:val="-8"/>
        </w:rPr>
        <w:t> </w:t>
      </w:r>
      <w:r>
        <w:rPr/>
        <w:t>Statistics</w:t>
      </w:r>
      <w:r>
        <w:rPr>
          <w:spacing w:val="1"/>
        </w:rPr>
        <w:t> </w:t>
      </w:r>
      <w:r>
        <w:rPr>
          <w:position w:val="1"/>
        </w:rPr>
        <w:t>of Finland, 2019</w:t>
      </w:r>
      <w:r>
        <w:rPr>
          <w:sz w:val="13"/>
        </w:rPr>
        <w:t>[25]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>
          <w:position w:val="1"/>
        </w:rPr>
        <w:t>As</w:t>
      </w:r>
      <w:r>
        <w:rPr>
          <w:spacing w:val="-1"/>
          <w:position w:val="1"/>
        </w:rPr>
        <w:t> </w:t>
      </w:r>
      <w:r>
        <w:rPr>
          <w:position w:val="1"/>
        </w:rPr>
        <w:t>a</w:t>
      </w:r>
      <w:r>
        <w:rPr>
          <w:spacing w:val="-2"/>
          <w:position w:val="1"/>
        </w:rPr>
        <w:t> </w:t>
      </w:r>
      <w:r>
        <w:rPr>
          <w:position w:val="1"/>
        </w:rPr>
        <w:t>result,</w:t>
      </w:r>
      <w:r>
        <w:rPr>
          <w:spacing w:val="-2"/>
          <w:position w:val="1"/>
        </w:rPr>
        <w:t> </w:t>
      </w:r>
      <w:r>
        <w:rPr>
          <w:position w:val="1"/>
        </w:rPr>
        <w:t>coalition governments</w:t>
      </w:r>
      <w:r>
        <w:rPr>
          <w:spacing w:val="-1"/>
          <w:position w:val="1"/>
        </w:rPr>
        <w:t> </w:t>
      </w:r>
      <w:r>
        <w:rPr>
          <w:position w:val="1"/>
        </w:rPr>
        <w:t>are</w:t>
      </w:r>
      <w:r>
        <w:rPr>
          <w:spacing w:val="-1"/>
          <w:position w:val="1"/>
        </w:rPr>
        <w:t> </w:t>
      </w:r>
      <w:r>
        <w:rPr>
          <w:position w:val="1"/>
        </w:rPr>
        <w:t>the norm.</w:t>
      </w:r>
    </w:p>
    <w:p>
      <w:pPr>
        <w:pStyle w:val="BodyText"/>
        <w:spacing w:line="271" w:lineRule="auto" w:before="120"/>
        <w:ind w:left="183" w:right="304"/>
        <w:jc w:val="both"/>
      </w:pPr>
      <w:r>
        <w:rPr>
          <w:position w:val="1"/>
        </w:rPr>
        <w:t>The Finnish central government is currently comprised of 12 ministries (Valtioneuvosto, n.d.</w:t>
      </w:r>
      <w:r>
        <w:rPr>
          <w:sz w:val="13"/>
        </w:rPr>
        <w:t>[26]</w:t>
      </w:r>
      <w:r>
        <w:rPr>
          <w:position w:val="1"/>
        </w:rPr>
        <w:t>), including</w:t>
      </w:r>
      <w:r>
        <w:rPr>
          <w:spacing w:val="-53"/>
          <w:position w:val="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Ministry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Education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Culture</w:t>
      </w:r>
      <w:r>
        <w:rPr>
          <w:spacing w:val="-11"/>
        </w:rPr>
        <w:t> </w:t>
      </w:r>
      <w:r>
        <w:rPr>
          <w:spacing w:val="-1"/>
        </w:rPr>
        <w:t>(MEDC),</w:t>
      </w:r>
      <w:r>
        <w:rPr>
          <w:spacing w:val="-7"/>
        </w:rPr>
        <w:t> </w:t>
      </w:r>
      <w:r>
        <w:rPr/>
        <w:t>which</w:t>
      </w:r>
      <w:r>
        <w:rPr>
          <w:spacing w:val="-12"/>
        </w:rPr>
        <w:t> </w:t>
      </w:r>
      <w:r>
        <w:rPr/>
        <w:t>has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current</w:t>
      </w:r>
      <w:r>
        <w:rPr>
          <w:spacing w:val="-6"/>
        </w:rPr>
        <w:t> </w:t>
      </w:r>
      <w:r>
        <w:rPr/>
        <w:t>mandate</w:t>
      </w:r>
      <w:r>
        <w:rPr>
          <w:spacing w:val="-12"/>
        </w:rPr>
        <w:t> </w:t>
      </w:r>
      <w:r>
        <w:rPr/>
        <w:t>covering</w:t>
      </w:r>
      <w:r>
        <w:rPr>
          <w:spacing w:val="-11"/>
        </w:rPr>
        <w:t> </w:t>
      </w:r>
      <w:r>
        <w:rPr/>
        <w:t>HE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wider</w:t>
      </w:r>
      <w:r>
        <w:rPr>
          <w:spacing w:val="1"/>
        </w:rPr>
        <w:t> </w:t>
      </w:r>
      <w:r>
        <w:rPr/>
        <w:t>remit, including “daycare, education, training and research; arts, culture, sports and youth work; the</w:t>
      </w:r>
      <w:r>
        <w:rPr>
          <w:spacing w:val="1"/>
        </w:rPr>
        <w:t> </w:t>
      </w:r>
      <w:r>
        <w:rPr/>
        <w:t>archival, museum and public library systems; the Evangelical Lutheran Church; the Orthodox Church and</w:t>
      </w:r>
      <w:r>
        <w:rPr>
          <w:spacing w:val="-53"/>
        </w:rPr>
        <w:t> </w:t>
      </w:r>
      <w:r>
        <w:rPr>
          <w:position w:val="1"/>
        </w:rPr>
        <w:t>other</w:t>
      </w:r>
      <w:r>
        <w:rPr>
          <w:spacing w:val="-4"/>
          <w:position w:val="1"/>
        </w:rPr>
        <w:t> </w:t>
      </w:r>
      <w:r>
        <w:rPr>
          <w:position w:val="1"/>
        </w:rPr>
        <w:t>religious</w:t>
      </w:r>
      <w:r>
        <w:rPr>
          <w:spacing w:val="-3"/>
          <w:position w:val="1"/>
        </w:rPr>
        <w:t> </w:t>
      </w:r>
      <w:r>
        <w:rPr>
          <w:position w:val="1"/>
        </w:rPr>
        <w:t>communities;</w:t>
      </w:r>
      <w:r>
        <w:rPr>
          <w:spacing w:val="-3"/>
          <w:position w:val="1"/>
        </w:rPr>
        <w:t> </w:t>
      </w:r>
      <w:r>
        <w:rPr>
          <w:position w:val="1"/>
        </w:rPr>
        <w:t>student</w:t>
      </w:r>
      <w:r>
        <w:rPr>
          <w:spacing w:val="-5"/>
          <w:position w:val="1"/>
        </w:rPr>
        <w:t> </w:t>
      </w:r>
      <w:r>
        <w:rPr>
          <w:position w:val="1"/>
        </w:rPr>
        <w:t>financial</w:t>
      </w:r>
      <w:r>
        <w:rPr>
          <w:spacing w:val="-4"/>
          <w:position w:val="1"/>
        </w:rPr>
        <w:t> </w:t>
      </w:r>
      <w:r>
        <w:rPr>
          <w:position w:val="1"/>
        </w:rPr>
        <w:t>aid;</w:t>
      </w:r>
      <w:r>
        <w:rPr>
          <w:spacing w:val="-2"/>
          <w:position w:val="1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copyright”</w:t>
      </w:r>
      <w:r>
        <w:rPr>
          <w:spacing w:val="3"/>
          <w:position w:val="1"/>
        </w:rPr>
        <w:t> </w:t>
      </w:r>
      <w:r>
        <w:rPr>
          <w:position w:val="1"/>
        </w:rPr>
        <w:t>(Government</w:t>
      </w:r>
      <w:r>
        <w:rPr>
          <w:spacing w:val="-3"/>
          <w:position w:val="1"/>
        </w:rPr>
        <w:t> </w:t>
      </w:r>
      <w:r>
        <w:rPr>
          <w:position w:val="1"/>
        </w:rPr>
        <w:t>of</w:t>
      </w:r>
      <w:r>
        <w:rPr>
          <w:spacing w:val="-2"/>
          <w:position w:val="1"/>
        </w:rPr>
        <w:t> </w:t>
      </w:r>
      <w:r>
        <w:rPr>
          <w:position w:val="1"/>
        </w:rPr>
        <w:t>Finland,</w:t>
      </w:r>
      <w:r>
        <w:rPr>
          <w:spacing w:val="-2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[27]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8"/>
        <w:jc w:val="both"/>
      </w:pPr>
      <w:r>
        <w:rPr/>
        <w:t>Alongside central government, Finland has six regional state administrative agencies (RSAAs), which are</w:t>
      </w:r>
      <w:r>
        <w:rPr>
          <w:spacing w:val="-53"/>
        </w:rPr>
        <w:t> </w:t>
      </w:r>
      <w:r>
        <w:rPr/>
        <w:t>responsible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delivering</w:t>
      </w:r>
      <w:r>
        <w:rPr>
          <w:spacing w:val="-7"/>
        </w:rPr>
        <w:t> </w:t>
      </w:r>
      <w:r>
        <w:rPr/>
        <w:t>core</w:t>
      </w:r>
      <w:r>
        <w:rPr>
          <w:spacing w:val="-6"/>
        </w:rPr>
        <w:t> </w:t>
      </w:r>
      <w:r>
        <w:rPr/>
        <w:t>public</w:t>
      </w:r>
      <w:r>
        <w:rPr>
          <w:spacing w:val="-5"/>
        </w:rPr>
        <w:t> </w:t>
      </w:r>
      <w:r>
        <w:rPr/>
        <w:t>services,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primary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education,</w:t>
      </w:r>
      <w:r>
        <w:rPr>
          <w:spacing w:val="-6"/>
        </w:rPr>
        <w:t> </w:t>
      </w:r>
      <w:r>
        <w:rPr/>
        <w:t>administrating</w:t>
      </w:r>
      <w:r>
        <w:rPr>
          <w:spacing w:val="1"/>
        </w:rPr>
        <w:t> </w:t>
      </w:r>
      <w:r>
        <w:rPr/>
        <w:t>legal</w:t>
      </w:r>
      <w:r>
        <w:rPr>
          <w:spacing w:val="-1"/>
        </w:rPr>
        <w:t> </w:t>
      </w:r>
      <w:r>
        <w:rPr/>
        <w:t>processes,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allocating</w:t>
      </w:r>
      <w:r>
        <w:rPr>
          <w:spacing w:val="-2"/>
        </w:rPr>
        <w:t> </w:t>
      </w:r>
      <w:r>
        <w:rPr/>
        <w:t>permits,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overseeing</w:t>
      </w:r>
      <w:r>
        <w:rPr>
          <w:spacing w:val="-2"/>
        </w:rPr>
        <w:t> </w:t>
      </w:r>
      <w:r>
        <w:rPr/>
        <w:t>health and</w:t>
      </w:r>
      <w:r>
        <w:rPr>
          <w:spacing w:val="-2"/>
        </w:rPr>
        <w:t> </w:t>
      </w:r>
      <w:r>
        <w:rPr/>
        <w:t>safety.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The primary actor in the governance of the HE system in Finland is the MEDC, which oversees both the</w:t>
      </w:r>
      <w:r>
        <w:rPr>
          <w:spacing w:val="1"/>
        </w:rPr>
        <w:t> </w:t>
      </w:r>
      <w:r>
        <w:rPr>
          <w:spacing w:val="-1"/>
        </w:rPr>
        <w:t>public</w:t>
      </w:r>
      <w:r>
        <w:rPr>
          <w:spacing w:val="-12"/>
        </w:rPr>
        <w:t> </w:t>
      </w:r>
      <w:r>
        <w:rPr>
          <w:spacing w:val="-1"/>
        </w:rPr>
        <w:t>universities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universities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applied</w:t>
      </w:r>
      <w:r>
        <w:rPr>
          <w:spacing w:val="-13"/>
        </w:rPr>
        <w:t> </w:t>
      </w:r>
      <w:r>
        <w:rPr/>
        <w:t>sciences</w:t>
      </w:r>
      <w:r>
        <w:rPr>
          <w:spacing w:val="-9"/>
        </w:rPr>
        <w:t> </w:t>
      </w:r>
      <w:r>
        <w:rPr/>
        <w:t>(UAS).</w:t>
      </w:r>
      <w:r>
        <w:rPr>
          <w:spacing w:val="-14"/>
        </w:rPr>
        <w:t> </w:t>
      </w:r>
      <w:r>
        <w:rPr/>
        <w:t>These</w:t>
      </w:r>
      <w:r>
        <w:rPr>
          <w:spacing w:val="-11"/>
        </w:rPr>
        <w:t> </w:t>
      </w:r>
      <w:r>
        <w:rPr/>
        <w:t>two</w:t>
      </w:r>
      <w:r>
        <w:rPr>
          <w:spacing w:val="-13"/>
        </w:rPr>
        <w:t> </w:t>
      </w:r>
      <w:r>
        <w:rPr/>
        <w:t>categories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institution</w:t>
      </w:r>
      <w:r>
        <w:rPr>
          <w:spacing w:val="-14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Finland’s</w:t>
      </w:r>
      <w:r>
        <w:rPr>
          <w:spacing w:val="-8"/>
        </w:rPr>
        <w:t> </w:t>
      </w:r>
      <w:r>
        <w:rPr/>
        <w:t>binary</w:t>
      </w:r>
      <w:r>
        <w:rPr>
          <w:spacing w:val="-12"/>
        </w:rPr>
        <w:t> </w:t>
      </w:r>
      <w:r>
        <w:rPr/>
        <w:t>tertiary</w:t>
      </w:r>
      <w:r>
        <w:rPr>
          <w:spacing w:val="-12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system.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HE</w:t>
      </w:r>
      <w:r>
        <w:rPr>
          <w:spacing w:val="-8"/>
        </w:rPr>
        <w:t> </w:t>
      </w:r>
      <w:r>
        <w:rPr/>
        <w:t>system</w:t>
      </w:r>
      <w:r>
        <w:rPr>
          <w:spacing w:val="-6"/>
        </w:rPr>
        <w:t> </w:t>
      </w:r>
      <w:r>
        <w:rPr/>
        <w:t>oversight</w:t>
      </w:r>
      <w:r>
        <w:rPr>
          <w:spacing w:val="-8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MEDC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steered</w:t>
      </w:r>
      <w:r>
        <w:rPr>
          <w:spacing w:val="-9"/>
        </w:rPr>
        <w:t> </w:t>
      </w:r>
      <w:r>
        <w:rPr/>
        <w:t>by</w:t>
      </w:r>
      <w:r>
        <w:rPr>
          <w:spacing w:val="1"/>
        </w:rPr>
        <w:t> </w:t>
      </w:r>
      <w:r>
        <w:rPr/>
        <w:t>a variety of policy plans and documentation that outline overall goals and desired national outcomes from</w:t>
      </w:r>
      <w:r>
        <w:rPr>
          <w:spacing w:val="-53"/>
        </w:rPr>
        <w:t> </w:t>
      </w:r>
      <w:r>
        <w:rPr/>
        <w:t>the sector over forthcoming years. The National Development Plan for Education and Research is an</w:t>
      </w:r>
      <w:r>
        <w:rPr>
          <w:spacing w:val="1"/>
        </w:rPr>
        <w:t> </w:t>
      </w:r>
      <w:r>
        <w:rPr/>
        <w:t>example that was particularly important throughout the reform period (2004-10), with the 2007-12 and</w:t>
      </w:r>
      <w:r>
        <w:rPr>
          <w:spacing w:val="1"/>
        </w:rPr>
        <w:t> </w:t>
      </w:r>
      <w:r>
        <w:rPr/>
        <w:t>2011-16 iterations of this plan in particular being most relevant to the system changes surveyed in this</w:t>
      </w:r>
      <w:r>
        <w:rPr>
          <w:spacing w:val="1"/>
        </w:rPr>
        <w:t> </w:t>
      </w:r>
      <w:r>
        <w:rPr/>
        <w:t>case study. These development plans were the result of extensive forecasting of future labour market</w:t>
      </w:r>
      <w:r>
        <w:rPr>
          <w:spacing w:val="1"/>
        </w:rPr>
        <w:t> </w:t>
      </w:r>
      <w:r>
        <w:rPr/>
        <w:t>needs at national and regional levels, strategising for the future research and development needs of the</w:t>
      </w:r>
      <w:r>
        <w:rPr>
          <w:spacing w:val="1"/>
        </w:rPr>
        <w:t> </w:t>
      </w:r>
      <w:r>
        <w:rPr/>
        <w:t>country, as</w:t>
      </w:r>
      <w:r>
        <w:rPr>
          <w:spacing w:val="2"/>
        </w:rPr>
        <w:t> </w:t>
      </w:r>
      <w:r>
        <w:rPr/>
        <w:t>well as</w:t>
      </w:r>
      <w:r>
        <w:rPr>
          <w:spacing w:val="-1"/>
        </w:rPr>
        <w:t> </w:t>
      </w:r>
      <w:r>
        <w:rPr/>
        <w:t>economic analysis.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There are several smaller actors that have roles and responsibilities within the broader HE sector and</w:t>
      </w:r>
      <w:r>
        <w:rPr>
          <w:spacing w:val="1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“innovation</w:t>
      </w:r>
      <w:r>
        <w:rPr>
          <w:spacing w:val="-10"/>
        </w:rPr>
        <w:t> </w:t>
      </w:r>
      <w:r>
        <w:rPr/>
        <w:t>ecosystem”.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example,</w:t>
      </w:r>
      <w:r>
        <w:rPr>
          <w:spacing w:val="-10"/>
        </w:rPr>
        <w:t> </w:t>
      </w:r>
      <w:r>
        <w:rPr/>
        <w:t>Universities</w:t>
      </w:r>
      <w:r>
        <w:rPr>
          <w:spacing w:val="-10"/>
        </w:rPr>
        <w:t> </w:t>
      </w:r>
      <w:r>
        <w:rPr/>
        <w:t>Finland</w:t>
      </w:r>
      <w:r>
        <w:rPr>
          <w:spacing w:val="-10"/>
        </w:rPr>
        <w:t> </w:t>
      </w:r>
      <w:r>
        <w:rPr/>
        <w:t>(UNIFI)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co-operational</w:t>
      </w:r>
      <w:r>
        <w:rPr>
          <w:spacing w:val="-9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that represents Finland’s university sector and aims to influence policy decisions made by the central and</w:t>
      </w:r>
      <w:r>
        <w:rPr>
          <w:spacing w:val="-53"/>
        </w:rPr>
        <w:t> </w:t>
      </w:r>
      <w:r>
        <w:rPr/>
        <w:t>local governments regarding HE (UNIFI was previously the Finnish Council of University Rectors) (UNIFI,</w:t>
      </w:r>
      <w:r>
        <w:rPr>
          <w:spacing w:val="-53"/>
        </w:rPr>
        <w:t> </w:t>
      </w:r>
      <w:r>
        <w:rPr>
          <w:position w:val="1"/>
        </w:rPr>
        <w:t>n.d.</w:t>
      </w:r>
      <w:r>
        <w:rPr>
          <w:sz w:val="13"/>
        </w:rPr>
        <w:t>[28]</w:t>
      </w:r>
      <w:r>
        <w:rPr>
          <w:position w:val="1"/>
        </w:rPr>
        <w:t>).</w:t>
      </w:r>
      <w:r>
        <w:rPr>
          <w:spacing w:val="-7"/>
          <w:position w:val="1"/>
        </w:rPr>
        <w:t> </w:t>
      </w:r>
      <w:r>
        <w:rPr>
          <w:position w:val="1"/>
        </w:rPr>
        <w:t>The</w:t>
      </w:r>
      <w:r>
        <w:rPr>
          <w:spacing w:val="-8"/>
          <w:position w:val="1"/>
        </w:rPr>
        <w:t> </w:t>
      </w:r>
      <w:r>
        <w:rPr>
          <w:position w:val="1"/>
        </w:rPr>
        <w:t>Academy</w:t>
      </w:r>
      <w:r>
        <w:rPr>
          <w:spacing w:val="-12"/>
          <w:position w:val="1"/>
        </w:rPr>
        <w:t> </w:t>
      </w:r>
      <w:r>
        <w:rPr>
          <w:position w:val="1"/>
        </w:rPr>
        <w:t>of</w:t>
      </w:r>
      <w:r>
        <w:rPr>
          <w:spacing w:val="-7"/>
          <w:position w:val="1"/>
        </w:rPr>
        <w:t> </w:t>
      </w:r>
      <w:r>
        <w:rPr>
          <w:position w:val="1"/>
        </w:rPr>
        <w:t>Finland</w:t>
      </w:r>
      <w:r>
        <w:rPr>
          <w:spacing w:val="-8"/>
          <w:position w:val="1"/>
        </w:rPr>
        <w:t> </w:t>
      </w:r>
      <w:r>
        <w:rPr>
          <w:position w:val="1"/>
        </w:rPr>
        <w:t>oversees</w:t>
      </w:r>
      <w:r>
        <w:rPr>
          <w:spacing w:val="-6"/>
          <w:position w:val="1"/>
        </w:rPr>
        <w:t> </w:t>
      </w:r>
      <w:r>
        <w:rPr>
          <w:position w:val="1"/>
        </w:rPr>
        <w:t>additional</w:t>
      </w:r>
      <w:r>
        <w:rPr>
          <w:spacing w:val="-7"/>
          <w:position w:val="1"/>
        </w:rPr>
        <w:t> </w:t>
      </w:r>
      <w:r>
        <w:rPr>
          <w:position w:val="1"/>
        </w:rPr>
        <w:t>public</w:t>
      </w:r>
      <w:r>
        <w:rPr>
          <w:spacing w:val="-9"/>
          <w:position w:val="1"/>
        </w:rPr>
        <w:t> </w:t>
      </w:r>
      <w:r>
        <w:rPr>
          <w:position w:val="1"/>
        </w:rPr>
        <w:t>funding</w:t>
      </w:r>
      <w:r>
        <w:rPr>
          <w:spacing w:val="-7"/>
          <w:position w:val="1"/>
        </w:rPr>
        <w:t> </w:t>
      </w:r>
      <w:r>
        <w:rPr>
          <w:position w:val="1"/>
        </w:rPr>
        <w:t>of</w:t>
      </w:r>
      <w:r>
        <w:rPr>
          <w:spacing w:val="-8"/>
          <w:position w:val="1"/>
        </w:rPr>
        <w:t> </w:t>
      </w:r>
      <w:r>
        <w:rPr>
          <w:position w:val="1"/>
        </w:rPr>
        <w:t>scientific</w:t>
      </w:r>
      <w:r>
        <w:rPr>
          <w:spacing w:val="-8"/>
          <w:position w:val="1"/>
        </w:rPr>
        <w:t> </w:t>
      </w:r>
      <w:r>
        <w:rPr>
          <w:position w:val="1"/>
        </w:rPr>
        <w:t>research</w:t>
      </w:r>
      <w:r>
        <w:rPr>
          <w:spacing w:val="-10"/>
          <w:position w:val="1"/>
        </w:rPr>
        <w:t> </w:t>
      </w:r>
      <w:r>
        <w:rPr>
          <w:position w:val="1"/>
        </w:rPr>
        <w:t>and</w:t>
      </w:r>
      <w:r>
        <w:rPr>
          <w:spacing w:val="-7"/>
          <w:position w:val="1"/>
        </w:rPr>
        <w:t> </w:t>
      </w:r>
      <w:r>
        <w:rPr>
          <w:position w:val="1"/>
        </w:rPr>
        <w:t>in</w:t>
      </w:r>
      <w:r>
        <w:rPr>
          <w:spacing w:val="-8"/>
          <w:position w:val="1"/>
        </w:rPr>
        <w:t> </w:t>
      </w:r>
      <w:r>
        <w:rPr>
          <w:position w:val="1"/>
        </w:rPr>
        <w:t>2015</w:t>
      </w:r>
      <w:r>
        <w:rPr>
          <w:spacing w:val="-5"/>
          <w:position w:val="1"/>
        </w:rPr>
        <w:t> </w:t>
      </w:r>
      <w:r>
        <w:rPr>
          <w:position w:val="1"/>
        </w:rPr>
        <w:t>was</w:t>
      </w:r>
      <w:r>
        <w:rPr>
          <w:spacing w:val="1"/>
          <w:position w:val="1"/>
        </w:rPr>
        <w:t> </w:t>
      </w:r>
      <w:r>
        <w:rPr/>
        <w:t>given</w:t>
      </w:r>
      <w:r>
        <w:rPr>
          <w:spacing w:val="-10"/>
        </w:rPr>
        <w:t> </w:t>
      </w:r>
      <w:r>
        <w:rPr/>
        <w:t>oversight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EUR</w:t>
      </w:r>
      <w:r>
        <w:rPr>
          <w:spacing w:val="-3"/>
        </w:rPr>
        <w:t> </w:t>
      </w:r>
      <w:r>
        <w:rPr/>
        <w:t>50</w:t>
      </w:r>
      <w:r>
        <w:rPr>
          <w:spacing w:val="-6"/>
        </w:rPr>
        <w:t> </w:t>
      </w:r>
      <w:r>
        <w:rPr/>
        <w:t>million</w:t>
      </w:r>
      <w:r>
        <w:rPr>
          <w:spacing w:val="-12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fund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universities</w:t>
      </w:r>
      <w:r>
        <w:rPr>
          <w:spacing w:val="-10"/>
        </w:rPr>
        <w:t> </w:t>
      </w:r>
      <w:r>
        <w:rPr/>
        <w:t>driving</w:t>
      </w:r>
      <w:r>
        <w:rPr>
          <w:spacing w:val="-13"/>
        </w:rPr>
        <w:t> </w:t>
      </w:r>
      <w:r>
        <w:rPr/>
        <w:t>specialisation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“areas</w:t>
      </w:r>
      <w:r>
        <w:rPr>
          <w:spacing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excellence”</w:t>
      </w:r>
      <w:r>
        <w:rPr>
          <w:spacing w:val="-5"/>
          <w:position w:val="1"/>
        </w:rPr>
        <w:t> </w:t>
      </w:r>
      <w:r>
        <w:rPr>
          <w:position w:val="1"/>
        </w:rPr>
        <w:t>(OECD,</w:t>
      </w:r>
      <w:r>
        <w:rPr>
          <w:spacing w:val="-7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[29]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This</w:t>
      </w:r>
      <w:r>
        <w:rPr>
          <w:spacing w:val="-6"/>
          <w:position w:val="1"/>
        </w:rPr>
        <w:t> </w:t>
      </w:r>
      <w:r>
        <w:rPr>
          <w:position w:val="1"/>
        </w:rPr>
        <w:t>new</w:t>
      </w:r>
      <w:r>
        <w:rPr>
          <w:spacing w:val="-8"/>
          <w:position w:val="1"/>
        </w:rPr>
        <w:t> </w:t>
      </w:r>
      <w:r>
        <w:rPr>
          <w:position w:val="1"/>
        </w:rPr>
        <w:t>approach</w:t>
      </w:r>
      <w:r>
        <w:rPr>
          <w:spacing w:val="-5"/>
          <w:position w:val="1"/>
        </w:rPr>
        <w:t> </w:t>
      </w:r>
      <w:r>
        <w:rPr>
          <w:position w:val="1"/>
        </w:rPr>
        <w:t>was</w:t>
      </w:r>
      <w:r>
        <w:rPr>
          <w:spacing w:val="-5"/>
          <w:position w:val="1"/>
        </w:rPr>
        <w:t> </w:t>
      </w:r>
      <w:r>
        <w:rPr>
          <w:position w:val="1"/>
        </w:rPr>
        <w:t>introduced</w:t>
      </w:r>
      <w:r>
        <w:rPr>
          <w:spacing w:val="-6"/>
          <w:position w:val="1"/>
        </w:rPr>
        <w:t> </w:t>
      </w:r>
      <w:r>
        <w:rPr>
          <w:position w:val="1"/>
        </w:rPr>
        <w:t>in</w:t>
      </w:r>
      <w:r>
        <w:rPr>
          <w:spacing w:val="-7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2011-16</w:t>
      </w:r>
      <w:r>
        <w:rPr>
          <w:spacing w:val="-7"/>
          <w:position w:val="1"/>
        </w:rPr>
        <w:t> </w:t>
      </w:r>
      <w:r>
        <w:rPr>
          <w:position w:val="1"/>
        </w:rPr>
        <w:t>National</w:t>
      </w:r>
      <w:r>
        <w:rPr>
          <w:spacing w:val="-8"/>
          <w:position w:val="1"/>
        </w:rPr>
        <w:t> </w:t>
      </w:r>
      <w:r>
        <w:rPr>
          <w:position w:val="1"/>
        </w:rPr>
        <w:t>Development</w:t>
      </w:r>
      <w:r>
        <w:rPr>
          <w:spacing w:val="1"/>
          <w:position w:val="1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(NDPER)</w:t>
      </w:r>
      <w:r>
        <w:rPr>
          <w:spacing w:val="-1"/>
        </w:rPr>
        <w:t> </w:t>
      </w:r>
      <w:r>
        <w:rPr/>
        <w:t>and is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before="122"/>
        <w:ind w:left="183"/>
        <w:jc w:val="both"/>
      </w:pPr>
      <w:r>
        <w:rPr/>
        <w:t>Changes</w:t>
      </w:r>
      <w:r>
        <w:rPr>
          <w:spacing w:val="31"/>
        </w:rPr>
        <w:t> </w:t>
      </w:r>
      <w:r>
        <w:rPr/>
        <w:t>made</w:t>
      </w:r>
      <w:r>
        <w:rPr>
          <w:spacing w:val="32"/>
        </w:rPr>
        <w:t> </w:t>
      </w:r>
      <w:r>
        <w:rPr/>
        <w:t>within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structure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governance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Finland’s</w:t>
      </w:r>
      <w:r>
        <w:rPr>
          <w:spacing w:val="32"/>
        </w:rPr>
        <w:t> </w:t>
      </w:r>
      <w:r>
        <w:rPr/>
        <w:t>HEI</w:t>
      </w:r>
      <w:r>
        <w:rPr>
          <w:spacing w:val="32"/>
        </w:rPr>
        <w:t> </w:t>
      </w:r>
      <w:r>
        <w:rPr/>
        <w:t>network</w:t>
      </w:r>
      <w:r>
        <w:rPr>
          <w:spacing w:val="31"/>
        </w:rPr>
        <w:t> </w:t>
      </w:r>
      <w:r>
        <w:rPr/>
        <w:t>(and,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particular,</w:t>
      </w:r>
      <w:r>
        <w:rPr>
          <w:spacing w:val="33"/>
        </w:rPr>
        <w:t> </w:t>
      </w:r>
      <w:r>
        <w:rPr/>
        <w:t>the</w:t>
      </w:r>
    </w:p>
    <w:p>
      <w:pPr>
        <w:pStyle w:val="BodyText"/>
        <w:spacing w:before="29"/>
        <w:ind w:left="183"/>
        <w:jc w:val="both"/>
      </w:pPr>
      <w:r>
        <w:rPr/>
        <w:t>mergers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HEIs)</w:t>
      </w:r>
      <w:r>
        <w:rPr>
          <w:spacing w:val="-3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core</w:t>
      </w:r>
      <w:r>
        <w:rPr>
          <w:spacing w:val="-3"/>
        </w:rPr>
        <w:t> </w:t>
      </w:r>
      <w:r>
        <w:rPr/>
        <w:t>area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focus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case</w:t>
      </w:r>
      <w:r>
        <w:rPr>
          <w:spacing w:val="-4"/>
        </w:rPr>
        <w:t> </w:t>
      </w:r>
      <w:r>
        <w:rPr/>
        <w:t>study.</w:t>
      </w:r>
    </w:p>
    <w:p>
      <w:pPr>
        <w:pStyle w:val="Heading8"/>
        <w:spacing w:before="150"/>
        <w:jc w:val="left"/>
      </w:pPr>
      <w:r>
        <w:rPr/>
        <w:t>Funding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higher</w:t>
      </w:r>
      <w:r>
        <w:rPr>
          <w:spacing w:val="-5"/>
        </w:rPr>
        <w:t> </w:t>
      </w:r>
      <w:r>
        <w:rPr/>
        <w:t>education</w:t>
      </w:r>
    </w:p>
    <w:p>
      <w:pPr>
        <w:pStyle w:val="BodyText"/>
        <w:spacing w:line="271" w:lineRule="auto" w:before="152"/>
        <w:ind w:left="183" w:right="303"/>
        <w:jc w:val="both"/>
      </w:pPr>
      <w:r>
        <w:rPr/>
        <w:t>Universities in Finland are funded to a substantial degree by public investment. This funding is agreed in</w:t>
      </w:r>
      <w:r>
        <w:rPr>
          <w:spacing w:val="1"/>
        </w:rPr>
        <w:t> </w:t>
      </w:r>
      <w:r>
        <w:rPr/>
        <w:t>four-year increments, and both the amount of funding, and output-based targets upon which receipt of</w:t>
      </w:r>
      <w:r>
        <w:rPr>
          <w:spacing w:val="1"/>
        </w:rPr>
        <w:t> </w:t>
      </w:r>
      <w:r>
        <w:rPr/>
        <w:t>funding is conditional, are agreed through bilateral negotiations between MEDC and the institutions. This</w:t>
      </w:r>
      <w:r>
        <w:rPr>
          <w:spacing w:val="1"/>
        </w:rPr>
        <w:t> </w:t>
      </w:r>
      <w:r>
        <w:rPr/>
        <w:t>funding structure for HEIs, defined by the NDPER and outlined in </w:t>
      </w:r>
      <w:hyperlink w:history="true" w:anchor="_bookmark66">
        <w:r>
          <w:rPr/>
          <w:t>Table A A.4, </w:t>
        </w:r>
      </w:hyperlink>
      <w:r>
        <w:rPr/>
        <w:t>sets out the proportional</w:t>
      </w:r>
      <w:r>
        <w:rPr>
          <w:spacing w:val="1"/>
        </w:rPr>
        <w:t> </w:t>
      </w:r>
      <w:r>
        <w:rPr/>
        <w:t>provision of funding that institutions receive for each of their aims and outputs. It is important to note that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funding</w:t>
      </w:r>
      <w:r>
        <w:rPr>
          <w:spacing w:val="-6"/>
        </w:rPr>
        <w:t> </w:t>
      </w:r>
      <w:r>
        <w:rPr/>
        <w:t>model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key</w:t>
      </w:r>
      <w:r>
        <w:rPr>
          <w:spacing w:val="-8"/>
        </w:rPr>
        <w:t> </w:t>
      </w:r>
      <w:r>
        <w:rPr/>
        <w:t>instrument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incentives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</w:t>
      </w:r>
      <w:r>
        <w:rPr>
          <w:spacing w:val="-2"/>
        </w:rPr>
        <w:t> </w:t>
      </w:r>
      <w:r>
        <w:rPr/>
        <w:t>institutional</w:t>
      </w:r>
      <w:r>
        <w:rPr>
          <w:spacing w:val="-5"/>
        </w:rPr>
        <w:t> </w:t>
      </w:r>
      <w:r>
        <w:rPr/>
        <w:t>mergers,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areas of high-level policy steering, including for institutional specialisation, adapting to suit these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time.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spacing w:before="94"/>
        <w:ind w:left="183" w:right="0" w:firstLine="0"/>
        <w:jc w:val="left"/>
        <w:rPr>
          <w:rFonts w:ascii="Arial"/>
          <w:b/>
          <w:sz w:val="24"/>
        </w:rPr>
      </w:pPr>
      <w:bookmarkStart w:name="_bookmark66" w:id="181"/>
      <w:bookmarkEnd w:id="181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A.4.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Finnish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higher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education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public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funding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allocation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model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(2020)</w:t>
      </w:r>
    </w:p>
    <w:p>
      <w:pPr>
        <w:pStyle w:val="BodyText"/>
        <w:spacing w:before="9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76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1416"/>
        <w:gridCol w:w="1557"/>
        <w:gridCol w:w="4678"/>
      </w:tblGrid>
      <w:tr>
        <w:trPr>
          <w:trHeight w:val="481" w:hRule="atLeast"/>
        </w:trPr>
        <w:tc>
          <w:tcPr>
            <w:tcW w:w="1562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before="152"/>
              <w:ind w:left="31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Institution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type</w:t>
            </w:r>
          </w:p>
        </w:tc>
        <w:tc>
          <w:tcPr>
            <w:tcW w:w="1416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40" w:lineRule="exact" w:before="0"/>
              <w:ind w:left="492" w:right="408" w:hanging="4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Funding</w:t>
            </w:r>
            <w:r>
              <w:rPr>
                <w:rFonts w:ascii="Microsoft Sans Serif"/>
                <w:spacing w:val="-36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stream</w:t>
            </w:r>
          </w:p>
        </w:tc>
        <w:tc>
          <w:tcPr>
            <w:tcW w:w="1557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220" w:lineRule="atLeast" w:before="21"/>
              <w:ind w:left="408" w:hanging="28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Proportion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of</w:t>
            </w:r>
            <w:r>
              <w:rPr>
                <w:rFonts w:ascii="Microsoft Sans Serif"/>
                <w:spacing w:val="7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overall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funding</w:t>
            </w:r>
            <w:r>
              <w:rPr>
                <w:rFonts w:ascii="Microsoft Sans Serif"/>
                <w:spacing w:val="-5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(%)</w:t>
            </w:r>
          </w:p>
        </w:tc>
        <w:tc>
          <w:tcPr>
            <w:tcW w:w="4678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before="152"/>
              <w:ind w:left="99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Sub-streams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and</w:t>
            </w:r>
            <w:r>
              <w:rPr>
                <w:rFonts w:ascii="Microsoft Sans Serif"/>
                <w:spacing w:val="12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funding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proportions</w:t>
            </w:r>
            <w:r>
              <w:rPr>
                <w:rFonts w:ascii="Microsoft Sans Serif"/>
                <w:spacing w:val="1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(%)</w:t>
            </w:r>
          </w:p>
        </w:tc>
      </w:tr>
      <w:tr>
        <w:trPr>
          <w:trHeight w:val="1448" w:hRule="atLeast"/>
        </w:trPr>
        <w:tc>
          <w:tcPr>
            <w:tcW w:w="1562" w:type="dxa"/>
            <w:vMerge w:val="restart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Universities</w:t>
            </w:r>
          </w:p>
        </w:tc>
        <w:tc>
          <w:tcPr>
            <w:tcW w:w="1416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Education</w:t>
            </w:r>
          </w:p>
        </w:tc>
        <w:tc>
          <w:tcPr>
            <w:tcW w:w="1557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70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39</w:t>
            </w:r>
          </w:p>
        </w:tc>
        <w:tc>
          <w:tcPr>
            <w:tcW w:w="4678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 w:before="13"/>
              <w:ind w:left="116" w:right="87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Arial" w:hAnsi="Arial"/>
                <w:b/>
                <w:spacing w:val="-1"/>
                <w:w w:val="85"/>
                <w:sz w:val="17"/>
              </w:rPr>
              <w:t>Impact/quality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: Master’s degrees </w:t>
            </w:r>
            <w:r>
              <w:rPr>
                <w:rFonts w:ascii="Microsoft Sans Serif" w:hAnsi="Microsoft Sans Serif"/>
                <w:w w:val="85"/>
                <w:sz w:val="17"/>
              </w:rPr>
              <w:t>awarded (13%); bachelor’s degrees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awarded (6%); number of students who have gained at least 55 study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credits (10%); study credits in open university, specialisation studies,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studies based on co-operation and in non-degree programmes (2%);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student</w:t>
            </w:r>
            <w:r>
              <w:rPr>
                <w:rFonts w:ascii="Microsoft Sans Serif" w:hAns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feedback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(3%);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number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employed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graduates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(2%).</w:t>
            </w:r>
          </w:p>
          <w:p>
            <w:pPr>
              <w:pStyle w:val="TableParagraph"/>
              <w:spacing w:line="200" w:lineRule="atLeast" w:before="9"/>
              <w:ind w:left="116" w:right="90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Arial" w:hAnsi="Arial"/>
                <w:b/>
                <w:w w:val="85"/>
                <w:sz w:val="17"/>
              </w:rPr>
              <w:t>Internationalisation</w:t>
            </w:r>
            <w:r>
              <w:rPr>
                <w:rFonts w:ascii="Microsoft Sans Serif" w:hAnsi="Microsoft Sans Serif"/>
                <w:w w:val="85"/>
                <w:sz w:val="17"/>
              </w:rPr>
              <w:t>: Master’s degrees awarded to foreign nationals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(1%);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student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mobility</w:t>
            </w: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to</w:t>
            </w: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-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from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Finland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(2%).</w:t>
            </w:r>
          </w:p>
        </w:tc>
      </w:tr>
      <w:tr>
        <w:trPr>
          <w:trHeight w:val="870" w:hRule="atLeast"/>
        </w:trPr>
        <w:tc>
          <w:tcPr>
            <w:tcW w:w="1562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Research</w:t>
            </w:r>
          </w:p>
        </w:tc>
        <w:tc>
          <w:tcPr>
            <w:tcW w:w="155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8"/>
              <w:ind w:left="70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33</w:t>
            </w:r>
          </w:p>
        </w:tc>
        <w:tc>
          <w:tcPr>
            <w:tcW w:w="467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left="116"/>
              <w:rPr>
                <w:rFonts w:ascii="Microsoft Sans Serif"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Impact/quality</w:t>
            </w:r>
            <w:r>
              <w:rPr>
                <w:rFonts w:ascii="Microsoft Sans Serif"/>
                <w:w w:val="80"/>
                <w:sz w:val="17"/>
              </w:rPr>
              <w:t>: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PhD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degrees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awarded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(9);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scientific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publications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(13%).</w:t>
            </w:r>
          </w:p>
          <w:p>
            <w:pPr>
              <w:pStyle w:val="TableParagraph"/>
              <w:spacing w:before="23"/>
              <w:ind w:left="116"/>
              <w:rPr>
                <w:rFonts w:ascii="Microsoft Sans Serif"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Quality/internationalisation:</w:t>
            </w:r>
            <w:r>
              <w:rPr>
                <w:rFonts w:ascii="Arial"/>
                <w:b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Completed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(9%).</w:t>
            </w:r>
          </w:p>
          <w:p>
            <w:pPr>
              <w:pStyle w:val="TableParagraph"/>
              <w:spacing w:line="200" w:lineRule="atLeast" w:before="18"/>
              <w:ind w:left="116"/>
              <w:rPr>
                <w:rFonts w:ascii="Microsoft Sans Serif"/>
                <w:sz w:val="17"/>
              </w:rPr>
            </w:pPr>
            <w:r>
              <w:rPr>
                <w:rFonts w:ascii="Arial"/>
                <w:b/>
                <w:spacing w:val="-1"/>
                <w:w w:val="85"/>
                <w:sz w:val="17"/>
              </w:rPr>
              <w:t>Internationalisation: </w:t>
            </w:r>
            <w:r>
              <w:rPr>
                <w:rFonts w:ascii="Microsoft Sans Serif"/>
                <w:w w:val="85"/>
                <w:sz w:val="17"/>
              </w:rPr>
              <w:t>International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 research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personnel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(2%).</w:t>
            </w:r>
          </w:p>
        </w:tc>
      </w:tr>
      <w:tr>
        <w:trPr>
          <w:trHeight w:val="431" w:hRule="atLeast"/>
        </w:trPr>
        <w:tc>
          <w:tcPr>
            <w:tcW w:w="1562" w:type="dxa"/>
            <w:vMerge/>
            <w:tcBorders>
              <w:top w:val="nil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tabs>
                <w:tab w:pos="710" w:val="left" w:leader="none"/>
              </w:tabs>
              <w:spacing w:line="200" w:lineRule="atLeast" w:before="8"/>
              <w:ind w:left="117" w:right="8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Other</w:t>
              <w:tab/>
            </w:r>
            <w:r>
              <w:rPr>
                <w:rFonts w:ascii="Microsoft Sans Serif"/>
                <w:spacing w:val="-3"/>
                <w:w w:val="85"/>
                <w:sz w:val="17"/>
              </w:rPr>
              <w:t>education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policy</w:t>
            </w:r>
          </w:p>
        </w:tc>
        <w:tc>
          <w:tcPr>
            <w:tcW w:w="155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70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28</w:t>
            </w:r>
          </w:p>
        </w:tc>
        <w:tc>
          <w:tcPr>
            <w:tcW w:w="467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00" w:lineRule="atLeast" w:before="8"/>
              <w:ind w:left="116"/>
              <w:rPr>
                <w:rFonts w:ascii="Microsoft Sans Serif"/>
                <w:sz w:val="17"/>
              </w:rPr>
            </w:pPr>
            <w:r>
              <w:rPr>
                <w:rFonts w:ascii="Arial"/>
                <w:b/>
                <w:w w:val="85"/>
                <w:sz w:val="17"/>
              </w:rPr>
              <w:t>Impacts/quality/internationalisation</w:t>
            </w:r>
            <w:r>
              <w:rPr>
                <w:rFonts w:ascii="Microsoft Sans Serif"/>
                <w:w w:val="85"/>
                <w:sz w:val="17"/>
              </w:rPr>
              <w:t>:</w:t>
            </w:r>
            <w:r>
              <w:rPr>
                <w:rFonts w:ascii="Microsoft Sans Serif"/>
                <w:spacing w:val="2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National</w:t>
            </w:r>
            <w:r>
              <w:rPr>
                <w:rFonts w:ascii="Microsoft Sans Serif"/>
                <w:spacing w:val="27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duties</w:t>
            </w:r>
            <w:r>
              <w:rPr>
                <w:rFonts w:ascii="Microsoft Sans Serif"/>
                <w:spacing w:val="2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(7%);</w:t>
            </w:r>
            <w:r>
              <w:rPr>
                <w:rFonts w:ascii="Microsoft Sans Serif"/>
                <w:spacing w:val="2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field-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specific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(9%);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strategic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development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(12%).</w:t>
            </w:r>
          </w:p>
        </w:tc>
      </w:tr>
      <w:tr>
        <w:trPr>
          <w:trHeight w:val="1220" w:hRule="atLeast"/>
        </w:trPr>
        <w:tc>
          <w:tcPr>
            <w:tcW w:w="1562" w:type="dxa"/>
            <w:vMerge w:val="restart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52" w:lineRule="auto" w:before="13"/>
              <w:ind w:left="122" w:right="8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Universities of applied</w:t>
            </w:r>
            <w:r>
              <w:rPr>
                <w:rFonts w:ascii="Microsoft Sans Serif"/>
                <w:spacing w:val="-34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science</w:t>
            </w:r>
          </w:p>
        </w:tc>
        <w:tc>
          <w:tcPr>
            <w:tcW w:w="141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11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Education</w:t>
            </w:r>
          </w:p>
        </w:tc>
        <w:tc>
          <w:tcPr>
            <w:tcW w:w="155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ind w:left="70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79</w:t>
            </w:r>
          </w:p>
        </w:tc>
        <w:tc>
          <w:tcPr>
            <w:tcW w:w="467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7" w:lineRule="auto" w:before="10"/>
              <w:ind w:left="116" w:right="90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Arial" w:hAnsi="Arial"/>
                <w:b/>
                <w:spacing w:val="-1"/>
                <w:w w:val="85"/>
                <w:sz w:val="17"/>
              </w:rPr>
              <w:t>Regional impact and links with business, and industry/quality and</w:t>
            </w:r>
            <w:r>
              <w:rPr>
                <w:rFonts w:ascii="Arial" w:hAnsi="Arial"/>
                <w:b/>
                <w:spacing w:val="-39"/>
                <w:w w:val="85"/>
                <w:sz w:val="17"/>
              </w:rPr>
              <w:t> </w:t>
            </w:r>
            <w:r>
              <w:rPr>
                <w:rFonts w:ascii="Arial" w:hAnsi="Arial"/>
                <w:b/>
                <w:w w:val="85"/>
                <w:sz w:val="17"/>
              </w:rPr>
              <w:t>internationalisation</w:t>
            </w:r>
            <w:r>
              <w:rPr>
                <w:rFonts w:ascii="Microsoft Sans Serif" w:hAnsi="Microsoft Sans Serif"/>
                <w:w w:val="85"/>
                <w:sz w:val="17"/>
              </w:rPr>
              <w:t>: Bachelor’s degrees awarded (40%); number of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students who have gained at least 55 study credits (23%); number of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employed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graduates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(4%);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study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credits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in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open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UAS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education</w:t>
            </w:r>
            <w:r>
              <w:rPr>
                <w:rFonts w:ascii="Microsoft Sans Serif" w:hAns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in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non-degree</w:t>
            </w:r>
            <w:r>
              <w:rPr>
                <w:rFonts w:ascii="Microsoft Sans Serif" w:hAns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programmes</w:t>
            </w:r>
            <w:r>
              <w:rPr>
                <w:rFonts w:ascii="Microsoft Sans Serif" w:hAns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(5%);</w:t>
            </w:r>
            <w:r>
              <w:rPr>
                <w:rFonts w:ascii="Microsoft Sans Serif" w:hAns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degrees</w:t>
            </w:r>
            <w:r>
              <w:rPr>
                <w:rFonts w:ascii="Microsoft Sans Serif" w:hAns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in</w:t>
            </w:r>
            <w:r>
              <w:rPr>
                <w:rFonts w:ascii="Microsoft Sans Serif" w:hAns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vocational</w:t>
            </w:r>
            <w:r>
              <w:rPr>
                <w:rFonts w:ascii="Microsoft Sans Serif" w:hAnsi="Microsoft Sans Serif"/>
                <w:spacing w:val="8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teacher</w:t>
            </w:r>
            <w:r>
              <w:rPr>
                <w:rFonts w:ascii="Microsoft Sans Serif" w:hAnsi="Microsoft Sans Serif"/>
                <w:spacing w:val="7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training</w:t>
            </w:r>
          </w:p>
          <w:p>
            <w:pPr>
              <w:pStyle w:val="TableParagraph"/>
              <w:spacing w:line="184" w:lineRule="exact" w:before="9"/>
              <w:ind w:left="116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(2%);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feedback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(3%);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mobility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from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Finland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(2%).</w:t>
            </w:r>
          </w:p>
        </w:tc>
      </w:tr>
      <w:tr>
        <w:trPr>
          <w:trHeight w:val="1016" w:hRule="atLeast"/>
        </w:trPr>
        <w:tc>
          <w:tcPr>
            <w:tcW w:w="1562" w:type="dxa"/>
            <w:vMerge/>
            <w:tcBorders>
              <w:top w:val="nil"/>
              <w:left w:val="nil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tabs>
                <w:tab w:pos="1082" w:val="left" w:leader="none"/>
              </w:tabs>
              <w:spacing w:line="252" w:lineRule="auto" w:before="8"/>
              <w:ind w:left="117" w:right="83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Research</w:t>
              <w:tab/>
            </w:r>
            <w:r>
              <w:rPr>
                <w:rFonts w:ascii="Microsoft Sans Serif"/>
                <w:spacing w:val="-4"/>
                <w:w w:val="85"/>
                <w:sz w:val="17"/>
              </w:rPr>
              <w:t>and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development</w:t>
            </w:r>
          </w:p>
        </w:tc>
        <w:tc>
          <w:tcPr>
            <w:tcW w:w="155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10"/>
              <w:ind w:left="70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15</w:t>
            </w:r>
          </w:p>
        </w:tc>
        <w:tc>
          <w:tcPr>
            <w:tcW w:w="4678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7" w:lineRule="auto" w:before="5"/>
              <w:ind w:left="116" w:right="88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Arial" w:hAnsi="Arial"/>
                <w:b/>
                <w:spacing w:val="-1"/>
                <w:w w:val="85"/>
                <w:sz w:val="17"/>
              </w:rPr>
              <w:t>Regional impact and links with business, and industry/quality and</w:t>
            </w:r>
            <w:r>
              <w:rPr>
                <w:rFonts w:ascii="Arial" w:hAnsi="Arial"/>
                <w:b/>
                <w:spacing w:val="-38"/>
                <w:w w:val="85"/>
                <w:sz w:val="17"/>
              </w:rPr>
              <w:t> </w:t>
            </w:r>
            <w:r>
              <w:rPr>
                <w:rFonts w:ascii="Arial" w:hAnsi="Arial"/>
                <w:b/>
                <w:w w:val="85"/>
                <w:sz w:val="17"/>
              </w:rPr>
              <w:t>internationalisation</w:t>
            </w:r>
            <w:r>
              <w:rPr>
                <w:rFonts w:ascii="Microsoft Sans Serif" w:hAnsi="Microsoft Sans Serif"/>
                <w:w w:val="85"/>
                <w:sz w:val="17"/>
              </w:rPr>
              <w:t>: External R&amp;D funding (8%); master’s degrees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awarded (4%); publications, </w:t>
            </w:r>
            <w:r>
              <w:rPr>
                <w:rFonts w:ascii="Microsoft Sans Serif" w:hAnsi="Microsoft Sans Serif"/>
                <w:w w:val="85"/>
                <w:sz w:val="17"/>
              </w:rPr>
              <w:t>public artistic and design activities, audio-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visual</w:t>
            </w:r>
            <w:r>
              <w:rPr>
                <w:rFonts w:ascii="Microsoft Sans Serif" w:hAnsi="Microsoft Sans Serif"/>
                <w:spacing w:val="1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material</w:t>
            </w:r>
            <w:r>
              <w:rPr>
                <w:rFonts w:ascii="Microsoft Sans Serif" w:hAnsi="Microsoft Sans Serif"/>
                <w:spacing w:val="1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1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information</w:t>
            </w:r>
            <w:r>
              <w:rPr>
                <w:rFonts w:ascii="Microsoft Sans Serif" w:hAnsi="Microsoft Sans Serif"/>
                <w:spacing w:val="1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1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communication</w:t>
            </w:r>
            <w:r>
              <w:rPr>
                <w:rFonts w:ascii="Microsoft Sans Serif" w:hAnsi="Microsoft Sans Serif"/>
                <w:spacing w:val="1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technology</w:t>
            </w:r>
            <w:r>
              <w:rPr>
                <w:rFonts w:ascii="Microsoft Sans Serif" w:hAnsi="Microsoft Sans Serif"/>
                <w:spacing w:val="1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(ICT)</w:t>
            </w:r>
          </w:p>
          <w:p>
            <w:pPr>
              <w:pStyle w:val="TableParagraph"/>
              <w:spacing w:line="187" w:lineRule="exact" w:before="6"/>
              <w:ind w:left="116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software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(2%);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teacher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expert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mobility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(1%).</w:t>
            </w:r>
          </w:p>
        </w:tc>
      </w:tr>
      <w:tr>
        <w:trPr>
          <w:trHeight w:val="423" w:hRule="atLeast"/>
        </w:trPr>
        <w:tc>
          <w:tcPr>
            <w:tcW w:w="1562" w:type="dxa"/>
            <w:vMerge/>
            <w:tcBorders>
              <w:top w:val="nil"/>
              <w:left w:val="nil"/>
              <w:right w:val="single" w:sz="6" w:space="0" w:color="D2D2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2" w:lineRule="exact" w:before="0"/>
              <w:ind w:left="117" w:right="40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Strategic</w:t>
            </w:r>
            <w:r>
              <w:rPr>
                <w:rFonts w:ascii="Microsoft Sans Serif"/>
                <w:spacing w:val="1"/>
                <w:w w:val="9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development</w:t>
            </w:r>
          </w:p>
        </w:tc>
        <w:tc>
          <w:tcPr>
            <w:tcW w:w="1557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before="8"/>
              <w:ind w:left="747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2"/>
                <w:sz w:val="17"/>
              </w:rPr>
              <w:t>6</w:t>
            </w:r>
          </w:p>
        </w:tc>
        <w:tc>
          <w:tcPr>
            <w:tcW w:w="4678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02" w:lineRule="exact" w:before="0"/>
              <w:ind w:left="116" w:right="89"/>
              <w:rPr>
                <w:rFonts w:ascii="Microsoft Sans Serif"/>
                <w:sz w:val="17"/>
              </w:rPr>
            </w:pPr>
            <w:r>
              <w:rPr>
                <w:rFonts w:ascii="Arial"/>
                <w:b/>
                <w:spacing w:val="-1"/>
                <w:w w:val="85"/>
                <w:sz w:val="17"/>
              </w:rPr>
              <w:t>Regional</w:t>
            </w:r>
            <w:r>
              <w:rPr>
                <w:rFonts w:ascii="Arial"/>
                <w:b/>
                <w:spacing w:val="-4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impact</w:t>
            </w:r>
            <w:r>
              <w:rPr>
                <w:rFonts w:ascii="Arial"/>
                <w:b/>
                <w:spacing w:val="-4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and</w:t>
            </w:r>
            <w:r>
              <w:rPr>
                <w:rFonts w:ascii="Arial"/>
                <w:b/>
                <w:spacing w:val="-2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links</w:t>
            </w:r>
            <w:r>
              <w:rPr>
                <w:rFonts w:ascii="Arial"/>
                <w:b/>
                <w:spacing w:val="-4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with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business,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and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industry/quality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17"/>
              </w:rPr>
              <w:t>and</w:t>
            </w:r>
            <w:r>
              <w:rPr>
                <w:rFonts w:ascii="Arial"/>
                <w:b/>
                <w:spacing w:val="-37"/>
                <w:w w:val="85"/>
                <w:sz w:val="17"/>
              </w:rPr>
              <w:t> </w:t>
            </w:r>
            <w:r>
              <w:rPr>
                <w:rFonts w:ascii="Arial"/>
                <w:b/>
                <w:w w:val="80"/>
                <w:sz w:val="17"/>
              </w:rPr>
              <w:t>internationalisation</w:t>
            </w:r>
            <w:r>
              <w:rPr>
                <w:rFonts w:ascii="Microsoft Sans Serif"/>
                <w:w w:val="80"/>
                <w:sz w:val="17"/>
              </w:rPr>
              <w:t>: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Strategic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(5%);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field-specific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funding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(1%).</w:t>
            </w:r>
          </w:p>
        </w:tc>
      </w:tr>
    </w:tbl>
    <w:p>
      <w:pPr>
        <w:spacing w:line="254" w:lineRule="auto" w:before="110"/>
        <w:ind w:left="183" w:right="300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1"/>
          <w:w w:val="85"/>
          <w:position w:val="1"/>
          <w:sz w:val="18"/>
        </w:rPr>
        <w:t>Source:</w:t>
      </w:r>
      <w:r>
        <w:rPr>
          <w:rFonts w:ascii="Microsoft Sans Serif"/>
          <w:spacing w:val="4"/>
          <w:w w:val="85"/>
          <w:position w:val="1"/>
          <w:sz w:val="18"/>
        </w:rPr>
        <w:t> </w:t>
      </w:r>
      <w:r>
        <w:rPr>
          <w:rFonts w:ascii="Microsoft Sans Serif"/>
          <w:spacing w:val="-1"/>
          <w:w w:val="85"/>
          <w:position w:val="1"/>
          <w:sz w:val="18"/>
        </w:rPr>
        <w:t>Eurydice</w:t>
      </w:r>
      <w:r>
        <w:rPr>
          <w:rFonts w:ascii="Microsoft Sans Serif"/>
          <w:spacing w:val="4"/>
          <w:w w:val="85"/>
          <w:position w:val="1"/>
          <w:sz w:val="18"/>
        </w:rPr>
        <w:t> </w:t>
      </w:r>
      <w:r>
        <w:rPr>
          <w:rFonts w:ascii="Microsoft Sans Serif"/>
          <w:spacing w:val="-1"/>
          <w:w w:val="85"/>
          <w:position w:val="1"/>
          <w:sz w:val="20"/>
        </w:rPr>
        <w:t>(2020</w:t>
      </w:r>
      <w:r>
        <w:rPr>
          <w:rFonts w:ascii="Microsoft Sans Serif"/>
          <w:spacing w:val="-1"/>
          <w:w w:val="85"/>
          <w:sz w:val="13"/>
        </w:rPr>
        <w:t>[30]</w:t>
      </w:r>
      <w:r>
        <w:rPr>
          <w:rFonts w:ascii="Microsoft Sans Serif"/>
          <w:spacing w:val="-1"/>
          <w:w w:val="85"/>
          <w:position w:val="1"/>
          <w:sz w:val="20"/>
        </w:rPr>
        <w:t>).</w:t>
      </w:r>
      <w:r>
        <w:rPr>
          <w:rFonts w:ascii="Microsoft Sans Serif"/>
          <w:w w:val="85"/>
          <w:position w:val="1"/>
          <w:sz w:val="20"/>
        </w:rPr>
        <w:t> </w:t>
      </w:r>
      <w:r>
        <w:rPr>
          <w:rFonts w:ascii="Arial"/>
          <w:i/>
          <w:w w:val="85"/>
          <w:position w:val="1"/>
          <w:sz w:val="18"/>
        </w:rPr>
        <w:t>Finland</w:t>
      </w:r>
      <w:r>
        <w:rPr>
          <w:rFonts w:ascii="Arial"/>
          <w:i/>
          <w:spacing w:val="40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Higher</w:t>
      </w:r>
      <w:r>
        <w:rPr>
          <w:rFonts w:ascii="Arial"/>
          <w:i/>
          <w:spacing w:val="40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Education</w:t>
      </w:r>
      <w:r>
        <w:rPr>
          <w:rFonts w:ascii="Arial"/>
          <w:i/>
          <w:spacing w:val="41"/>
          <w:w w:val="85"/>
          <w:position w:val="1"/>
          <w:sz w:val="18"/>
        </w:rPr>
        <w:t> </w:t>
      </w:r>
      <w:r>
        <w:rPr>
          <w:rFonts w:ascii="Arial"/>
          <w:i/>
          <w:w w:val="85"/>
          <w:position w:val="1"/>
          <w:sz w:val="18"/>
        </w:rPr>
        <w:t>Funding</w:t>
      </w:r>
      <w:r>
        <w:rPr>
          <w:rFonts w:ascii="Microsoft Sans Serif"/>
          <w:w w:val="85"/>
          <w:position w:val="1"/>
          <w:sz w:val="18"/>
        </w:rPr>
        <w:t>,</w:t>
      </w:r>
      <w:r>
        <w:rPr>
          <w:rFonts w:ascii="Microsoft Sans Serif"/>
          <w:spacing w:val="4"/>
          <w:w w:val="85"/>
          <w:position w:val="1"/>
          <w:sz w:val="18"/>
        </w:rPr>
        <w:t> </w:t>
      </w:r>
      <w:hyperlink r:id="rId209">
        <w:r>
          <w:rPr>
            <w:rFonts w:ascii="Microsoft Sans Serif"/>
            <w:color w:val="0000FF"/>
            <w:w w:val="85"/>
            <w:position w:val="1"/>
            <w:sz w:val="18"/>
            <w:u w:val="single" w:color="0000FF"/>
          </w:rPr>
          <w:t>https://eacea.ec.europa.eu/national-policies/eurydice/content/higher</w:t>
        </w:r>
        <w:r>
          <w:rPr>
            <w:rFonts w:ascii="Microsoft Sans Serif"/>
            <w:color w:val="0000FF"/>
            <w:w w:val="85"/>
            <w:position w:val="1"/>
            <w:sz w:val="18"/>
          </w:rPr>
          <w:t>-</w:t>
        </w:r>
      </w:hyperlink>
      <w:r>
        <w:rPr>
          <w:rFonts w:ascii="Microsoft Sans Serif"/>
          <w:color w:val="0000FF"/>
          <w:spacing w:val="-38"/>
          <w:w w:val="85"/>
          <w:position w:val="1"/>
          <w:sz w:val="18"/>
        </w:rPr>
        <w:t> </w:t>
      </w:r>
      <w:hyperlink r:id="rId209">
        <w:r>
          <w:rPr>
            <w:rFonts w:ascii="Microsoft Sans Serif"/>
            <w:color w:val="0000FF"/>
            <w:w w:val="90"/>
            <w:sz w:val="18"/>
            <w:u w:val="single" w:color="0000FF"/>
          </w:rPr>
          <w:t>education-funding-25_en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pStyle w:val="BodyText"/>
        <w:spacing w:line="271" w:lineRule="auto" w:before="93"/>
        <w:ind w:left="183" w:right="307"/>
        <w:jc w:val="both"/>
      </w:pPr>
      <w:r>
        <w:rPr/>
        <w:t>As </w:t>
      </w:r>
      <w:hyperlink w:history="true" w:anchor="_bookmark66">
        <w:r>
          <w:rPr/>
          <w:t>Table A A.4 </w:t>
        </w:r>
      </w:hyperlink>
      <w:r>
        <w:rPr/>
        <w:t>highlights, research and science play a larger role in the funding model of universities</w:t>
      </w:r>
      <w:r>
        <w:rPr>
          <w:spacing w:val="1"/>
        </w:rPr>
        <w:t> </w:t>
      </w:r>
      <w:r>
        <w:rPr/>
        <w:t>compared to the UAS, which have a far greater focus on teaching. This reflects the broader approach of</w:t>
      </w:r>
      <w:r>
        <w:rPr>
          <w:spacing w:val="1"/>
        </w:rPr>
        <w:t> </w:t>
      </w:r>
      <w:r>
        <w:rPr/>
        <w:t>the binary system in Finland: UAS receive the majority of their funding as a result of their education</w:t>
      </w:r>
      <w:r>
        <w:rPr>
          <w:spacing w:val="1"/>
        </w:rPr>
        <w:t> </w:t>
      </w:r>
      <w:r>
        <w:rPr>
          <w:spacing w:val="-1"/>
        </w:rPr>
        <w:t>performance,</w:t>
      </w:r>
      <w:r>
        <w:rPr>
          <w:spacing w:val="-11"/>
        </w:rPr>
        <w:t> </w:t>
      </w:r>
      <w:r>
        <w:rPr>
          <w:spacing w:val="-1"/>
        </w:rPr>
        <w:t>highlighting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fact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UAS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seen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primarily</w:t>
      </w:r>
      <w:r>
        <w:rPr>
          <w:spacing w:val="-14"/>
        </w:rPr>
        <w:t> </w:t>
      </w:r>
      <w:r>
        <w:rPr/>
        <w:t>regional</w:t>
      </w:r>
      <w:r>
        <w:rPr>
          <w:spacing w:val="-9"/>
        </w:rPr>
        <w:t> </w:t>
      </w:r>
      <w:r>
        <w:rPr/>
        <w:t>teaching</w:t>
      </w:r>
      <w:r>
        <w:rPr>
          <w:spacing w:val="-9"/>
        </w:rPr>
        <w:t> </w:t>
      </w:r>
      <w:r>
        <w:rPr/>
        <w:t>establishments</w:t>
      </w:r>
      <w:r>
        <w:rPr>
          <w:spacing w:val="-10"/>
        </w:rPr>
        <w:t> </w:t>
      </w:r>
      <w:r>
        <w:rPr/>
        <w:t>(though</w:t>
      </w:r>
      <w:r>
        <w:rPr>
          <w:spacing w:val="1"/>
        </w:rPr>
        <w:t> </w:t>
      </w:r>
      <w:r>
        <w:rPr/>
        <w:t>with a role in research, aimed at technology transfer into industry), whereas universities are more deeply</w:t>
      </w:r>
      <w:r>
        <w:rPr>
          <w:spacing w:val="1"/>
        </w:rPr>
        <w:t> </w:t>
      </w:r>
      <w:r>
        <w:rPr/>
        <w:t>integrated</w:t>
      </w:r>
      <w:r>
        <w:rPr>
          <w:spacing w:val="-2"/>
        </w:rPr>
        <w:t> </w:t>
      </w:r>
      <w:r>
        <w:rPr/>
        <w:t>into national</w:t>
      </w:r>
      <w:r>
        <w:rPr>
          <w:spacing w:val="-1"/>
        </w:rPr>
        <w:t> </w:t>
      </w:r>
      <w:r>
        <w:rPr/>
        <w:t>R&amp;D</w:t>
      </w:r>
      <w:r>
        <w:rPr>
          <w:spacing w:val="-1"/>
        </w:rPr>
        <w:t> </w:t>
      </w:r>
      <w:r>
        <w:rPr/>
        <w:t>ambitions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The criteria for evaluation across these streams also differ between the two types of institution. The</w:t>
      </w:r>
      <w:r>
        <w:rPr>
          <w:spacing w:val="1"/>
        </w:rPr>
        <w:t> </w:t>
      </w:r>
      <w:r>
        <w:rPr/>
        <w:t>streams identified above are evaluated for universities against indicators aligned to one or more of three</w:t>
      </w:r>
      <w:r>
        <w:rPr>
          <w:spacing w:val="1"/>
        </w:rPr>
        <w:t> </w:t>
      </w:r>
      <w:r>
        <w:rPr/>
        <w:t>criteria: impact, quality and internationalisation. By comparison, UAS are measured against indicators</w:t>
      </w:r>
      <w:r>
        <w:rPr>
          <w:spacing w:val="1"/>
        </w:rPr>
        <w:t> </w:t>
      </w:r>
      <w:r>
        <w:rPr/>
        <w:t>aligned to two compound criteria: (i) regional impact and links with business; and (ii) industry, quality and</w:t>
      </w:r>
      <w:r>
        <w:rPr>
          <w:spacing w:val="1"/>
        </w:rPr>
        <w:t> </w:t>
      </w:r>
      <w:r>
        <w:rPr>
          <w:position w:val="1"/>
        </w:rPr>
        <w:t>internationalisation (Eurydice, 2020</w:t>
      </w:r>
      <w:r>
        <w:rPr>
          <w:sz w:val="13"/>
        </w:rPr>
        <w:t>[30]</w:t>
      </w:r>
      <w:r>
        <w:rPr>
          <w:position w:val="1"/>
        </w:rPr>
        <w:t>). The funding model detailed here is also regularly adapted and</w:t>
      </w:r>
      <w:r>
        <w:rPr>
          <w:spacing w:val="1"/>
          <w:position w:val="1"/>
        </w:rPr>
        <w:t> </w:t>
      </w:r>
      <w:r>
        <w:rPr/>
        <w:t>updated by</w:t>
      </w:r>
      <w:r>
        <w:rPr>
          <w:spacing w:val="-3"/>
        </w:rPr>
        <w:t> </w:t>
      </w:r>
      <w:r>
        <w:rPr/>
        <w:t>MEDC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reflect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the broader</w:t>
      </w:r>
      <w:r>
        <w:rPr>
          <w:spacing w:val="-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goals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sector.</w:t>
      </w:r>
    </w:p>
    <w:p>
      <w:pPr>
        <w:pStyle w:val="BodyText"/>
        <w:spacing w:line="271" w:lineRule="auto" w:before="121"/>
        <w:ind w:left="183" w:right="303"/>
        <w:jc w:val="both"/>
      </w:pPr>
      <w:r>
        <w:rPr/>
        <w:t>This funding model provides a framework for the negotiation of bilateral agreements between the ministry</w:t>
      </w:r>
      <w:r>
        <w:rPr>
          <w:spacing w:val="-53"/>
        </w:rPr>
        <w:t> </w:t>
      </w:r>
      <w:r>
        <w:rPr/>
        <w:t>and HEIs that cover each institutions’ area of focus and developmental duties aligned to larger national</w:t>
      </w:r>
      <w:r>
        <w:rPr>
          <w:spacing w:val="1"/>
        </w:rPr>
        <w:t> </w:t>
      </w:r>
      <w:r>
        <w:rPr/>
        <w:t>priorities. These agreements have been a mechanism in use since 1998, although when introduced they</w:t>
      </w:r>
      <w:r>
        <w:rPr>
          <w:spacing w:val="1"/>
        </w:rPr>
        <w:t> </w:t>
      </w:r>
      <w:r>
        <w:rPr>
          <w:position w:val="1"/>
        </w:rPr>
        <w:t>only covered three years (Hölttä, 1998</w:t>
      </w:r>
      <w:r>
        <w:rPr>
          <w:sz w:val="13"/>
        </w:rPr>
        <w:t>[31]</w:t>
      </w:r>
      <w:r>
        <w:rPr>
          <w:position w:val="1"/>
        </w:rPr>
        <w:t>). The funding itself is delivered to HEIs on an annual basis,</w:t>
      </w:r>
      <w:r>
        <w:rPr>
          <w:spacing w:val="1"/>
          <w:position w:val="1"/>
        </w:rPr>
        <w:t> </w:t>
      </w:r>
      <w:r>
        <w:rPr/>
        <w:t>dependant on meeting performance goals in prior years. For example, for the University of Helsinki, 2021</w:t>
      </w:r>
      <w:r>
        <w:rPr>
          <w:spacing w:val="-53"/>
        </w:rPr>
        <w:t> </w:t>
      </w:r>
      <w:r>
        <w:rPr>
          <w:position w:val="1"/>
        </w:rPr>
        <w:t>funding is based on results from 2017-19 (Saarinen, 2019</w:t>
      </w:r>
      <w:r>
        <w:rPr>
          <w:sz w:val="13"/>
        </w:rPr>
        <w:t>[32]</w:t>
      </w:r>
      <w:r>
        <w:rPr>
          <w:position w:val="1"/>
        </w:rPr>
        <w:t>). Each agreement “defines the HEI’s duties,</w:t>
      </w:r>
      <w:r>
        <w:rPr>
          <w:spacing w:val="1"/>
          <w:position w:val="1"/>
        </w:rPr>
        <w:t> </w:t>
      </w:r>
      <w:r>
        <w:rPr>
          <w:position w:val="1"/>
        </w:rPr>
        <w:t>profile, focus areas, development activities and public funding” (Eurydice, 2020</w:t>
      </w:r>
      <w:r>
        <w:rPr>
          <w:sz w:val="13"/>
        </w:rPr>
        <w:t>[30]</w:t>
      </w:r>
      <w:r>
        <w:rPr>
          <w:position w:val="1"/>
        </w:rPr>
        <w:t>). Further to this, the</w:t>
      </w:r>
      <w:r>
        <w:rPr>
          <w:spacing w:val="1"/>
          <w:position w:val="1"/>
        </w:rPr>
        <w:t> </w:t>
      </w:r>
      <w:r>
        <w:rPr/>
        <w:t>funding areas of strategic development for universities (12%) and strategic funding for UAS (5%) are</w:t>
      </w:r>
      <w:r>
        <w:rPr>
          <w:spacing w:val="1"/>
        </w:rPr>
        <w:t> </w:t>
      </w:r>
      <w:r>
        <w:rPr/>
        <w:t>delivered</w:t>
      </w:r>
      <w:r>
        <w:rPr>
          <w:spacing w:val="10"/>
        </w:rPr>
        <w:t> </w:t>
      </w:r>
      <w:r>
        <w:rPr/>
        <w:t>based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unique</w:t>
      </w:r>
      <w:r>
        <w:rPr>
          <w:spacing w:val="10"/>
        </w:rPr>
        <w:t> </w:t>
      </w:r>
      <w:r>
        <w:rPr/>
        <w:t>institutional</w:t>
      </w:r>
      <w:r>
        <w:rPr>
          <w:spacing w:val="10"/>
        </w:rPr>
        <w:t> </w:t>
      </w:r>
      <w:r>
        <w:rPr/>
        <w:t>goals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profiles</w:t>
      </w:r>
      <w:r>
        <w:rPr>
          <w:spacing w:val="11"/>
        </w:rPr>
        <w:t> </w:t>
      </w:r>
      <w:r>
        <w:rPr/>
        <w:t>outlined</w:t>
      </w:r>
      <w:r>
        <w:rPr>
          <w:spacing w:val="12"/>
        </w:rPr>
        <w:t> </w:t>
      </w:r>
      <w:r>
        <w:rPr/>
        <w:t>within</w:t>
      </w:r>
      <w:r>
        <w:rPr>
          <w:spacing w:val="9"/>
        </w:rPr>
        <w:t> </w:t>
      </w:r>
      <w:r>
        <w:rPr/>
        <w:t>bilateral</w:t>
      </w:r>
      <w:r>
        <w:rPr>
          <w:spacing w:val="9"/>
        </w:rPr>
        <w:t> </w:t>
      </w:r>
      <w:r>
        <w:rPr/>
        <w:t>agreements.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recent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11"/>
        <w:jc w:val="both"/>
      </w:pPr>
      <w:r>
        <w:rPr/>
        <w:t>years,</w:t>
      </w:r>
      <w:r>
        <w:rPr>
          <w:spacing w:val="-7"/>
        </w:rPr>
        <w:t> </w:t>
      </w:r>
      <w:r>
        <w:rPr/>
        <w:t>funding</w:t>
      </w:r>
      <w:r>
        <w:rPr>
          <w:spacing w:val="-4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areas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become</w:t>
      </w:r>
      <w:r>
        <w:rPr>
          <w:spacing w:val="-8"/>
        </w:rPr>
        <w:t> </w:t>
      </w:r>
      <w:r>
        <w:rPr/>
        <w:t>based</w:t>
      </w:r>
      <w:r>
        <w:rPr>
          <w:spacing w:val="-4"/>
        </w:rPr>
        <w:t> </w:t>
      </w:r>
      <w:r>
        <w:rPr/>
        <w:t>more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broad</w:t>
      </w:r>
      <w:r>
        <w:rPr>
          <w:spacing w:val="-6"/>
        </w:rPr>
        <w:t> </w:t>
      </w:r>
      <w:r>
        <w:rPr/>
        <w:t>strategic</w:t>
      </w:r>
      <w:r>
        <w:rPr>
          <w:spacing w:val="-3"/>
        </w:rPr>
        <w:t> </w:t>
      </w:r>
      <w:r>
        <w:rPr/>
        <w:t>actions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less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output</w:t>
      </w:r>
      <w:r>
        <w:rPr>
          <w:spacing w:val="-3"/>
        </w:rPr>
        <w:t> </w:t>
      </w:r>
      <w:r>
        <w:rPr/>
        <w:t>measurement.</w:t>
      </w:r>
    </w:p>
    <w:p>
      <w:pPr>
        <w:pStyle w:val="BodyText"/>
        <w:spacing w:line="271" w:lineRule="auto" w:before="119"/>
        <w:ind w:left="183" w:right="305"/>
        <w:jc w:val="both"/>
      </w:pP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funded</w:t>
      </w:r>
      <w:r>
        <w:rPr>
          <w:spacing w:val="-12"/>
        </w:rPr>
        <w:t> </w:t>
      </w:r>
      <w:r>
        <w:rPr>
          <w:spacing w:val="-1"/>
        </w:rPr>
        <w:t>through</w:t>
      </w:r>
      <w:r>
        <w:rPr>
          <w:spacing w:val="-13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output-based</w:t>
      </w:r>
      <w:r>
        <w:rPr>
          <w:spacing w:val="-12"/>
        </w:rPr>
        <w:t> </w:t>
      </w:r>
      <w:r>
        <w:rPr/>
        <w:t>model</w:t>
      </w:r>
      <w:r>
        <w:rPr>
          <w:spacing w:val="-14"/>
        </w:rPr>
        <w:t> </w:t>
      </w:r>
      <w:r>
        <w:rPr/>
        <w:t>enshrined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bilateral</w:t>
      </w:r>
      <w:r>
        <w:rPr>
          <w:spacing w:val="-14"/>
        </w:rPr>
        <w:t> </w:t>
      </w:r>
      <w:r>
        <w:rPr/>
        <w:t>agreements,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universities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UAS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>
          <w:spacing w:val="-1"/>
        </w:rPr>
        <w:t>considerable</w:t>
      </w:r>
      <w:r>
        <w:rPr>
          <w:spacing w:val="-8"/>
        </w:rPr>
        <w:t> </w:t>
      </w:r>
      <w:r>
        <w:rPr/>
        <w:t>day-to-day</w:t>
      </w:r>
      <w:r>
        <w:rPr>
          <w:spacing w:val="-11"/>
        </w:rPr>
        <w:t> </w:t>
      </w:r>
      <w:r>
        <w:rPr/>
        <w:t>operational</w:t>
      </w:r>
      <w:r>
        <w:rPr>
          <w:spacing w:val="-9"/>
        </w:rPr>
        <w:t> </w:t>
      </w:r>
      <w:r>
        <w:rPr/>
        <w:t>autonomy</w:t>
      </w:r>
      <w:r>
        <w:rPr>
          <w:spacing w:val="-14"/>
        </w:rPr>
        <w:t> </w:t>
      </w:r>
      <w:r>
        <w:rPr/>
        <w:t>to</w:t>
      </w:r>
      <w:r>
        <w:rPr>
          <w:spacing w:val="-6"/>
        </w:rPr>
        <w:t> </w:t>
      </w:r>
      <w:r>
        <w:rPr/>
        <w:t>meet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goals,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explored</w:t>
      </w:r>
      <w:r>
        <w:rPr>
          <w:spacing w:val="-8"/>
        </w:rPr>
        <w:t> </w:t>
      </w:r>
      <w:r>
        <w:rPr/>
        <w:t>later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study.</w:t>
      </w:r>
    </w:p>
    <w:p>
      <w:pPr>
        <w:pStyle w:val="Heading8"/>
        <w:spacing w:before="118"/>
        <w:jc w:val="left"/>
      </w:pPr>
      <w:r>
        <w:rPr/>
        <w:t>Evaluating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education</w:t>
      </w:r>
    </w:p>
    <w:p>
      <w:pPr>
        <w:pStyle w:val="BodyText"/>
        <w:spacing w:line="271" w:lineRule="auto" w:before="154"/>
        <w:ind w:left="183" w:right="302"/>
        <w:jc w:val="both"/>
      </w:pPr>
      <w:r>
        <w:rPr/>
        <w:t>HEIs have their own evaluation processes or “quality systems” that are used to verify the HEIs’ delivery</w:t>
      </w:r>
      <w:r>
        <w:rPr>
          <w:spacing w:val="1"/>
        </w:rPr>
        <w:t> </w:t>
      </w:r>
      <w:r>
        <w:rPr/>
        <w:t>against the agreed targets</w:t>
      </w:r>
      <w:r>
        <w:rPr>
          <w:spacing w:val="1"/>
        </w:rPr>
        <w:t> </w:t>
      </w:r>
      <w:r>
        <w:rPr/>
        <w:t>for funding</w:t>
      </w:r>
      <w:r>
        <w:rPr>
          <w:spacing w:val="1"/>
        </w:rPr>
        <w:t> </w:t>
      </w:r>
      <w:r>
        <w:rPr/>
        <w:t>set out in</w:t>
      </w:r>
      <w:r>
        <w:rPr>
          <w:spacing w:val="1"/>
        </w:rPr>
        <w:t> </w:t>
      </w:r>
      <w:hyperlink w:history="true" w:anchor="_bookmark66">
        <w:r>
          <w:rPr/>
          <w:t>Table A A.4.</w:t>
        </w:r>
      </w:hyperlink>
      <w:r>
        <w:rPr/>
        <w:t> These systems</w:t>
      </w:r>
      <w:r>
        <w:rPr>
          <w:spacing w:val="1"/>
        </w:rPr>
        <w:t> </w:t>
      </w:r>
      <w:r>
        <w:rPr/>
        <w:t>involve independent</w:t>
      </w:r>
      <w:r>
        <w:rPr>
          <w:spacing w:val="1"/>
        </w:rPr>
        <w:t> </w:t>
      </w:r>
      <w:r>
        <w:rPr/>
        <w:t>evaluation of their performance, carried out by a third party. HEIs are free to contract this evaluation to</w:t>
      </w:r>
      <w:r>
        <w:rPr>
          <w:spacing w:val="1"/>
        </w:rPr>
        <w:t> </w:t>
      </w:r>
      <w:r>
        <w:rPr/>
        <w:t>organisations of their choosing and they are required to regularly carry out these evaluations and publicly</w:t>
      </w:r>
      <w:r>
        <w:rPr>
          <w:spacing w:val="-53"/>
        </w:rPr>
        <w:t> </w:t>
      </w:r>
      <w:r>
        <w:rPr/>
        <w:t>publish the results. In addition, the quality systems themselves of each HEI are audited by the Finnish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(FINEEC),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These audits are undertaken cyclically, the structure of which is determined by the National</w:t>
      </w:r>
      <w:r>
        <w:rPr>
          <w:spacing w:val="1"/>
        </w:rPr>
        <w:t> </w:t>
      </w:r>
      <w:r>
        <w:rPr>
          <w:position w:val="1"/>
        </w:rPr>
        <w:t>Plan</w:t>
      </w:r>
      <w:r>
        <w:rPr>
          <w:spacing w:val="1"/>
          <w:position w:val="1"/>
        </w:rPr>
        <w:t> </w:t>
      </w:r>
      <w:r>
        <w:rPr>
          <w:position w:val="1"/>
        </w:rPr>
        <w:t>for</w:t>
      </w:r>
      <w:r>
        <w:rPr>
          <w:spacing w:val="1"/>
          <w:position w:val="1"/>
        </w:rPr>
        <w:t> </w:t>
      </w:r>
      <w:r>
        <w:rPr>
          <w:position w:val="1"/>
        </w:rPr>
        <w:t>Education</w:t>
      </w:r>
      <w:r>
        <w:rPr>
          <w:spacing w:val="1"/>
          <w:position w:val="1"/>
        </w:rPr>
        <w:t> </w:t>
      </w:r>
      <w:r>
        <w:rPr>
          <w:position w:val="1"/>
        </w:rPr>
        <w:t>Evaluation</w:t>
      </w:r>
      <w:r>
        <w:rPr>
          <w:spacing w:val="1"/>
          <w:position w:val="1"/>
        </w:rPr>
        <w:t> </w:t>
      </w:r>
      <w:r>
        <w:rPr>
          <w:position w:val="1"/>
        </w:rPr>
        <w:t>(FINEEC,</w:t>
      </w:r>
      <w:r>
        <w:rPr>
          <w:spacing w:val="1"/>
          <w:position w:val="1"/>
        </w:rPr>
        <w:t> </w:t>
      </w:r>
      <w:r>
        <w:rPr>
          <w:position w:val="1"/>
        </w:rPr>
        <w:t>2016</w:t>
      </w:r>
      <w:r>
        <w:rPr>
          <w:sz w:val="13"/>
        </w:rPr>
        <w:t>[33]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2016-19</w:t>
      </w:r>
      <w:r>
        <w:rPr>
          <w:spacing w:val="1"/>
          <w:position w:val="1"/>
        </w:rPr>
        <w:t> </w:t>
      </w:r>
      <w:r>
        <w:rPr>
          <w:position w:val="1"/>
        </w:rPr>
        <w:t>National</w:t>
      </w:r>
      <w:r>
        <w:rPr>
          <w:spacing w:val="1"/>
          <w:position w:val="1"/>
        </w:rPr>
        <w:t> </w:t>
      </w:r>
      <w:r>
        <w:rPr>
          <w:position w:val="1"/>
        </w:rPr>
        <w:t>Plan</w:t>
      </w:r>
      <w:r>
        <w:rPr>
          <w:spacing w:val="1"/>
          <w:position w:val="1"/>
        </w:rPr>
        <w:t> </w:t>
      </w:r>
      <w:r>
        <w:rPr>
          <w:position w:val="1"/>
        </w:rPr>
        <w:t>defines</w:t>
      </w:r>
      <w:r>
        <w:rPr>
          <w:spacing w:val="1"/>
          <w:position w:val="1"/>
        </w:rPr>
        <w:t> </w:t>
      </w:r>
      <w:r>
        <w:rPr>
          <w:position w:val="1"/>
        </w:rPr>
        <w:t>HEI</w:t>
      </w:r>
      <w:r>
        <w:rPr>
          <w:spacing w:val="1"/>
          <w:position w:val="1"/>
        </w:rPr>
        <w:t> </w:t>
      </w:r>
      <w:r>
        <w:rPr>
          <w:position w:val="1"/>
        </w:rPr>
        <w:t>quality</w:t>
      </w:r>
      <w:r>
        <w:rPr>
          <w:spacing w:val="1"/>
          <w:position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describes the</w:t>
      </w:r>
      <w:r>
        <w:rPr>
          <w:spacing w:val="-2"/>
        </w:rPr>
        <w:t> </w:t>
      </w:r>
      <w:r>
        <w:rPr/>
        <w:t>audit</w:t>
      </w:r>
      <w:r>
        <w:rPr>
          <w:spacing w:val="-1"/>
        </w:rPr>
        <w:t> </w:t>
      </w:r>
      <w:r>
        <w:rPr/>
        <w:t>process as</w:t>
      </w:r>
      <w:r>
        <w:rPr>
          <w:spacing w:val="-1"/>
        </w:rPr>
        <w:t> </w:t>
      </w:r>
      <w:r>
        <w:rPr/>
        <w:t>follows:</w:t>
      </w:r>
    </w:p>
    <w:p>
      <w:pPr>
        <w:spacing w:before="148"/>
        <w:ind w:left="862" w:right="986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660887pt;width:2.2pt;height:57.85pt;mso-position-horizontal-relative:page;mso-position-vertical-relative:paragraph;z-index:15766016" coordorigin="1832,93" coordsize="44,1157" path="m1875,612l1832,612,1832,842,1832,1250,1875,1250,1875,842,1875,612xm1875,93l1832,93,1832,381,1832,612,1875,612,1875,381,1875,93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0"/>
          <w:sz w:val="20"/>
        </w:rPr>
        <w:t>Quality management refers to the procedures, processes or systems that the HEI uses to maintain and develop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the quality of its activities. Audit assesses how well the quality system meets the strategic and operations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management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needs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of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the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HEI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as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well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as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how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comprehensive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and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effective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</w:t>
      </w:r>
      <w:r>
        <w:rPr>
          <w:rFonts w:ascii="Arial"/>
          <w:i/>
          <w:spacing w:val="-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quality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management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of</w:t>
      </w:r>
      <w:r>
        <w:rPr>
          <w:rFonts w:ascii="Arial"/>
          <w:i/>
          <w:spacing w:val="-4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core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duties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of</w:t>
      </w:r>
      <w:r>
        <w:rPr>
          <w:rFonts w:ascii="Arial"/>
          <w:i/>
          <w:spacing w:val="-7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the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HEI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is</w:t>
      </w:r>
      <w:r>
        <w:rPr>
          <w:rFonts w:ascii="Arial"/>
          <w:i/>
          <w:spacing w:val="-6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(FINEEC,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2016,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p.</w:t>
      </w:r>
      <w:r>
        <w:rPr>
          <w:rFonts w:ascii="Arial"/>
          <w:i/>
          <w:spacing w:val="-5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13</w:t>
      </w:r>
      <w:r>
        <w:rPr>
          <w:rFonts w:ascii="Arial"/>
          <w:i/>
          <w:w w:val="90"/>
          <w:sz w:val="13"/>
        </w:rPr>
        <w:t>[33]</w:t>
      </w:r>
      <w:r>
        <w:rPr>
          <w:rFonts w:ascii="Arial"/>
          <w:i/>
          <w:w w:val="90"/>
          <w:position w:val="1"/>
          <w:sz w:val="20"/>
        </w:rPr>
        <w:t>).</w:t>
      </w:r>
    </w:p>
    <w:p>
      <w:pPr>
        <w:pStyle w:val="BodyText"/>
        <w:spacing w:before="3"/>
        <w:rPr>
          <w:rFonts w:ascii="Arial"/>
          <w:i/>
          <w:sz w:val="18"/>
        </w:rPr>
      </w:pPr>
    </w:p>
    <w:p>
      <w:pPr>
        <w:pStyle w:val="BodyText"/>
        <w:spacing w:line="273" w:lineRule="auto"/>
        <w:ind w:left="183" w:right="310"/>
        <w:jc w:val="both"/>
      </w:pPr>
      <w:r>
        <w:rPr/>
        <w:t>The structure of Finland’s funding and quality assurance systems have served as an important lever for</w:t>
      </w:r>
      <w:r>
        <w:rPr>
          <w:spacing w:val="1"/>
        </w:rPr>
        <w:t> </w:t>
      </w:r>
      <w:r>
        <w:rPr/>
        <w:t>reform,</w:t>
      </w:r>
      <w:r>
        <w:rPr>
          <w:spacing w:val="-2"/>
        </w:rPr>
        <w:t> </w:t>
      </w:r>
      <w:r>
        <w:rPr/>
        <w:t>as will be</w:t>
      </w:r>
      <w:r>
        <w:rPr>
          <w:spacing w:val="-2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further.</w:t>
      </w:r>
    </w:p>
    <w:p>
      <w:pPr>
        <w:pStyle w:val="BodyText"/>
        <w:spacing w:before="1"/>
        <w:rPr>
          <w:sz w:val="23"/>
        </w:rPr>
      </w:pPr>
    </w:p>
    <w:p>
      <w:pPr>
        <w:pStyle w:val="Heading5"/>
        <w:jc w:val="left"/>
      </w:pPr>
      <w:r>
        <w:rPr>
          <w:color w:val="616161"/>
        </w:rPr>
        <w:t>The</w:t>
      </w:r>
      <w:r>
        <w:rPr>
          <w:color w:val="616161"/>
          <w:spacing w:val="-4"/>
        </w:rPr>
        <w:t> </w:t>
      </w:r>
      <w:r>
        <w:rPr>
          <w:color w:val="616161"/>
        </w:rPr>
        <w:t>context</w:t>
      </w:r>
      <w:r>
        <w:rPr>
          <w:color w:val="616161"/>
          <w:spacing w:val="-4"/>
        </w:rPr>
        <w:t> </w:t>
      </w:r>
      <w:r>
        <w:rPr>
          <w:color w:val="616161"/>
        </w:rPr>
        <w:t>for</w:t>
      </w:r>
      <w:r>
        <w:rPr>
          <w:color w:val="616161"/>
          <w:spacing w:val="-4"/>
        </w:rPr>
        <w:t> </w:t>
      </w:r>
      <w:r>
        <w:rPr>
          <w:color w:val="616161"/>
        </w:rPr>
        <w:t>institutional</w:t>
      </w:r>
      <w:r>
        <w:rPr>
          <w:color w:val="616161"/>
          <w:spacing w:val="-4"/>
        </w:rPr>
        <w:t> </w:t>
      </w:r>
      <w:r>
        <w:rPr>
          <w:color w:val="616161"/>
        </w:rPr>
        <w:t>landscape</w:t>
      </w:r>
      <w:r>
        <w:rPr>
          <w:color w:val="616161"/>
          <w:spacing w:val="-5"/>
        </w:rPr>
        <w:t> </w:t>
      </w:r>
      <w:r>
        <w:rPr>
          <w:color w:val="616161"/>
        </w:rPr>
        <w:t>rationalisation</w:t>
      </w:r>
    </w:p>
    <w:p>
      <w:pPr>
        <w:pStyle w:val="Heading8"/>
        <w:spacing w:before="215"/>
        <w:jc w:val="left"/>
      </w:pPr>
      <w:r>
        <w:rPr/>
        <w:t>Pre-reform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structure</w:t>
      </w:r>
    </w:p>
    <w:p>
      <w:pPr>
        <w:pStyle w:val="BodyText"/>
        <w:spacing w:line="271" w:lineRule="auto" w:before="154"/>
        <w:ind w:left="183" w:right="302"/>
        <w:jc w:val="both"/>
      </w:pPr>
      <w:r>
        <w:rPr/>
        <w:t>The governance structures detailed in the previous section represent a snapshot of the current HE</w:t>
      </w:r>
      <w:r>
        <w:rPr>
          <w:spacing w:val="1"/>
        </w:rPr>
        <w:t> </w:t>
      </w:r>
      <w:r>
        <w:rPr/>
        <w:t>landscape in Finland. They are the result of significant reform of the sector that has its roots in the 1990s,</w:t>
      </w:r>
      <w:r>
        <w:rPr>
          <w:spacing w:val="-53"/>
        </w:rPr>
        <w:t> </w:t>
      </w:r>
      <w:r>
        <w:rPr/>
        <w:t>leading</w:t>
      </w:r>
      <w:r>
        <w:rPr>
          <w:spacing w:val="-12"/>
        </w:rPr>
        <w:t> </w:t>
      </w:r>
      <w:r>
        <w:rPr/>
        <w:t>up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substantive</w:t>
      </w:r>
      <w:r>
        <w:rPr>
          <w:spacing w:val="-11"/>
        </w:rPr>
        <w:t> </w:t>
      </w:r>
      <w:r>
        <w:rPr/>
        <w:t>changes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took</w:t>
      </w:r>
      <w:r>
        <w:rPr>
          <w:spacing w:val="-7"/>
        </w:rPr>
        <w:t> </w:t>
      </w:r>
      <w:r>
        <w:rPr/>
        <w:t>place</w:t>
      </w:r>
      <w:r>
        <w:rPr>
          <w:spacing w:val="-4"/>
        </w:rPr>
        <w:t> </w:t>
      </w:r>
      <w:r>
        <w:rPr/>
        <w:t>between</w:t>
      </w:r>
      <w:r>
        <w:rPr>
          <w:spacing w:val="-8"/>
        </w:rPr>
        <w:t> </w:t>
      </w:r>
      <w:r>
        <w:rPr/>
        <w:t>2004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2010,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some</w:t>
      </w:r>
      <w:r>
        <w:rPr>
          <w:spacing w:val="-12"/>
        </w:rPr>
        <w:t> </w:t>
      </w:r>
      <w:r>
        <w:rPr/>
        <w:t>system</w:t>
      </w:r>
      <w:r>
        <w:rPr>
          <w:spacing w:val="-6"/>
        </w:rPr>
        <w:t> </w:t>
      </w:r>
      <w:r>
        <w:rPr/>
        <w:t>features</w:t>
      </w:r>
      <w:r>
        <w:rPr>
          <w:spacing w:val="-53"/>
        </w:rPr>
        <w:t> </w:t>
      </w:r>
      <w:r>
        <w:rPr/>
        <w:t>still undergoing development and adaptation. Prior to the period of policy shift that will be reviewed in this</w:t>
      </w:r>
      <w:r>
        <w:rPr>
          <w:spacing w:val="-53"/>
        </w:rPr>
        <w:t> </w:t>
      </w:r>
      <w:r>
        <w:rPr/>
        <w:t>section, HE in Finland was substantially different in form and function. To some extent, this reform even</w:t>
      </w:r>
      <w:r>
        <w:rPr>
          <w:spacing w:val="1"/>
        </w:rPr>
        <w:t> </w:t>
      </w:r>
      <w:r>
        <w:rPr>
          <w:spacing w:val="-1"/>
        </w:rPr>
        <w:t>extended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modifying</w:t>
      </w:r>
      <w:r>
        <w:rPr>
          <w:spacing w:val="-13"/>
        </w:rPr>
        <w:t> </w:t>
      </w:r>
      <w:r>
        <w:rPr>
          <w:spacing w:val="-1"/>
        </w:rPr>
        <w:t>underlying</w:t>
      </w:r>
      <w:r>
        <w:rPr>
          <w:spacing w:val="-14"/>
        </w:rPr>
        <w:t> </w:t>
      </w:r>
      <w:r>
        <w:rPr>
          <w:spacing w:val="-1"/>
        </w:rPr>
        <w:t>social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governmental</w:t>
      </w:r>
      <w:r>
        <w:rPr>
          <w:spacing w:val="-14"/>
        </w:rPr>
        <w:t> </w:t>
      </w:r>
      <w:r>
        <w:rPr>
          <w:spacing w:val="-1"/>
        </w:rPr>
        <w:t>expectations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role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HE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Finnish</w:t>
      </w:r>
      <w:r>
        <w:rPr>
          <w:spacing w:val="-12"/>
        </w:rPr>
        <w:t> </w:t>
      </w:r>
      <w:r>
        <w:rPr/>
        <w:t>society.</w:t>
      </w:r>
    </w:p>
    <w:p>
      <w:pPr>
        <w:pStyle w:val="BodyText"/>
        <w:spacing w:line="271" w:lineRule="auto" w:before="121"/>
        <w:ind w:left="183" w:right="304"/>
        <w:jc w:val="both"/>
      </w:pPr>
      <w:r>
        <w:rPr/>
        <w:t>The</w:t>
      </w:r>
      <w:r>
        <w:rPr>
          <w:spacing w:val="-5"/>
        </w:rPr>
        <w:t> </w:t>
      </w:r>
      <w:r>
        <w:rPr/>
        <w:t>Finnish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system as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existed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turn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millenium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rapid</w:t>
      </w:r>
      <w:r>
        <w:rPr>
          <w:spacing w:val="-4"/>
        </w:rPr>
        <w:t> </w:t>
      </w:r>
      <w:r>
        <w:rPr/>
        <w:t>expansion</w:t>
      </w:r>
      <w:r>
        <w:rPr>
          <w:spacing w:val="-53"/>
        </w:rPr>
        <w:t> </w:t>
      </w:r>
      <w:r>
        <w:rPr/>
        <w:t>that began after World War II. In line with the Finnish tradition of universal access to public services</w:t>
      </w:r>
      <w:r>
        <w:rPr>
          <w:spacing w:val="1"/>
        </w:rPr>
        <w:t> </w:t>
      </w:r>
      <w:r>
        <w:rPr/>
        <w:t>underpinned by a robust welfare state, higher education was guaranteed to be accessible for free for all</w:t>
      </w:r>
      <w:r>
        <w:rPr>
          <w:spacing w:val="1"/>
        </w:rPr>
        <w:t> </w:t>
      </w:r>
      <w:r>
        <w:rPr>
          <w:spacing w:val="-1"/>
        </w:rPr>
        <w:t>Finnish</w:t>
      </w:r>
      <w:r>
        <w:rPr>
          <w:spacing w:val="-9"/>
        </w:rPr>
        <w:t> </w:t>
      </w:r>
      <w:r>
        <w:rPr>
          <w:spacing w:val="-1"/>
        </w:rPr>
        <w:t>youth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0"/>
        </w:rPr>
        <w:t> </w:t>
      </w:r>
      <w:r>
        <w:rPr>
          <w:spacing w:val="-1"/>
        </w:rPr>
        <w:t>regions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large,</w:t>
      </w:r>
      <w:r>
        <w:rPr>
          <w:spacing w:val="-10"/>
        </w:rPr>
        <w:t> </w:t>
      </w:r>
      <w:r>
        <w:rPr>
          <w:spacing w:val="-1"/>
        </w:rPr>
        <w:t>but</w:t>
      </w:r>
      <w:r>
        <w:rPr>
          <w:spacing w:val="-11"/>
        </w:rPr>
        <w:t> </w:t>
      </w:r>
      <w:r>
        <w:rPr>
          <w:spacing w:val="-1"/>
        </w:rPr>
        <w:t>mostly</w:t>
      </w:r>
      <w:r>
        <w:rPr>
          <w:spacing w:val="-14"/>
        </w:rPr>
        <w:t> </w:t>
      </w:r>
      <w:r>
        <w:rPr>
          <w:spacing w:val="-1"/>
        </w:rPr>
        <w:t>sparsely</w:t>
      </w:r>
      <w:r>
        <w:rPr>
          <w:spacing w:val="-14"/>
        </w:rPr>
        <w:t> </w:t>
      </w:r>
      <w:r>
        <w:rPr>
          <w:spacing w:val="-1"/>
        </w:rPr>
        <w:t>populated</w:t>
      </w:r>
      <w:r>
        <w:rPr>
          <w:spacing w:val="-10"/>
        </w:rPr>
        <w:t> </w:t>
      </w:r>
      <w:r>
        <w:rPr/>
        <w:t>country.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resulted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 of HEIs relative to the population, as every region of the country had one or more institutions that</w:t>
      </w:r>
      <w:r>
        <w:rPr>
          <w:spacing w:val="-53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credentials.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position w:val="1"/>
        </w:rPr>
        <w:t>universities</w:t>
      </w:r>
      <w:r>
        <w:rPr>
          <w:spacing w:val="-2"/>
          <w:position w:val="1"/>
        </w:rPr>
        <w:t> </w:t>
      </w:r>
      <w:r>
        <w:rPr>
          <w:position w:val="1"/>
        </w:rPr>
        <w:t>dominated</w:t>
      </w:r>
      <w:r>
        <w:rPr>
          <w:spacing w:val="-2"/>
          <w:position w:val="1"/>
        </w:rPr>
        <w:t> </w:t>
      </w:r>
      <w:r>
        <w:rPr>
          <w:position w:val="1"/>
        </w:rPr>
        <w:t>from the</w:t>
      </w:r>
      <w:r>
        <w:rPr>
          <w:spacing w:val="-1"/>
          <w:position w:val="1"/>
        </w:rPr>
        <w:t> </w:t>
      </w:r>
      <w:r>
        <w:rPr>
          <w:position w:val="1"/>
        </w:rPr>
        <w:t>1960s</w:t>
      </w:r>
      <w:r>
        <w:rPr>
          <w:spacing w:val="-1"/>
          <w:position w:val="1"/>
        </w:rPr>
        <w:t> </w:t>
      </w:r>
      <w:r>
        <w:rPr>
          <w:position w:val="1"/>
        </w:rPr>
        <w:t>through</w:t>
      </w:r>
      <w:r>
        <w:rPr>
          <w:spacing w:val="-3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1970s</w:t>
      </w:r>
      <w:r>
        <w:rPr>
          <w:spacing w:val="-1"/>
          <w:position w:val="1"/>
        </w:rPr>
        <w:t> </w:t>
      </w:r>
      <w:r>
        <w:rPr>
          <w:position w:val="1"/>
        </w:rPr>
        <w:t>and 1980s (Saarivirta,</w:t>
      </w:r>
      <w:r>
        <w:rPr>
          <w:spacing w:val="-3"/>
          <w:position w:val="1"/>
        </w:rPr>
        <w:t> </w:t>
      </w:r>
      <w:r>
        <w:rPr>
          <w:position w:val="1"/>
        </w:rPr>
        <w:t>2010</w:t>
      </w:r>
      <w:r>
        <w:rPr>
          <w:sz w:val="13"/>
        </w:rPr>
        <w:t>[34]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2"/>
        <w:jc w:val="both"/>
      </w:pPr>
      <w:r>
        <w:rPr/>
        <w:t>The peak of this post-war expansion occurred in the 1990s, when national policy changes established a</w:t>
      </w:r>
      <w:r>
        <w:rPr>
          <w:spacing w:val="1"/>
        </w:rPr>
        <w:t> </w:t>
      </w:r>
      <w:r>
        <w:rPr/>
        <w:t>second category of HEI to sit alongside the universities, solidifying a binary system of HE that remains in</w:t>
      </w:r>
      <w:r>
        <w:rPr>
          <w:spacing w:val="1"/>
        </w:rPr>
        <w:t> </w:t>
      </w:r>
      <w:r>
        <w:rPr>
          <w:position w:val="1"/>
        </w:rPr>
        <w:t>place today (Elander, Aarrevaara and Dobson, 2009</w:t>
      </w:r>
      <w:r>
        <w:rPr>
          <w:sz w:val="13"/>
        </w:rPr>
        <w:t>[35]</w:t>
      </w:r>
      <w:r>
        <w:rPr>
          <w:position w:val="1"/>
        </w:rPr>
        <w:t>). These polytechnics (which would later be re-</w:t>
      </w:r>
      <w:r>
        <w:rPr>
          <w:spacing w:val="1"/>
          <w:position w:val="1"/>
        </w:rPr>
        <w:t> </w:t>
      </w:r>
      <w:r>
        <w:rPr/>
        <w:t>defined as universities of applied sciences) were not entirely new institutions, but rather adapted and re-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upper-secondary-level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previously.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</w:t>
      </w:r>
      <w:r>
        <w:rPr>
          <w:spacing w:val="-9"/>
        </w:rPr>
        <w:t> </w:t>
      </w:r>
      <w:r>
        <w:rPr/>
        <w:t>focus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vocational</w:t>
      </w:r>
      <w:r>
        <w:rPr>
          <w:spacing w:val="-7"/>
        </w:rPr>
        <w:t> </w:t>
      </w:r>
      <w:r>
        <w:rPr/>
        <w:t>courses,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nursing,</w:t>
      </w:r>
      <w:r>
        <w:rPr>
          <w:spacing w:val="-7"/>
        </w:rPr>
        <w:t> </w:t>
      </w:r>
      <w:r>
        <w:rPr/>
        <w:t>technical</w:t>
      </w:r>
      <w:r>
        <w:rPr>
          <w:spacing w:val="-8"/>
        </w:rPr>
        <w:t> </w:t>
      </w:r>
      <w:r>
        <w:rPr/>
        <w:t>trades,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business,</w:t>
      </w:r>
      <w:r>
        <w:rPr>
          <w:spacing w:val="-7"/>
        </w:rPr>
        <w:t> </w:t>
      </w:r>
      <w:r>
        <w:rPr/>
        <w:t>culture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 work, and maintained much of this educational focus, while expanding in some areas, based on</w:t>
      </w:r>
      <w:r>
        <w:rPr>
          <w:spacing w:val="1"/>
        </w:rPr>
        <w:t> </w:t>
      </w:r>
      <w:r>
        <w:rPr>
          <w:position w:val="1"/>
        </w:rPr>
        <w:t>regional</w:t>
      </w:r>
      <w:r>
        <w:rPr>
          <w:spacing w:val="-3"/>
          <w:position w:val="1"/>
        </w:rPr>
        <w:t> </w:t>
      </w:r>
      <w:r>
        <w:rPr>
          <w:position w:val="1"/>
        </w:rPr>
        <w:t>labour</w:t>
      </w:r>
      <w:r>
        <w:rPr>
          <w:spacing w:val="-2"/>
          <w:position w:val="1"/>
        </w:rPr>
        <w:t> </w:t>
      </w:r>
      <w:r>
        <w:rPr>
          <w:position w:val="1"/>
        </w:rPr>
        <w:t>market</w:t>
      </w:r>
      <w:r>
        <w:rPr>
          <w:spacing w:val="-2"/>
          <w:position w:val="1"/>
        </w:rPr>
        <w:t> </w:t>
      </w:r>
      <w:r>
        <w:rPr>
          <w:position w:val="1"/>
        </w:rPr>
        <w:t>demand</w:t>
      </w:r>
      <w:r>
        <w:rPr>
          <w:spacing w:val="1"/>
          <w:position w:val="1"/>
        </w:rPr>
        <w:t> </w:t>
      </w:r>
      <w:r>
        <w:rPr>
          <w:position w:val="1"/>
        </w:rPr>
        <w:t>(Stenström</w:t>
      </w:r>
      <w:r>
        <w:rPr>
          <w:spacing w:val="3"/>
          <w:position w:val="1"/>
        </w:rPr>
        <w:t> </w:t>
      </w:r>
      <w:r>
        <w:rPr>
          <w:position w:val="1"/>
        </w:rPr>
        <w:t>and Virolainen,</w:t>
      </w:r>
      <w:r>
        <w:rPr>
          <w:spacing w:val="1"/>
          <w:position w:val="1"/>
        </w:rPr>
        <w:t> </w:t>
      </w:r>
      <w:r>
        <w:rPr>
          <w:position w:val="1"/>
        </w:rPr>
        <w:t>2014</w:t>
      </w:r>
      <w:r>
        <w:rPr>
          <w:sz w:val="13"/>
        </w:rPr>
        <w:t>[36]</w:t>
      </w:r>
      <w:r>
        <w:rPr>
          <w:position w:val="1"/>
        </w:rPr>
        <w:t>).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Heading8"/>
        <w:spacing w:before="120"/>
      </w:pPr>
      <w:r>
        <w:rPr/>
        <w:t>Catalysts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reform</w:t>
      </w:r>
    </w:p>
    <w:p>
      <w:pPr>
        <w:pStyle w:val="BodyText"/>
        <w:spacing w:line="271" w:lineRule="auto" w:before="151"/>
        <w:ind w:left="183" w:right="300"/>
        <w:jc w:val="both"/>
      </w:pPr>
      <w:r>
        <w:rPr/>
        <w:t>The structure of HE, while still relatively new in some aspects (polytechnics had only come into existence</w:t>
      </w:r>
      <w:r>
        <w:rPr>
          <w:spacing w:val="-53"/>
        </w:rPr>
        <w:t> </w:t>
      </w:r>
      <w:r>
        <w:rPr/>
        <w:t>in 1992), came under economic and political pressure at the turn of the 21</w:t>
      </w:r>
      <w:r>
        <w:rPr>
          <w:position w:val="6"/>
          <w:sz w:val="13"/>
        </w:rPr>
        <w:t>st </w:t>
      </w:r>
      <w:r>
        <w:rPr/>
        <w:t>century. This pressure was</w:t>
      </w:r>
      <w:r>
        <w:rPr>
          <w:spacing w:val="1"/>
        </w:rPr>
        <w:t> </w:t>
      </w:r>
      <w:r>
        <w:rPr/>
        <w:t>largely external to the education system itself, driven by the growing importance of globalisation within</w:t>
      </w:r>
      <w:r>
        <w:rPr>
          <w:spacing w:val="1"/>
        </w:rPr>
        <w:t> </w:t>
      </w:r>
      <w:r>
        <w:rPr/>
        <w:t>western economies – countries in Europe and around the world were becoming increasingly connected</w:t>
      </w:r>
      <w:r>
        <w:rPr>
          <w:spacing w:val="1"/>
        </w:rPr>
        <w:t> </w:t>
      </w:r>
      <w:r>
        <w:rPr/>
        <w:t>and interdependent as corporate multinationalism, and increasing global labour market fluidity began to</w:t>
      </w:r>
      <w:r>
        <w:rPr>
          <w:spacing w:val="1"/>
        </w:rPr>
        <w:t> </w:t>
      </w:r>
      <w:r>
        <w:rPr>
          <w:spacing w:val="-1"/>
        </w:rPr>
        <w:t>impact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behaviours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national</w:t>
      </w:r>
      <w:r>
        <w:rPr>
          <w:spacing w:val="-12"/>
        </w:rPr>
        <w:t> </w:t>
      </w:r>
      <w:r>
        <w:rPr>
          <w:spacing w:val="-1"/>
        </w:rPr>
        <w:t>economies.</w:t>
      </w:r>
      <w:r>
        <w:rPr>
          <w:spacing w:val="-13"/>
        </w:rPr>
        <w:t> </w:t>
      </w:r>
      <w:r>
        <w:rPr>
          <w:spacing w:val="-1"/>
        </w:rPr>
        <w:t>Finland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>
          <w:spacing w:val="-1"/>
        </w:rPr>
        <w:t>seeking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become</w:t>
      </w:r>
      <w:r>
        <w:rPr>
          <w:spacing w:val="-16"/>
        </w:rPr>
        <w:t> </w:t>
      </w:r>
      <w:r>
        <w:rPr/>
        <w:t>more</w:t>
      </w:r>
      <w:r>
        <w:rPr>
          <w:spacing w:val="-14"/>
        </w:rPr>
        <w:t> </w:t>
      </w:r>
      <w:r>
        <w:rPr/>
        <w:t>competitive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global</w:t>
      </w:r>
      <w:r>
        <w:rPr>
          <w:spacing w:val="1"/>
        </w:rPr>
        <w:t> </w:t>
      </w:r>
      <w:r>
        <w:rPr/>
        <w:t>scale, to diversify its economy away from low value-added sectors such as natural resource extraction,</w:t>
      </w:r>
      <w:r>
        <w:rPr>
          <w:spacing w:val="1"/>
        </w:rPr>
        <w:t> </w:t>
      </w:r>
      <w:r>
        <w:rPr>
          <w:position w:val="1"/>
        </w:rPr>
        <w:t>and to spur innovation (Kallo, 2009</w:t>
      </w:r>
      <w:r>
        <w:rPr>
          <w:sz w:val="13"/>
        </w:rPr>
        <w:t>[37]</w:t>
      </w:r>
      <w:r>
        <w:rPr>
          <w:position w:val="1"/>
        </w:rPr>
        <w:t>). The country saw its future growth in the then-booming information</w:t>
      </w:r>
      <w:r>
        <w:rPr>
          <w:spacing w:val="-53"/>
          <w:position w:val="1"/>
        </w:rPr>
        <w:t> </w:t>
      </w:r>
      <w:r>
        <w:rPr/>
        <w:t>technology (IT) sector – headed up by the global telecommunications company, Nokia – and other areas</w:t>
      </w:r>
      <w:r>
        <w:rPr>
          <w:spacing w:val="1"/>
        </w:rPr>
        <w:t> </w:t>
      </w:r>
      <w:r>
        <w:rPr/>
        <w:t>where growth would be driven by scientific and technology innovation as well as advanced human capital</w:t>
      </w:r>
      <w:r>
        <w:rPr>
          <w:spacing w:val="-53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[29]</w:t>
      </w:r>
      <w:r>
        <w:rPr>
          <w:position w:val="1"/>
        </w:rPr>
        <w:t>)</w:t>
      </w:r>
    </w:p>
    <w:p>
      <w:pPr>
        <w:pStyle w:val="BodyText"/>
        <w:spacing w:line="271" w:lineRule="auto" w:before="123"/>
        <w:ind w:left="183" w:right="301"/>
        <w:jc w:val="both"/>
      </w:pPr>
      <w:r>
        <w:rPr/>
        <w:t>This</w:t>
      </w:r>
      <w:r>
        <w:rPr>
          <w:spacing w:val="-4"/>
        </w:rPr>
        <w:t> </w:t>
      </w:r>
      <w:r>
        <w:rPr/>
        <w:t>view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further</w:t>
      </w:r>
      <w:r>
        <w:rPr>
          <w:spacing w:val="-5"/>
        </w:rPr>
        <w:t> </w:t>
      </w:r>
      <w:r>
        <w:rPr/>
        <w:t>informed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recession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1990s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highlighted</w:t>
      </w:r>
      <w:r>
        <w:rPr>
          <w:spacing w:val="-5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weaknesses in Finland’s economy, such as dependence on fluctuating natural resource prices and a</w:t>
      </w:r>
      <w:r>
        <w:rPr>
          <w:spacing w:val="1"/>
        </w:rPr>
        <w:t> </w:t>
      </w:r>
      <w:r>
        <w:rPr/>
        <w:t>reliance on trade with a small number of neighbouring countries, including the Russian Federation</w:t>
      </w:r>
      <w:r>
        <w:rPr>
          <w:spacing w:val="1"/>
        </w:rPr>
        <w:t> </w:t>
      </w:r>
      <w:r>
        <w:rPr>
          <w:position w:val="1"/>
        </w:rPr>
        <w:t>(Välimaa, 2012</w:t>
      </w:r>
      <w:r>
        <w:rPr>
          <w:sz w:val="13"/>
        </w:rPr>
        <w:t>[38]</w:t>
      </w:r>
      <w:r>
        <w:rPr>
          <w:position w:val="1"/>
        </w:rPr>
        <w:t>). The public discourse increasingly focused on the HE sector as a key part of a</w:t>
      </w:r>
      <w:r>
        <w:rPr>
          <w:spacing w:val="1"/>
          <w:position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collaboration with industry and striving for the development of globally recognised institutions (Nokkala,</w:t>
      </w:r>
      <w:r>
        <w:rPr>
          <w:spacing w:val="1"/>
        </w:rPr>
        <w:t> </w:t>
      </w:r>
      <w:r>
        <w:rPr>
          <w:position w:val="1"/>
        </w:rPr>
        <w:t>Välimaa and Westerheijden, 2016</w:t>
      </w:r>
      <w:r>
        <w:rPr>
          <w:sz w:val="13"/>
        </w:rPr>
        <w:t>[39]</w:t>
      </w:r>
      <w:r>
        <w:rPr>
          <w:position w:val="1"/>
        </w:rPr>
        <w:t>). Stakeholders interviewed by the OECD team emphasised the</w:t>
      </w:r>
      <w:r>
        <w:rPr>
          <w:spacing w:val="1"/>
          <w:position w:val="1"/>
        </w:rPr>
        <w:t> </w:t>
      </w:r>
      <w:r>
        <w:rPr/>
        <w:t>significant degree to which these priorities were advanced by many sectors of society, including the HE</w:t>
      </w:r>
      <w:r>
        <w:rPr>
          <w:spacing w:val="1"/>
        </w:rPr>
        <w:t> </w:t>
      </w:r>
      <w:r>
        <w:rPr/>
        <w:t>sector itself, as well as industry and members of parliament from multiple political parties. This form of</w:t>
      </w:r>
      <w:r>
        <w:rPr>
          <w:spacing w:val="1"/>
        </w:rPr>
        <w:t> </w:t>
      </w:r>
      <w:r>
        <w:rPr/>
        <w:t>multi-sector</w:t>
      </w:r>
      <w:r>
        <w:rPr>
          <w:spacing w:val="-9"/>
        </w:rPr>
        <w:t> </w:t>
      </w:r>
      <w:r>
        <w:rPr/>
        <w:t>external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internal</w:t>
      </w:r>
      <w:r>
        <w:rPr>
          <w:spacing w:val="-8"/>
        </w:rPr>
        <w:t> </w:t>
      </w:r>
      <w:r>
        <w:rPr/>
        <w:t>drive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policy</w:t>
      </w:r>
      <w:r>
        <w:rPr>
          <w:spacing w:val="-12"/>
        </w:rPr>
        <w:t> </w:t>
      </w:r>
      <w:r>
        <w:rPr/>
        <w:t>change</w:t>
      </w:r>
      <w:r>
        <w:rPr>
          <w:spacing w:val="-9"/>
        </w:rPr>
        <w:t> </w:t>
      </w:r>
      <w:r>
        <w:rPr/>
        <w:t>built</w:t>
      </w:r>
      <w:r>
        <w:rPr>
          <w:spacing w:val="-8"/>
        </w:rPr>
        <w:t> </w:t>
      </w:r>
      <w:r>
        <w:rPr/>
        <w:t>considerable</w:t>
      </w:r>
      <w:r>
        <w:rPr>
          <w:spacing w:val="-9"/>
        </w:rPr>
        <w:t> </w:t>
      </w:r>
      <w:r>
        <w:rPr/>
        <w:t>momentum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galvanised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action.</w:t>
      </w:r>
    </w:p>
    <w:p>
      <w:pPr>
        <w:pStyle w:val="BodyText"/>
        <w:spacing w:line="271" w:lineRule="auto" w:before="120"/>
        <w:ind w:left="183" w:right="299"/>
        <w:jc w:val="both"/>
      </w:pP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these</w:t>
      </w:r>
      <w:r>
        <w:rPr>
          <w:spacing w:val="-11"/>
        </w:rPr>
        <w:t> </w:t>
      </w:r>
      <w:r>
        <w:rPr>
          <w:spacing w:val="-1"/>
        </w:rPr>
        <w:t>conversations</w:t>
      </w:r>
      <w:r>
        <w:rPr>
          <w:spacing w:val="-8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taking</w:t>
      </w:r>
      <w:r>
        <w:rPr>
          <w:spacing w:val="-10"/>
        </w:rPr>
        <w:t> </w:t>
      </w:r>
      <w:r>
        <w:rPr>
          <w:spacing w:val="-1"/>
        </w:rPr>
        <w:t>place</w:t>
      </w:r>
      <w:r>
        <w:rPr>
          <w:spacing w:val="-13"/>
        </w:rPr>
        <w:t> </w:t>
      </w:r>
      <w:r>
        <w:rPr>
          <w:spacing w:val="-1"/>
        </w:rPr>
        <w:t>among</w:t>
      </w:r>
      <w:r>
        <w:rPr>
          <w:spacing w:val="-9"/>
        </w:rPr>
        <w:t> </w:t>
      </w:r>
      <w:r>
        <w:rPr>
          <w:spacing w:val="-1"/>
        </w:rPr>
        <w:t>stakeholders,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HE</w:t>
      </w:r>
      <w:r>
        <w:rPr>
          <w:spacing w:val="-14"/>
        </w:rPr>
        <w:t> </w:t>
      </w:r>
      <w:r>
        <w:rPr/>
        <w:t>sector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going</w:t>
      </w:r>
      <w:r>
        <w:rPr>
          <w:spacing w:val="-14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 reform resulting from another external factor: Finland’s participation in the Bologna process, the pan-</w:t>
      </w:r>
      <w:r>
        <w:rPr>
          <w:spacing w:val="1"/>
        </w:rPr>
        <w:t> </w:t>
      </w:r>
      <w:r>
        <w:rPr>
          <w:spacing w:val="-1"/>
        </w:rPr>
        <w:t>European</w:t>
      </w:r>
      <w:r>
        <w:rPr>
          <w:spacing w:val="-9"/>
        </w:rPr>
        <w:t> </w:t>
      </w:r>
      <w:r>
        <w:rPr>
          <w:spacing w:val="-1"/>
        </w:rPr>
        <w:t>initiative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harmonise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structure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HE</w:t>
      </w:r>
      <w:r>
        <w:rPr>
          <w:spacing w:val="-9"/>
        </w:rPr>
        <w:t> </w:t>
      </w:r>
      <w:r>
        <w:rPr>
          <w:spacing w:val="-1"/>
        </w:rPr>
        <w:t>launched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1998-99.</w:t>
      </w:r>
      <w:r>
        <w:rPr>
          <w:spacing w:val="-11"/>
        </w:rPr>
        <w:t> </w:t>
      </w:r>
      <w:r>
        <w:rPr/>
        <w:t>This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particularly</w:t>
      </w:r>
      <w:r>
        <w:rPr>
          <w:spacing w:val="-14"/>
        </w:rPr>
        <w:t> </w:t>
      </w:r>
      <w:r>
        <w:rPr/>
        <w:t>disruptive</w:t>
      </w:r>
      <w:r>
        <w:rPr>
          <w:spacing w:val="1"/>
        </w:rPr>
        <w:t> </w:t>
      </w:r>
      <w:r>
        <w:rPr/>
        <w:t>process in Finland, which, at the time, did not use the structure promoted through the Bologna process</w:t>
      </w:r>
      <w:r>
        <w:rPr>
          <w:spacing w:val="1"/>
        </w:rPr>
        <w:t> </w:t>
      </w:r>
      <w:r>
        <w:rPr>
          <w:spacing w:val="-1"/>
        </w:rPr>
        <w:t>(bachelor’s</w:t>
      </w:r>
      <w:r>
        <w:rPr>
          <w:spacing w:val="-10"/>
        </w:rPr>
        <w:t> </w:t>
      </w:r>
      <w:r>
        <w:rPr>
          <w:spacing w:val="-1"/>
        </w:rPr>
        <w:t>degrees,</w:t>
      </w:r>
      <w:r>
        <w:rPr>
          <w:spacing w:val="-10"/>
        </w:rPr>
        <w:t> </w:t>
      </w:r>
      <w:r>
        <w:rPr/>
        <w:t>followed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post-graduate</w:t>
      </w:r>
      <w:r>
        <w:rPr>
          <w:spacing w:val="-11"/>
        </w:rPr>
        <w:t> </w:t>
      </w:r>
      <w:r>
        <w:rPr/>
        <w:t>study</w:t>
      </w:r>
      <w:r>
        <w:rPr>
          <w:spacing w:val="-14"/>
        </w:rPr>
        <w:t> </w:t>
      </w:r>
      <w:r>
        <w:rPr/>
        <w:t>at</w:t>
      </w:r>
      <w:r>
        <w:rPr>
          <w:spacing w:val="-10"/>
        </w:rPr>
        <w:t> </w:t>
      </w:r>
      <w:r>
        <w:rPr/>
        <w:t>master’s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doctoral</w:t>
      </w:r>
      <w:r>
        <w:rPr>
          <w:spacing w:val="-11"/>
        </w:rPr>
        <w:t> </w:t>
      </w:r>
      <w:r>
        <w:rPr/>
        <w:t>level)</w:t>
      </w:r>
      <w:r>
        <w:rPr>
          <w:spacing w:val="-7"/>
        </w:rPr>
        <w:t> </w:t>
      </w:r>
      <w:r>
        <w:rPr/>
        <w:t>across</w:t>
      </w:r>
      <w:r>
        <w:rPr>
          <w:spacing w:val="-9"/>
        </w:rPr>
        <w:t> </w:t>
      </w:r>
      <w:r>
        <w:rPr/>
        <w:t>all</w:t>
      </w:r>
      <w:r>
        <w:rPr>
          <w:spacing w:val="-11"/>
        </w:rPr>
        <w:t> </w:t>
      </w:r>
      <w:r>
        <w:rPr/>
        <w:t>subject</w:t>
      </w:r>
      <w:r>
        <w:rPr>
          <w:spacing w:val="-9"/>
        </w:rPr>
        <w:t> </w:t>
      </w:r>
      <w:r>
        <w:rPr/>
        <w:t>areas</w:t>
      </w:r>
      <w:r>
        <w:rPr>
          <w:spacing w:val="1"/>
        </w:rPr>
        <w:t> </w:t>
      </w:r>
      <w:r>
        <w:rPr>
          <w:position w:val="1"/>
        </w:rPr>
        <w:t>(Välimaa, Hoffman and Huusko, 2007</w:t>
      </w:r>
      <w:r>
        <w:rPr>
          <w:sz w:val="13"/>
        </w:rPr>
        <w:t>[40]</w:t>
      </w:r>
      <w:r>
        <w:rPr>
          <w:position w:val="1"/>
        </w:rPr>
        <w:t>). Master’s degrees could take up to ten years to complete and</w:t>
      </w:r>
      <w:r>
        <w:rPr>
          <w:spacing w:val="1"/>
          <w:position w:val="1"/>
        </w:rPr>
        <w:t> </w:t>
      </w:r>
      <w:r>
        <w:rPr/>
        <w:t>were predominantly part-time. Bachelor’s degrees also took longer than the three to four-year common</w:t>
      </w:r>
      <w:r>
        <w:rPr>
          <w:spacing w:val="1"/>
        </w:rPr>
        <w:t> </w:t>
      </w:r>
      <w:r>
        <w:rPr/>
        <w:t>international standard. In addition, for employers, a bachelor’s degree was seen as a preliminary step</w:t>
      </w:r>
      <w:r>
        <w:rPr>
          <w:spacing w:val="1"/>
        </w:rPr>
        <w:t> </w:t>
      </w:r>
      <w:r>
        <w:rPr/>
        <w:t>towards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master’s</w:t>
      </w:r>
      <w:r>
        <w:rPr>
          <w:spacing w:val="-9"/>
        </w:rPr>
        <w:t> </w:t>
      </w:r>
      <w:r>
        <w:rPr/>
        <w:t>degree,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rarely</w:t>
      </w:r>
      <w:r>
        <w:rPr>
          <w:spacing w:val="-12"/>
        </w:rPr>
        <w:t> </w:t>
      </w:r>
      <w:r>
        <w:rPr/>
        <w:t>recognised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qualification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own</w:t>
      </w:r>
      <w:r>
        <w:rPr>
          <w:spacing w:val="-9"/>
        </w:rPr>
        <w:t> </w:t>
      </w:r>
      <w:r>
        <w:rPr/>
        <w:t>right,</w:t>
      </w:r>
      <w:r>
        <w:rPr>
          <w:spacing w:val="-8"/>
        </w:rPr>
        <w:t> </w:t>
      </w:r>
      <w:r>
        <w:rPr/>
        <w:t>failing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overcome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1"/>
        </w:rPr>
        <w:t>“barrier to entry” for a career within various industries (OECD, 2009</w:t>
      </w:r>
      <w:r>
        <w:rPr>
          <w:sz w:val="13"/>
        </w:rPr>
        <w:t>[41]</w:t>
      </w:r>
      <w:r>
        <w:rPr>
          <w:position w:val="1"/>
        </w:rPr>
        <w:t>). Sector stakeholders interviewed</w:t>
      </w:r>
      <w:r>
        <w:rPr>
          <w:spacing w:val="1"/>
          <w:position w:val="1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OECD</w:t>
      </w:r>
      <w:r>
        <w:rPr>
          <w:spacing w:val="-8"/>
        </w:rPr>
        <w:t> </w:t>
      </w:r>
      <w:r>
        <w:rPr/>
        <w:t>team</w:t>
      </w:r>
      <w:r>
        <w:rPr>
          <w:spacing w:val="-4"/>
        </w:rPr>
        <w:t> </w:t>
      </w:r>
      <w:r>
        <w:rPr/>
        <w:t>confirmed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low</w:t>
      </w:r>
      <w:r>
        <w:rPr>
          <w:spacing w:val="-8"/>
        </w:rPr>
        <w:t> </w:t>
      </w:r>
      <w:r>
        <w:rPr/>
        <w:t>labour</w:t>
      </w:r>
      <w:r>
        <w:rPr>
          <w:spacing w:val="-8"/>
        </w:rPr>
        <w:t> </w:t>
      </w:r>
      <w:r>
        <w:rPr/>
        <w:t>market</w:t>
      </w:r>
      <w:r>
        <w:rPr>
          <w:spacing w:val="-9"/>
        </w:rPr>
        <w:t> </w:t>
      </w:r>
      <w:r>
        <w:rPr/>
        <w:t>acceptance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bachelor’s</w:t>
      </w:r>
      <w:r>
        <w:rPr>
          <w:spacing w:val="-8"/>
        </w:rPr>
        <w:t> </w:t>
      </w:r>
      <w:r>
        <w:rPr/>
        <w:t>degrees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Finland</w:t>
      </w:r>
      <w:r>
        <w:rPr>
          <w:spacing w:val="-9"/>
        </w:rPr>
        <w:t> </w:t>
      </w:r>
      <w:r>
        <w:rPr/>
        <w:t>remains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ongoing area</w:t>
      </w:r>
      <w:r>
        <w:rPr>
          <w:spacing w:val="1"/>
        </w:rPr>
        <w:t> </w:t>
      </w:r>
      <w:r>
        <w:rPr/>
        <w:t>of discussion,</w:t>
      </w:r>
      <w:r>
        <w:rPr>
          <w:spacing w:val="-2"/>
        </w:rPr>
        <w:t> </w:t>
      </w:r>
      <w:r>
        <w:rPr/>
        <w:t>and one largely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tackled</w:t>
      </w:r>
      <w:r>
        <w:rPr>
          <w:spacing w:val="-2"/>
        </w:rPr>
        <w:t> </w:t>
      </w:r>
      <w:r>
        <w:rPr/>
        <w:t>by</w:t>
      </w:r>
      <w:r>
        <w:rPr>
          <w:spacing w:val="1"/>
        </w:rPr>
        <w:t> </w:t>
      </w:r>
      <w:r>
        <w:rPr/>
        <w:t>reforms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date.</w:t>
      </w:r>
    </w:p>
    <w:p>
      <w:pPr>
        <w:pStyle w:val="BodyText"/>
        <w:spacing w:line="271" w:lineRule="auto" w:before="122"/>
        <w:ind w:left="183" w:right="302"/>
        <w:jc w:val="both"/>
      </w:pPr>
      <w:r>
        <w:rPr/>
        <w:t>Within Finland, the degree structure was seen as one of a set of impediments to internationalisation. A</w:t>
      </w:r>
      <w:r>
        <w:rPr>
          <w:spacing w:val="1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concern</w:t>
      </w:r>
      <w:r>
        <w:rPr>
          <w:spacing w:val="-11"/>
        </w:rPr>
        <w:t> </w:t>
      </w:r>
      <w:r>
        <w:rPr/>
        <w:t>surrounded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career</w:t>
      </w:r>
      <w:r>
        <w:rPr>
          <w:spacing w:val="-11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at</w:t>
      </w:r>
      <w:r>
        <w:rPr>
          <w:spacing w:val="-6"/>
        </w:rPr>
        <w:t> </w:t>
      </w:r>
      <w:r>
        <w:rPr/>
        <w:t>HEIs.</w:t>
      </w:r>
      <w:r>
        <w:rPr>
          <w:spacing w:val="-9"/>
        </w:rPr>
        <w:t> </w:t>
      </w:r>
      <w:r>
        <w:rPr/>
        <w:t>Pre-reform,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Finnish</w:t>
      </w:r>
      <w:r>
        <w:rPr>
          <w:spacing w:val="-9"/>
        </w:rPr>
        <w:t> </w:t>
      </w:r>
      <w:r>
        <w:rPr/>
        <w:t>HEIs</w:t>
      </w:r>
      <w:r>
        <w:rPr>
          <w:spacing w:val="-8"/>
        </w:rPr>
        <w:t> </w:t>
      </w:r>
      <w:r>
        <w:rPr/>
        <w:t>offered</w:t>
      </w:r>
      <w:r>
        <w:rPr>
          <w:spacing w:val="-53"/>
        </w:rPr>
        <w:t> </w:t>
      </w:r>
      <w:r>
        <w:rPr/>
        <w:t>tenure tracks with a guaranteed availability of merit-based promotion opportunity to staff; all staff were on</w:t>
      </w:r>
      <w:r>
        <w:rPr>
          <w:spacing w:val="-53"/>
        </w:rPr>
        <w:t> </w:t>
      </w:r>
      <w:r>
        <w:rPr/>
        <w:t>public service contracts in which availability of promotions could be dependent on retirements. Multiple</w:t>
      </w:r>
      <w:r>
        <w:rPr>
          <w:spacing w:val="1"/>
        </w:rPr>
        <w:t> </w:t>
      </w:r>
      <w:r>
        <w:rPr/>
        <w:t>HEIs</w:t>
      </w:r>
      <w:r>
        <w:rPr>
          <w:spacing w:val="-4"/>
        </w:rPr>
        <w:t> </w:t>
      </w:r>
      <w:r>
        <w:rPr/>
        <w:t>now</w:t>
      </w:r>
      <w:r>
        <w:rPr>
          <w:spacing w:val="-5"/>
        </w:rPr>
        <w:t> </w:t>
      </w:r>
      <w:r>
        <w:rPr/>
        <w:t>offer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tenure</w:t>
      </w:r>
      <w:r>
        <w:rPr>
          <w:spacing w:val="-4"/>
        </w:rPr>
        <w:t> </w:t>
      </w:r>
      <w:r>
        <w:rPr/>
        <w:t>track,</w:t>
      </w:r>
      <w:r>
        <w:rPr>
          <w:spacing w:val="-4"/>
        </w:rPr>
        <w:t> </w:t>
      </w:r>
      <w:r>
        <w:rPr/>
        <w:t>however</w:t>
      </w:r>
      <w:r>
        <w:rPr>
          <w:spacing w:val="-2"/>
        </w:rPr>
        <w:t> </w:t>
      </w:r>
      <w:r>
        <w:rPr/>
        <w:t>Aalto</w:t>
      </w:r>
      <w:r>
        <w:rPr>
          <w:spacing w:val="-4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move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direction,</w:t>
      </w:r>
      <w:r>
        <w:rPr>
          <w:spacing w:val="-4"/>
        </w:rPr>
        <w:t> </w:t>
      </w:r>
      <w:r>
        <w:rPr/>
        <w:t>has</w:t>
      </w:r>
      <w:r>
        <w:rPr>
          <w:spacing w:val="1"/>
        </w:rPr>
        <w:t> </w:t>
      </w:r>
      <w:r>
        <w:rPr/>
        <w:t>adopted the most robust merit-based approach, as will be discussed. A final area of concern with respect</w:t>
      </w:r>
      <w:r>
        <w:rPr>
          <w:spacing w:val="-53"/>
        </w:rPr>
        <w:t> </w:t>
      </w:r>
      <w:r>
        <w:rPr/>
        <w:t>to</w:t>
      </w:r>
      <w:r>
        <w:rPr>
          <w:spacing w:val="-8"/>
        </w:rPr>
        <w:t> </w:t>
      </w:r>
      <w:r>
        <w:rPr/>
        <w:t>internationalisation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fact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degrees</w:t>
      </w:r>
      <w:r>
        <w:rPr>
          <w:spacing w:val="-6"/>
        </w:rPr>
        <w:t> </w:t>
      </w:r>
      <w:r>
        <w:rPr/>
        <w:t>themselves</w:t>
      </w:r>
      <w:r>
        <w:rPr>
          <w:spacing w:val="-7"/>
        </w:rPr>
        <w:t> </w:t>
      </w:r>
      <w:r>
        <w:rPr/>
        <w:t>took</w:t>
      </w:r>
      <w:r>
        <w:rPr>
          <w:spacing w:val="-4"/>
        </w:rPr>
        <w:t> </w:t>
      </w:r>
      <w:r>
        <w:rPr/>
        <w:t>far</w:t>
      </w:r>
      <w:r>
        <w:rPr>
          <w:spacing w:val="-7"/>
        </w:rPr>
        <w:t> </w:t>
      </w:r>
      <w:r>
        <w:rPr/>
        <w:t>longer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international</w:t>
      </w:r>
      <w:r>
        <w:rPr>
          <w:spacing w:val="-9"/>
        </w:rPr>
        <w:t> </w:t>
      </w:r>
      <w:r>
        <w:rPr/>
        <w:t>standard</w:t>
      </w:r>
      <w:r>
        <w:rPr>
          <w:spacing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2009</w:t>
      </w:r>
      <w:r>
        <w:rPr>
          <w:sz w:val="13"/>
        </w:rPr>
        <w:t>[41]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3"/>
        <w:jc w:val="both"/>
      </w:pP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4"/>
        </w:rPr>
        <w:t> </w:t>
      </w:r>
      <w:r>
        <w:rPr/>
        <w:t>debates</w:t>
      </w:r>
      <w:r>
        <w:rPr>
          <w:spacing w:val="-3"/>
        </w:rPr>
        <w:t> </w:t>
      </w:r>
      <w:r>
        <w:rPr/>
        <w:t>taking</w:t>
      </w:r>
      <w:r>
        <w:rPr>
          <w:spacing w:val="-4"/>
        </w:rPr>
        <w:t> </w:t>
      </w:r>
      <w:r>
        <w:rPr/>
        <w:t>place</w:t>
      </w:r>
      <w:r>
        <w:rPr>
          <w:spacing w:val="-5"/>
        </w:rPr>
        <w:t> </w:t>
      </w:r>
      <w:r>
        <w:rPr/>
        <w:t>across</w:t>
      </w:r>
      <w:r>
        <w:rPr>
          <w:spacing w:val="-3"/>
        </w:rPr>
        <w:t> </w:t>
      </w:r>
      <w:r>
        <w:rPr/>
        <w:t>wider</w:t>
      </w:r>
      <w:r>
        <w:rPr>
          <w:spacing w:val="-5"/>
        </w:rPr>
        <w:t> </w:t>
      </w:r>
      <w:r>
        <w:rPr/>
        <w:t>society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central</w:t>
      </w:r>
      <w:r>
        <w:rPr>
          <w:spacing w:val="-5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led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commissioning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two key reports that would help to guide new policy and legislation for reform of the HE sector, based on</w:t>
      </w:r>
      <w:r>
        <w:rPr>
          <w:spacing w:val="1"/>
        </w:rPr>
        <w:t> </w:t>
      </w:r>
      <w:r>
        <w:rPr/>
        <w:t>the desired outcomes: improving efficiencies of the sector, increasing national research output, driving</w:t>
      </w:r>
      <w:r>
        <w:rPr>
          <w:spacing w:val="1"/>
        </w:rPr>
        <w:t> </w:t>
      </w:r>
      <w:r>
        <w:rPr>
          <w:spacing w:val="-1"/>
        </w:rPr>
        <w:t>industry</w:t>
      </w:r>
      <w:r>
        <w:rPr>
          <w:spacing w:val="-13"/>
        </w:rPr>
        <w:t> </w:t>
      </w:r>
      <w:r>
        <w:rPr>
          <w:spacing w:val="-1"/>
        </w:rPr>
        <w:t>collaboration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striving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globally</w:t>
      </w:r>
      <w:r>
        <w:rPr>
          <w:spacing w:val="-13"/>
        </w:rPr>
        <w:t> </w:t>
      </w:r>
      <w:r>
        <w:rPr/>
        <w:t>recognised</w:t>
      </w:r>
      <w:r>
        <w:rPr>
          <w:spacing w:val="-8"/>
        </w:rPr>
        <w:t> </w:t>
      </w:r>
      <w:r>
        <w:rPr/>
        <w:t>institutions.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7"/>
        </w:rPr>
        <w:t> </w:t>
      </w:r>
      <w:r>
        <w:rPr/>
        <w:t>of</w:t>
      </w:r>
      <w:r>
        <w:rPr>
          <w:spacing w:val="4"/>
        </w:rPr>
        <w:t> </w:t>
      </w:r>
      <w:r>
        <w:rPr/>
        <w:t>these</w:t>
      </w:r>
      <w:r>
        <w:rPr>
          <w:spacing w:val="1"/>
        </w:rPr>
        <w:t> </w:t>
      </w:r>
      <w:r>
        <w:rPr/>
        <w:t>reports,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Brunila</w:t>
      </w:r>
      <w:r>
        <w:rPr>
          <w:spacing w:val="-2"/>
        </w:rPr>
        <w:t> </w:t>
      </w:r>
      <w:r>
        <w:rPr/>
        <w:t>Report,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commissioned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the Office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Prime</w:t>
      </w:r>
      <w:r>
        <w:rPr>
          <w:spacing w:val="-4"/>
        </w:rPr>
        <w:t> </w:t>
      </w:r>
      <w:r>
        <w:rPr/>
        <w:t>Minister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published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2004.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1"/>
        <w:jc w:val="both"/>
      </w:pPr>
      <w:r>
        <w:rPr/>
        <w:t>It criticised the previous policy of spreading smaller HEIs around the country, arguing that “the number of</w:t>
      </w:r>
      <w:r>
        <w:rPr>
          <w:spacing w:val="1"/>
        </w:rPr>
        <w:t> </w:t>
      </w:r>
      <w:r>
        <w:rPr/>
        <w:t>small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regionally</w:t>
      </w:r>
      <w:r>
        <w:rPr>
          <w:spacing w:val="-10"/>
        </w:rPr>
        <w:t> </w:t>
      </w:r>
      <w:r>
        <w:rPr/>
        <w:t>spread</w:t>
      </w:r>
      <w:r>
        <w:rPr>
          <w:spacing w:val="-5"/>
        </w:rPr>
        <w:t> </w:t>
      </w:r>
      <w:r>
        <w:rPr/>
        <w:t>units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inefficient</w:t>
      </w:r>
      <w:r>
        <w:rPr>
          <w:spacing w:val="-4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resources”.</w:t>
      </w:r>
      <w:r>
        <w:rPr>
          <w:spacing w:val="-6"/>
        </w:rPr>
        <w:t> </w:t>
      </w:r>
      <w:r>
        <w:rPr/>
        <w:t>Instead,</w:t>
      </w:r>
      <w:r>
        <w:rPr>
          <w:spacing w:val="-4"/>
        </w:rPr>
        <w:t> </w:t>
      </w:r>
      <w:r>
        <w:rPr/>
        <w:t>more</w:t>
      </w:r>
      <w:r>
        <w:rPr>
          <w:spacing w:val="-7"/>
        </w:rPr>
        <w:t> </w:t>
      </w:r>
      <w:r>
        <w:rPr/>
        <w:t>specialisation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form of “spearhead institutions”, and, in particular, a world-class innovation university, were needed</w:t>
      </w:r>
      <w:r>
        <w:rPr>
          <w:spacing w:val="1"/>
        </w:rPr>
        <w:t> </w:t>
      </w:r>
      <w:r>
        <w:rPr>
          <w:position w:val="1"/>
        </w:rPr>
        <w:t>(Nokkala, Välimaa and Westerheijden, 2016</w:t>
      </w:r>
      <w:r>
        <w:rPr>
          <w:sz w:val="13"/>
        </w:rPr>
        <w:t>[39]</w:t>
      </w:r>
      <w:r>
        <w:rPr>
          <w:position w:val="1"/>
        </w:rPr>
        <w:t>). The second report, produced internally by the MEDC,</w:t>
      </w:r>
      <w:r>
        <w:rPr>
          <w:spacing w:val="1"/>
          <w:position w:val="1"/>
        </w:rPr>
        <w:t> </w:t>
      </w:r>
      <w:r>
        <w:rPr/>
        <w:t>similarly criticised the existing policies, and proposed that higher education should be restructured to</w:t>
      </w:r>
      <w:r>
        <w:rPr>
          <w:spacing w:val="1"/>
        </w:rPr>
        <w:t> </w:t>
      </w:r>
      <w:r>
        <w:rPr/>
        <w:t>provide</w:t>
      </w:r>
      <w:r>
        <w:rPr>
          <w:spacing w:val="-13"/>
        </w:rPr>
        <w:t> </w:t>
      </w:r>
      <w:r>
        <w:rPr/>
        <w:t>both</w:t>
      </w:r>
      <w:r>
        <w:rPr>
          <w:spacing w:val="-12"/>
        </w:rPr>
        <w:t> </w:t>
      </w:r>
      <w:r>
        <w:rPr/>
        <w:t>regional</w:t>
      </w:r>
      <w:r>
        <w:rPr>
          <w:spacing w:val="-13"/>
        </w:rPr>
        <w:t> </w:t>
      </w:r>
      <w:r>
        <w:rPr/>
        <w:t>(teaching-oriented</w:t>
      </w:r>
      <w:r>
        <w:rPr>
          <w:spacing w:val="-11"/>
        </w:rPr>
        <w:t> </w:t>
      </w:r>
      <w:r>
        <w:rPr/>
        <w:t>universities)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global</w:t>
      </w:r>
      <w:r>
        <w:rPr>
          <w:spacing w:val="-13"/>
        </w:rPr>
        <w:t> </w:t>
      </w:r>
      <w:r>
        <w:rPr/>
        <w:t>(research-oriented)</w:t>
      </w:r>
      <w:r>
        <w:rPr>
          <w:spacing w:val="-12"/>
        </w:rPr>
        <w:t> </w:t>
      </w:r>
      <w:r>
        <w:rPr/>
        <w:t>universities</w:t>
      </w:r>
      <w:r>
        <w:rPr>
          <w:spacing w:val="-9"/>
        </w:rPr>
        <w:t> </w:t>
      </w:r>
      <w:r>
        <w:rPr/>
        <w:t>(Nokkala,</w:t>
      </w:r>
      <w:r>
        <w:rPr>
          <w:spacing w:val="1"/>
        </w:rPr>
        <w:t> </w:t>
      </w:r>
      <w:r>
        <w:rPr>
          <w:position w:val="1"/>
        </w:rPr>
        <w:t>Välimaa and Westerheijden, 2016</w:t>
      </w:r>
      <w:r>
        <w:rPr>
          <w:sz w:val="13"/>
        </w:rPr>
        <w:t>[39]</w:t>
      </w:r>
      <w:r>
        <w:rPr>
          <w:position w:val="1"/>
        </w:rPr>
        <w:t>). In 2005, the Universities Act was updated to enable universities to</w:t>
      </w:r>
      <w:r>
        <w:rPr>
          <w:spacing w:val="1"/>
          <w:position w:val="1"/>
        </w:rPr>
        <w:t> </w:t>
      </w:r>
      <w:r>
        <w:rPr/>
        <w:t>enter into consortia, a policy that provided new ways for universities to collaborate and integrate their</w:t>
      </w:r>
      <w:r>
        <w:rPr>
          <w:spacing w:val="1"/>
        </w:rPr>
        <w:t> </w:t>
      </w:r>
      <w:r>
        <w:rPr/>
        <w:t>activities:</w:t>
      </w:r>
    </w:p>
    <w:p>
      <w:pPr>
        <w:spacing w:before="148"/>
        <w:ind w:left="862" w:right="986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659851pt;width:2.2pt;height:46.45pt;mso-position-horizontal-relative:page;mso-position-vertical-relative:paragraph;z-index:15766528" coordorigin="1832,93" coordsize="44,929" path="m1875,612l1832,612,1832,1022,1875,1022,1875,612xm1875,93l1832,93,1832,381,1832,612,1875,612,1875,381,1875,93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5"/>
          <w:sz w:val="20"/>
        </w:rPr>
        <w:t>The university may have university consortia or other joint units with other universities and joint units with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polytechnics, research institutes or other public or private organisations or foundations (Ministry of Education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and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Culture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of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Finland,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2009,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p.</w:t>
      </w:r>
      <w:r>
        <w:rPr>
          <w:rFonts w:ascii="Arial"/>
          <w:i/>
          <w:spacing w:val="-6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10</w:t>
      </w:r>
      <w:r>
        <w:rPr>
          <w:rFonts w:ascii="Arial"/>
          <w:i/>
          <w:w w:val="90"/>
          <w:sz w:val="13"/>
        </w:rPr>
        <w:t>[42]</w:t>
      </w:r>
      <w:r>
        <w:rPr>
          <w:rFonts w:ascii="Arial"/>
          <w:i/>
          <w:w w:val="90"/>
          <w:position w:val="1"/>
          <w:sz w:val="20"/>
        </w:rPr>
        <w:t>),</w:t>
      </w:r>
      <w:r>
        <w:rPr>
          <w:rFonts w:ascii="Arial"/>
          <w:i/>
          <w:spacing w:val="-9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Section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27.3</w:t>
      </w:r>
    </w:p>
    <w:p>
      <w:pPr>
        <w:pStyle w:val="BodyText"/>
        <w:spacing w:before="5"/>
        <w:rPr>
          <w:rFonts w:ascii="Arial"/>
          <w:i/>
          <w:sz w:val="18"/>
        </w:rPr>
      </w:pPr>
    </w:p>
    <w:p>
      <w:pPr>
        <w:pStyle w:val="BodyText"/>
        <w:spacing w:line="271" w:lineRule="auto" w:before="1"/>
        <w:ind w:left="183" w:right="299"/>
        <w:jc w:val="both"/>
      </w:pPr>
      <w:r>
        <w:rPr/>
        <w:t>This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legislation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ways</w:t>
      </w:r>
      <w:r>
        <w:rPr>
          <w:spacing w:val="-4"/>
        </w:rPr>
        <w:t> </w:t>
      </w:r>
      <w:r>
        <w:rPr/>
        <w:t>lay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groundwork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more</w:t>
      </w:r>
      <w:r>
        <w:rPr>
          <w:spacing w:val="-5"/>
        </w:rPr>
        <w:t> </w:t>
      </w:r>
      <w:r>
        <w:rPr/>
        <w:t>substantial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formal</w:t>
      </w:r>
      <w:r>
        <w:rPr>
          <w:spacing w:val="1"/>
        </w:rPr>
        <w:t> </w:t>
      </w:r>
      <w:r>
        <w:rPr/>
        <w:t>mergers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would</w:t>
      </w:r>
      <w:r>
        <w:rPr>
          <w:spacing w:val="-11"/>
        </w:rPr>
        <w:t> </w:t>
      </w:r>
      <w:r>
        <w:rPr/>
        <w:t>follow.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practice,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consortia</w:t>
      </w:r>
      <w:r>
        <w:rPr>
          <w:spacing w:val="-13"/>
        </w:rPr>
        <w:t> </w:t>
      </w:r>
      <w:r>
        <w:rPr/>
        <w:t>model</w:t>
      </w:r>
      <w:r>
        <w:rPr>
          <w:spacing w:val="-13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develop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series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“university</w:t>
      </w:r>
      <w:r>
        <w:rPr>
          <w:spacing w:val="1"/>
        </w:rPr>
        <w:t> </w:t>
      </w:r>
      <w:r>
        <w:rPr/>
        <w:t>centres” – consortia of universities in six regions across the country that aim to improve the HE offerings</w:t>
      </w:r>
      <w:r>
        <w:rPr>
          <w:spacing w:val="1"/>
        </w:rPr>
        <w:t> </w:t>
      </w:r>
      <w:r>
        <w:rPr>
          <w:position w:val="1"/>
        </w:rPr>
        <w:t>to less well-served communities (Vartiainen, 2016</w:t>
      </w:r>
      <w:r>
        <w:rPr>
          <w:sz w:val="13"/>
        </w:rPr>
        <w:t>[43]</w:t>
      </w:r>
      <w:r>
        <w:rPr>
          <w:position w:val="1"/>
        </w:rPr>
        <w:t>). One of the most prominent of these projects has</w:t>
      </w:r>
      <w:r>
        <w:rPr>
          <w:spacing w:val="1"/>
          <w:position w:val="1"/>
        </w:rPr>
        <w:t> </w:t>
      </w:r>
      <w:r>
        <w:rPr/>
        <w:t>been the University Consortium of Pori, developed by the University of Turku, Aalto University, Tampere</w:t>
      </w:r>
      <w:r>
        <w:rPr>
          <w:spacing w:val="1"/>
        </w:rPr>
        <w:t> </w:t>
      </w:r>
      <w:r>
        <w:rPr/>
        <w:t>University of Technology and University of Tampere, and located in the city of Pori in western Finland</w:t>
      </w:r>
      <w:r>
        <w:rPr>
          <w:spacing w:val="1"/>
        </w:rPr>
        <w:t> </w:t>
      </w:r>
      <w:r>
        <w:rPr>
          <w:position w:val="1"/>
        </w:rPr>
        <w:t>(University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Turku,</w:t>
      </w:r>
      <w:r>
        <w:rPr>
          <w:spacing w:val="-2"/>
          <w:position w:val="1"/>
        </w:rPr>
        <w:t> </w:t>
      </w:r>
      <w:r>
        <w:rPr>
          <w:position w:val="1"/>
        </w:rPr>
        <w:t>n.d.</w:t>
      </w:r>
      <w:r>
        <w:rPr>
          <w:sz w:val="13"/>
        </w:rPr>
        <w:t>[44]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6"/>
        <w:jc w:val="both"/>
      </w:pPr>
      <w:r>
        <w:rPr/>
        <w:t>In 2005, the government officially called for large-scale reforms of what was termed the “innovation</w:t>
      </w:r>
      <w:r>
        <w:rPr>
          <w:spacing w:val="1"/>
        </w:rPr>
        <w:t> </w:t>
      </w:r>
      <w:r>
        <w:rPr/>
        <w:t>system”, which included the higher education sector and the public research system (which was driven</w:t>
      </w:r>
      <w:r>
        <w:rPr>
          <w:spacing w:val="1"/>
        </w:rPr>
        <w:t> </w:t>
      </w:r>
      <w:r>
        <w:rPr/>
        <w:t>primarily through universities). This call for change came directly from the Prime Minister’s Office. The</w:t>
      </w:r>
      <w:r>
        <w:rPr>
          <w:spacing w:val="1"/>
        </w:rPr>
        <w:t> </w:t>
      </w:r>
      <w:r>
        <w:rPr/>
        <w:t>proposed reforms contained provisions for a restructuring of the higher education sector, which would be</w:t>
      </w:r>
      <w:r>
        <w:rPr>
          <w:spacing w:val="1"/>
        </w:rPr>
        <w:t> </w:t>
      </w:r>
      <w:r>
        <w:rPr/>
        <w:t>executed by the MEDC. At this point, there were no legislative changes, but rather, the process began</w:t>
      </w:r>
      <w:r>
        <w:rPr>
          <w:spacing w:val="1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series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white</w:t>
      </w:r>
      <w:r>
        <w:rPr>
          <w:spacing w:val="-2"/>
        </w:rPr>
        <w:t> </w:t>
      </w:r>
      <w:r>
        <w:rPr/>
        <w:t>papers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direct</w:t>
      </w:r>
      <w:r>
        <w:rPr>
          <w:spacing w:val="-3"/>
        </w:rPr>
        <w:t> </w:t>
      </w:r>
      <w:r>
        <w:rPr/>
        <w:t>engagements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polytechnics.</w:t>
      </w:r>
    </w:p>
    <w:p>
      <w:pPr>
        <w:pStyle w:val="BodyText"/>
        <w:spacing w:line="271" w:lineRule="auto" w:before="121"/>
        <w:ind w:left="183" w:right="303"/>
        <w:jc w:val="both"/>
      </w:pPr>
      <w:r>
        <w:rPr/>
        <w:t>At the heart of this effort was an overriding policy aim of “creat[ing] a high-quality university system, able</w:t>
      </w:r>
      <w:r>
        <w:rPr>
          <w:spacing w:val="1"/>
        </w:rPr>
        <w:t> </w:t>
      </w:r>
      <w:r>
        <w:rPr/>
        <w:t>to compete internationally at the top level in Finland’s specified areas of expertise, while allowing for the</w:t>
      </w:r>
      <w:r>
        <w:rPr>
          <w:spacing w:val="1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new</w:t>
      </w:r>
      <w:r>
        <w:rPr>
          <w:spacing w:val="-5"/>
        </w:rPr>
        <w:t> </w:t>
      </w:r>
      <w:r>
        <w:rPr/>
        <w:t>emerging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areas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initiatives.”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sector</w:t>
      </w:r>
      <w:r>
        <w:rPr>
          <w:spacing w:val="-5"/>
        </w:rPr>
        <w:t> </w:t>
      </w:r>
      <w:r>
        <w:rPr/>
        <w:t>was</w:t>
      </w:r>
      <w:r>
        <w:rPr>
          <w:spacing w:val="1"/>
        </w:rPr>
        <w:t> </w:t>
      </w:r>
      <w:r>
        <w:rPr/>
        <w:t>one part of the wider innovation system, the reform process also strived to ensure that “[research] fields</w:t>
      </w:r>
      <w:r>
        <w:rPr>
          <w:spacing w:val="1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economy,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society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citizen</w:t>
      </w:r>
      <w:r>
        <w:rPr>
          <w:spacing w:val="-6"/>
        </w:rPr>
        <w:t> </w:t>
      </w:r>
      <w:r>
        <w:rPr/>
        <w:t>welfare”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prioritised</w:t>
      </w:r>
      <w:r>
        <w:rPr>
          <w:spacing w:val="-8"/>
        </w:rPr>
        <w:t> </w:t>
      </w:r>
      <w:r>
        <w:rPr/>
        <w:t>as</w:t>
      </w:r>
      <w:r>
        <w:rPr>
          <w:spacing w:val="1"/>
        </w:rPr>
        <w:t> </w:t>
      </w:r>
      <w:r>
        <w:rPr>
          <w:position w:val="1"/>
        </w:rPr>
        <w:t>part of this effort (Nokkala, Välimaa and Westerheijden, 2016</w:t>
      </w:r>
      <w:r>
        <w:rPr>
          <w:sz w:val="13"/>
        </w:rPr>
        <w:t>[39]</w:t>
      </w:r>
      <w:r>
        <w:rPr>
          <w:position w:val="1"/>
        </w:rPr>
        <w:t>). Key to this was a drive to skill the</w:t>
      </w:r>
      <w:r>
        <w:rPr>
          <w:spacing w:val="1"/>
          <w:position w:val="1"/>
        </w:rPr>
        <w:t> </w:t>
      </w:r>
      <w:r>
        <w:rPr/>
        <w:t>workforce and publish research that drives innovation and economic growth (Nokkala, Välimaa and</w:t>
      </w:r>
      <w:r>
        <w:rPr>
          <w:spacing w:val="1"/>
        </w:rPr>
        <w:t> </w:t>
      </w:r>
      <w:r>
        <w:rPr>
          <w:position w:val="1"/>
        </w:rPr>
        <w:t>Westerheijden,</w:t>
      </w:r>
      <w:r>
        <w:rPr>
          <w:spacing w:val="1"/>
          <w:position w:val="1"/>
        </w:rPr>
        <w:t> </w:t>
      </w:r>
      <w:r>
        <w:rPr>
          <w:position w:val="1"/>
        </w:rPr>
        <w:t>2016</w:t>
      </w:r>
      <w:r>
        <w:rPr>
          <w:sz w:val="13"/>
        </w:rPr>
        <w:t>[39]</w:t>
      </w:r>
      <w:r>
        <w:rPr>
          <w:position w:val="1"/>
        </w:rPr>
        <w:t>).</w:t>
      </w:r>
      <w:r>
        <w:rPr>
          <w:spacing w:val="1"/>
          <w:position w:val="1"/>
        </w:rPr>
        <w:t> </w:t>
      </w:r>
      <w:r>
        <w:rPr>
          <w:position w:val="1"/>
        </w:rPr>
        <w:t>This</w:t>
      </w:r>
      <w:r>
        <w:rPr>
          <w:spacing w:val="1"/>
          <w:position w:val="1"/>
        </w:rPr>
        <w:t> </w:t>
      </w:r>
      <w:r>
        <w:rPr>
          <w:position w:val="1"/>
        </w:rPr>
        <w:t>approach</w:t>
      </w:r>
      <w:r>
        <w:rPr>
          <w:spacing w:val="1"/>
          <w:position w:val="1"/>
        </w:rPr>
        <w:t> </w:t>
      </w:r>
      <w:r>
        <w:rPr>
          <w:position w:val="1"/>
        </w:rPr>
        <w:t>created,</w:t>
      </w:r>
      <w:r>
        <w:rPr>
          <w:spacing w:val="1"/>
          <w:position w:val="1"/>
        </w:rPr>
        <w:t> </w:t>
      </w:r>
      <w:r>
        <w:rPr>
          <w:position w:val="1"/>
        </w:rPr>
        <w:t>in</w:t>
      </w:r>
      <w:r>
        <w:rPr>
          <w:spacing w:val="1"/>
          <w:position w:val="1"/>
        </w:rPr>
        <w:t> </w:t>
      </w:r>
      <w:r>
        <w:rPr>
          <w:position w:val="1"/>
        </w:rPr>
        <w:t>some</w:t>
      </w:r>
      <w:r>
        <w:rPr>
          <w:spacing w:val="1"/>
          <w:position w:val="1"/>
        </w:rPr>
        <w:t> </w:t>
      </w:r>
      <w:r>
        <w:rPr>
          <w:position w:val="1"/>
        </w:rPr>
        <w:t>sense,</w:t>
      </w:r>
      <w:r>
        <w:rPr>
          <w:spacing w:val="1"/>
          <w:position w:val="1"/>
        </w:rPr>
        <w:t> </w:t>
      </w:r>
      <w:r>
        <w:rPr>
          <w:position w:val="1"/>
        </w:rPr>
        <w:t>an</w:t>
      </w:r>
      <w:r>
        <w:rPr>
          <w:spacing w:val="1"/>
          <w:position w:val="1"/>
        </w:rPr>
        <w:t> </w:t>
      </w:r>
      <w:r>
        <w:rPr>
          <w:position w:val="1"/>
        </w:rPr>
        <w:t>overall</w:t>
      </w:r>
      <w:r>
        <w:rPr>
          <w:spacing w:val="1"/>
          <w:position w:val="1"/>
        </w:rPr>
        <w:t> </w:t>
      </w:r>
      <w:r>
        <w:rPr>
          <w:position w:val="1"/>
        </w:rPr>
        <w:t>industrial</w:t>
      </w:r>
      <w:r>
        <w:rPr>
          <w:spacing w:val="1"/>
          <w:position w:val="1"/>
        </w:rPr>
        <w:t> </w:t>
      </w:r>
      <w:r>
        <w:rPr>
          <w:position w:val="1"/>
        </w:rPr>
        <w:t>strategy that</w:t>
      </w:r>
      <w:r>
        <w:rPr>
          <w:spacing w:val="1"/>
          <w:position w:val="1"/>
        </w:rPr>
        <w:t> </w:t>
      </w:r>
      <w:r>
        <w:rPr/>
        <w:t>positioned</w:t>
      </w:r>
      <w:r>
        <w:rPr>
          <w:spacing w:val="-14"/>
        </w:rPr>
        <w:t> </w:t>
      </w:r>
      <w:r>
        <w:rPr/>
        <w:t>changes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higher</w:t>
      </w:r>
      <w:r>
        <w:rPr>
          <w:spacing w:val="-13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alongside</w:t>
      </w:r>
      <w:r>
        <w:rPr>
          <w:spacing w:val="-11"/>
        </w:rPr>
        <w:t> </w:t>
      </w:r>
      <w:r>
        <w:rPr/>
        <w:t>investments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areas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national</w:t>
      </w:r>
      <w:r>
        <w:rPr>
          <w:spacing w:val="-13"/>
        </w:rPr>
        <w:t> </w:t>
      </w:r>
      <w:r>
        <w:rPr/>
        <w:t>R&amp;D</w:t>
      </w:r>
      <w:r>
        <w:rPr>
          <w:spacing w:val="-10"/>
        </w:rPr>
        <w:t> </w:t>
      </w:r>
      <w:r>
        <w:rPr/>
        <w:t>with</w:t>
      </w:r>
      <w:r>
        <w:rPr>
          <w:spacing w:val="-13"/>
        </w:rPr>
        <w:t> </w:t>
      </w:r>
      <w:r>
        <w:rPr/>
        <w:t>sectoral</w:t>
      </w:r>
      <w:r>
        <w:rPr>
          <w:spacing w:val="1"/>
        </w:rPr>
        <w:t> </w:t>
      </w:r>
      <w:r>
        <w:rPr/>
        <w:t>investments (particular focus was paid to areas such as electronics and electrotechnology, metal and</w:t>
      </w:r>
      <w:r>
        <w:rPr>
          <w:spacing w:val="1"/>
        </w:rPr>
        <w:t> </w:t>
      </w:r>
      <w:r>
        <w:rPr>
          <w:position w:val="1"/>
        </w:rPr>
        <w:t>engineering,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forest</w:t>
      </w:r>
      <w:r>
        <w:rPr>
          <w:spacing w:val="-2"/>
          <w:position w:val="1"/>
        </w:rPr>
        <w:t> </w:t>
      </w:r>
      <w:r>
        <w:rPr>
          <w:position w:val="1"/>
        </w:rPr>
        <w:t>industry</w:t>
      </w:r>
      <w:r>
        <w:rPr>
          <w:spacing w:val="-1"/>
          <w:position w:val="1"/>
        </w:rPr>
        <w:t> </w:t>
      </w:r>
      <w:r>
        <w:rPr>
          <w:position w:val="1"/>
        </w:rPr>
        <w:t>products)</w:t>
      </w:r>
      <w:r>
        <w:rPr>
          <w:spacing w:val="1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2009</w:t>
      </w:r>
      <w:r>
        <w:rPr>
          <w:sz w:val="13"/>
        </w:rPr>
        <w:t>[41]</w:t>
      </w:r>
      <w:r>
        <w:rPr>
          <w:position w:val="1"/>
        </w:rPr>
        <w:t>).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Alongside the development of these research and policy documents driven by the national government,</w:t>
      </w:r>
      <w:r>
        <w:rPr>
          <w:spacing w:val="1"/>
        </w:rPr>
        <w:t> </w:t>
      </w:r>
      <w:r>
        <w:rPr/>
        <w:t>Finland sought advice from the OECD with respect to the structural and governance reform of the higher</w:t>
      </w:r>
      <w:r>
        <w:rPr>
          <w:spacing w:val="1"/>
        </w:rPr>
        <w:t> </w:t>
      </w:r>
      <w:r>
        <w:rPr/>
        <w:t>education system. The OECD’s 2009 report </w:t>
      </w:r>
      <w:r>
        <w:rPr>
          <w:rFonts w:ascii="Arial" w:hAnsi="Arial"/>
          <w:i/>
        </w:rPr>
        <w:t>OECD Reviews of Tertiary Education: Finland </w:t>
      </w:r>
      <w:r>
        <w:rPr/>
        <w:t>summarises</w:t>
      </w:r>
      <w:r>
        <w:rPr>
          <w:spacing w:val="1"/>
        </w:rPr>
        <w:t> </w:t>
      </w:r>
      <w:r>
        <w:rPr/>
        <w:t>much of this advice, setting out a series of recommendations across a range of higher education policy</w:t>
      </w:r>
      <w:r>
        <w:rPr>
          <w:spacing w:val="1"/>
        </w:rPr>
        <w:t> </w:t>
      </w:r>
      <w:r>
        <w:rPr/>
        <w:t>areas, including access, the role of research, implications for the global positioning of Finland's higher</w:t>
      </w:r>
      <w:r>
        <w:rPr>
          <w:spacing w:val="1"/>
        </w:rPr>
        <w:t> </w:t>
      </w:r>
      <w:r>
        <w:rPr>
          <w:position w:val="1"/>
        </w:rPr>
        <w:t>education</w:t>
      </w:r>
      <w:r>
        <w:rPr>
          <w:spacing w:val="-2"/>
          <w:position w:val="1"/>
        </w:rPr>
        <w:t> </w:t>
      </w:r>
      <w:r>
        <w:rPr>
          <w:position w:val="1"/>
        </w:rPr>
        <w:t>sector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quality</w:t>
      </w:r>
      <w:r>
        <w:rPr>
          <w:spacing w:val="-4"/>
          <w:position w:val="1"/>
        </w:rPr>
        <w:t> </w:t>
      </w:r>
      <w:r>
        <w:rPr>
          <w:position w:val="1"/>
        </w:rPr>
        <w:t>assurance (OECD,</w:t>
      </w:r>
      <w:r>
        <w:rPr>
          <w:spacing w:val="-1"/>
          <w:position w:val="1"/>
        </w:rPr>
        <w:t> </w:t>
      </w:r>
      <w:r>
        <w:rPr>
          <w:position w:val="1"/>
        </w:rPr>
        <w:t>2009</w:t>
      </w:r>
      <w:r>
        <w:rPr>
          <w:sz w:val="13"/>
        </w:rPr>
        <w:t>[41]</w:t>
      </w:r>
      <w:r>
        <w:rPr>
          <w:position w:val="1"/>
        </w:rPr>
        <w:t>).</w:t>
      </w:r>
      <w:r>
        <w:rPr>
          <w:spacing w:val="-3"/>
          <w:position w:val="1"/>
        </w:rPr>
        <w:t> </w:t>
      </w:r>
      <w:r>
        <w:rPr>
          <w:position w:val="1"/>
        </w:rPr>
        <w:t>The</w:t>
      </w:r>
      <w:r>
        <w:rPr>
          <w:spacing w:val="-4"/>
          <w:position w:val="1"/>
        </w:rPr>
        <w:t> </w:t>
      </w:r>
      <w:r>
        <w:rPr>
          <w:position w:val="1"/>
        </w:rPr>
        <w:t>OECD</w:t>
      </w:r>
      <w:r>
        <w:rPr>
          <w:spacing w:val="-3"/>
          <w:position w:val="1"/>
        </w:rPr>
        <w:t> </w:t>
      </w:r>
      <w:r>
        <w:rPr>
          <w:position w:val="1"/>
        </w:rPr>
        <w:t>recommendations</w:t>
      </w:r>
      <w:r>
        <w:rPr>
          <w:spacing w:val="-2"/>
          <w:position w:val="1"/>
        </w:rPr>
        <w:t> </w:t>
      </w:r>
      <w:r>
        <w:rPr>
          <w:position w:val="1"/>
        </w:rPr>
        <w:t>included: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6" w:lineRule="auto" w:before="101" w:after="0"/>
        <w:ind w:left="862" w:right="306" w:hanging="339"/>
        <w:jc w:val="both"/>
        <w:rPr>
          <w:sz w:val="20"/>
        </w:rPr>
      </w:pPr>
      <w:r>
        <w:rPr>
          <w:sz w:val="20"/>
        </w:rPr>
        <w:t>improving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acceptance</w:t>
      </w:r>
      <w:r>
        <w:rPr>
          <w:spacing w:val="1"/>
          <w:sz w:val="20"/>
        </w:rPr>
        <w:t> </w:t>
      </w:r>
      <w:r>
        <w:rPr>
          <w:sz w:val="20"/>
        </w:rPr>
        <w:t>rate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HE</w:t>
      </w:r>
      <w:r>
        <w:rPr>
          <w:spacing w:val="1"/>
          <w:sz w:val="20"/>
        </w:rPr>
        <w:t> </w:t>
      </w:r>
      <w:r>
        <w:rPr>
          <w:sz w:val="20"/>
        </w:rPr>
        <w:t>programme</w:t>
      </w:r>
      <w:r>
        <w:rPr>
          <w:spacing w:val="1"/>
          <w:sz w:val="20"/>
        </w:rPr>
        <w:t> </w:t>
      </w:r>
      <w:r>
        <w:rPr>
          <w:sz w:val="20"/>
        </w:rPr>
        <w:t>applications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providing</w:t>
      </w:r>
      <w:r>
        <w:rPr>
          <w:spacing w:val="1"/>
          <w:sz w:val="20"/>
        </w:rPr>
        <w:t> </w:t>
      </w:r>
      <w:r>
        <w:rPr>
          <w:sz w:val="20"/>
        </w:rPr>
        <w:t>students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53"/>
          <w:sz w:val="20"/>
        </w:rPr>
        <w:t> </w:t>
      </w:r>
      <w:r>
        <w:rPr>
          <w:sz w:val="20"/>
        </w:rPr>
        <w:t>secondary</w:t>
      </w:r>
      <w:r>
        <w:rPr>
          <w:spacing w:val="-5"/>
          <w:sz w:val="20"/>
        </w:rPr>
        <w:t> </w:t>
      </w:r>
      <w:r>
        <w:rPr>
          <w:sz w:val="20"/>
        </w:rPr>
        <w:t>system</w:t>
      </w:r>
      <w:r>
        <w:rPr>
          <w:spacing w:val="2"/>
          <w:sz w:val="20"/>
        </w:rPr>
        <w:t> </w:t>
      </w:r>
      <w:r>
        <w:rPr>
          <w:sz w:val="20"/>
        </w:rPr>
        <w:t>better</w:t>
      </w:r>
      <w:r>
        <w:rPr>
          <w:spacing w:val="-1"/>
          <w:sz w:val="20"/>
        </w:rPr>
        <w:t> </w:t>
      </w:r>
      <w:r>
        <w:rPr>
          <w:sz w:val="20"/>
        </w:rPr>
        <w:t>access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information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course</w:t>
      </w:r>
      <w:r>
        <w:rPr>
          <w:spacing w:val="-2"/>
          <w:sz w:val="20"/>
        </w:rPr>
        <w:t> </w:t>
      </w:r>
      <w:r>
        <w:rPr>
          <w:sz w:val="20"/>
        </w:rPr>
        <w:t>content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requirements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51" w:after="0"/>
        <w:ind w:left="862" w:right="312" w:hanging="339"/>
        <w:jc w:val="both"/>
        <w:rPr>
          <w:sz w:val="20"/>
        </w:rPr>
      </w:pPr>
      <w:r>
        <w:rPr>
          <w:sz w:val="20"/>
        </w:rPr>
        <w:t>improving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adequacy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sustainability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tertiary</w:t>
      </w:r>
      <w:r>
        <w:rPr>
          <w:spacing w:val="-12"/>
          <w:sz w:val="20"/>
        </w:rPr>
        <w:t> </w:t>
      </w:r>
      <w:r>
        <w:rPr>
          <w:sz w:val="20"/>
        </w:rPr>
        <w:t>funding</w:t>
      </w:r>
      <w:r>
        <w:rPr>
          <w:spacing w:val="-9"/>
          <w:sz w:val="20"/>
        </w:rPr>
        <w:t> </w:t>
      </w:r>
      <w:r>
        <w:rPr>
          <w:sz w:val="20"/>
        </w:rPr>
        <w:t>through</w:t>
      </w:r>
      <w:r>
        <w:rPr>
          <w:spacing w:val="-7"/>
          <w:sz w:val="20"/>
        </w:rPr>
        <w:t> </w:t>
      </w:r>
      <w:r>
        <w:rPr>
          <w:sz w:val="20"/>
        </w:rPr>
        <w:t>institutional</w:t>
      </w:r>
      <w:r>
        <w:rPr>
          <w:spacing w:val="-9"/>
          <w:sz w:val="20"/>
        </w:rPr>
        <w:t> </w:t>
      </w:r>
      <w:r>
        <w:rPr>
          <w:sz w:val="20"/>
        </w:rPr>
        <w:t>mergers,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53"/>
          <w:sz w:val="20"/>
        </w:rPr>
        <w:t> </w:t>
      </w:r>
      <w:r>
        <w:rPr>
          <w:sz w:val="20"/>
        </w:rPr>
        <w:t>elimination and</w:t>
      </w:r>
      <w:r>
        <w:rPr>
          <w:spacing w:val="-2"/>
          <w:sz w:val="20"/>
        </w:rPr>
        <w:t> </w:t>
      </w:r>
      <w:r>
        <w:rPr>
          <w:sz w:val="20"/>
        </w:rPr>
        <w:t>merging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smaller</w:t>
      </w:r>
      <w:r>
        <w:rPr>
          <w:spacing w:val="-1"/>
          <w:sz w:val="20"/>
        </w:rPr>
        <w:t> </w:t>
      </w:r>
      <w:r>
        <w:rPr>
          <w:sz w:val="20"/>
        </w:rPr>
        <w:t>departments</w:t>
      </w:r>
      <w:r>
        <w:rPr>
          <w:spacing w:val="3"/>
          <w:sz w:val="20"/>
        </w:rPr>
        <w:t> </w:t>
      </w:r>
      <w:r>
        <w:rPr>
          <w:sz w:val="20"/>
        </w:rPr>
        <w:t>within</w:t>
      </w:r>
      <w:r>
        <w:rPr>
          <w:spacing w:val="1"/>
          <w:sz w:val="20"/>
        </w:rPr>
        <w:t> </w:t>
      </w:r>
      <w:r>
        <w:rPr>
          <w:sz w:val="20"/>
        </w:rPr>
        <w:t>HEIs</w:t>
      </w:r>
    </w:p>
    <w:p>
      <w:pPr>
        <w:spacing w:after="0" w:line="268" w:lineRule="auto"/>
        <w:jc w:val="both"/>
        <w:rPr>
          <w:sz w:val="20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40" w:lineRule="auto" w:before="101" w:after="0"/>
        <w:ind w:left="862" w:right="0" w:hanging="339"/>
        <w:jc w:val="both"/>
        <w:rPr>
          <w:sz w:val="20"/>
        </w:rPr>
      </w:pPr>
      <w:r>
        <w:rPr>
          <w:sz w:val="20"/>
        </w:rPr>
        <w:t>increasing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autonomy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institutions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redefining</w:t>
      </w:r>
      <w:r>
        <w:rPr>
          <w:spacing w:val="-4"/>
          <w:sz w:val="20"/>
        </w:rPr>
        <w:t> </w:t>
      </w:r>
      <w:r>
        <w:rPr>
          <w:sz w:val="20"/>
        </w:rPr>
        <w:t>them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so-called</w:t>
      </w:r>
      <w:r>
        <w:rPr>
          <w:spacing w:val="-5"/>
          <w:sz w:val="20"/>
        </w:rPr>
        <w:t> </w:t>
      </w:r>
      <w:r>
        <w:rPr>
          <w:sz w:val="20"/>
        </w:rPr>
        <w:t>“legal</w:t>
      </w:r>
      <w:r>
        <w:rPr>
          <w:spacing w:val="-5"/>
          <w:sz w:val="20"/>
        </w:rPr>
        <w:t> </w:t>
      </w:r>
      <w:r>
        <w:rPr>
          <w:sz w:val="20"/>
        </w:rPr>
        <w:t>persons”</w:t>
      </w:r>
      <w:r>
        <w:rPr>
          <w:spacing w:val="-3"/>
          <w:sz w:val="20"/>
        </w:rPr>
        <w:t> </w:t>
      </w:r>
      <w:r>
        <w:rPr>
          <w:sz w:val="20"/>
        </w:rPr>
        <w:t>rather</w:t>
      </w:r>
      <w:r>
        <w:rPr>
          <w:spacing w:val="-4"/>
          <w:sz w:val="20"/>
        </w:rPr>
        <w:t> </w:t>
      </w:r>
      <w:r>
        <w:rPr>
          <w:sz w:val="20"/>
        </w:rPr>
        <w:t>than</w:t>
      </w:r>
    </w:p>
    <w:p>
      <w:pPr>
        <w:pStyle w:val="BodyText"/>
        <w:spacing w:before="28"/>
        <w:ind w:left="862"/>
        <w:jc w:val="both"/>
      </w:pPr>
      <w:r>
        <w:rPr/>
        <w:t>civil</w:t>
      </w:r>
      <w:r>
        <w:rPr>
          <w:spacing w:val="-6"/>
        </w:rPr>
        <w:t> </w:t>
      </w:r>
      <w:r>
        <w:rPr/>
        <w:t>servant</w:t>
      </w:r>
      <w:r>
        <w:rPr>
          <w:spacing w:val="-3"/>
        </w:rPr>
        <w:t> </w:t>
      </w:r>
      <w:r>
        <w:rPr/>
        <w:t>units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40" w:lineRule="auto" w:before="76" w:after="0"/>
        <w:ind w:left="862" w:right="0" w:hanging="339"/>
        <w:jc w:val="both"/>
        <w:rPr>
          <w:sz w:val="20"/>
        </w:rPr>
      </w:pPr>
      <w:r>
        <w:rPr>
          <w:sz w:val="20"/>
        </w:rPr>
        <w:t>reducing</w:t>
      </w:r>
      <w:r>
        <w:rPr>
          <w:spacing w:val="-4"/>
          <w:sz w:val="20"/>
        </w:rPr>
        <w:t> </w:t>
      </w:r>
      <w:r>
        <w:rPr>
          <w:sz w:val="20"/>
        </w:rPr>
        <w:t>study</w:t>
      </w:r>
      <w:r>
        <w:rPr>
          <w:spacing w:val="-6"/>
          <w:sz w:val="20"/>
        </w:rPr>
        <w:t> </w:t>
      </w:r>
      <w:r>
        <w:rPr>
          <w:sz w:val="20"/>
        </w:rPr>
        <w:t>times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get</w:t>
      </w:r>
      <w:r>
        <w:rPr>
          <w:spacing w:val="-1"/>
          <w:sz w:val="20"/>
        </w:rPr>
        <w:t> </w:t>
      </w:r>
      <w:r>
        <w:rPr>
          <w:sz w:val="20"/>
        </w:rPr>
        <w:t>students into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labour</w:t>
      </w:r>
      <w:r>
        <w:rPr>
          <w:spacing w:val="-3"/>
          <w:sz w:val="20"/>
        </w:rPr>
        <w:t> </w:t>
      </w:r>
      <w:r>
        <w:rPr>
          <w:sz w:val="20"/>
        </w:rPr>
        <w:t>market</w:t>
      </w:r>
      <w:r>
        <w:rPr>
          <w:spacing w:val="-4"/>
          <w:sz w:val="20"/>
        </w:rPr>
        <w:t> </w:t>
      </w:r>
      <w:r>
        <w:rPr>
          <w:sz w:val="20"/>
        </w:rPr>
        <w:t>faster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76" w:after="0"/>
        <w:ind w:left="862" w:right="303" w:hanging="339"/>
        <w:jc w:val="both"/>
        <w:rPr>
          <w:sz w:val="20"/>
        </w:rPr>
      </w:pPr>
      <w:r>
        <w:rPr>
          <w:sz w:val="20"/>
        </w:rPr>
        <w:t>increasing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international</w:t>
      </w:r>
      <w:r>
        <w:rPr>
          <w:spacing w:val="1"/>
          <w:sz w:val="20"/>
        </w:rPr>
        <w:t> </w:t>
      </w:r>
      <w:r>
        <w:rPr>
          <w:sz w:val="20"/>
        </w:rPr>
        <w:t>reach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institutions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attracting</w:t>
      </w:r>
      <w:r>
        <w:rPr>
          <w:spacing w:val="1"/>
          <w:sz w:val="20"/>
        </w:rPr>
        <w:t> </w:t>
      </w:r>
      <w:r>
        <w:rPr>
          <w:sz w:val="20"/>
        </w:rPr>
        <w:t>more</w:t>
      </w:r>
      <w:r>
        <w:rPr>
          <w:spacing w:val="1"/>
          <w:sz w:val="20"/>
        </w:rPr>
        <w:t> </w:t>
      </w:r>
      <w:r>
        <w:rPr>
          <w:sz w:val="20"/>
        </w:rPr>
        <w:t>international</w:t>
      </w:r>
      <w:r>
        <w:rPr>
          <w:spacing w:val="1"/>
          <w:sz w:val="20"/>
        </w:rPr>
        <w:t> </w:t>
      </w:r>
      <w:r>
        <w:rPr>
          <w:sz w:val="20"/>
        </w:rPr>
        <w:t>staff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researchers with a reduction in immigration complexity and more attractive roles (including higher</w:t>
      </w:r>
      <w:r>
        <w:rPr>
          <w:spacing w:val="-53"/>
          <w:sz w:val="20"/>
        </w:rPr>
        <w:t> </w:t>
      </w:r>
      <w:r>
        <w:rPr>
          <w:position w:val="1"/>
          <w:sz w:val="20"/>
        </w:rPr>
        <w:t>salaries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and clearer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progression)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for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less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senior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academics</w:t>
      </w:r>
      <w:r>
        <w:rPr>
          <w:spacing w:val="6"/>
          <w:position w:val="1"/>
          <w:sz w:val="20"/>
        </w:rPr>
        <w:t> </w:t>
      </w:r>
      <w:r>
        <w:rPr>
          <w:position w:val="1"/>
          <w:sz w:val="20"/>
        </w:rPr>
        <w:t>(OECD,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2009</w:t>
      </w:r>
      <w:r>
        <w:rPr>
          <w:sz w:val="13"/>
        </w:rPr>
        <w:t>[41]</w:t>
      </w:r>
      <w:r>
        <w:rPr>
          <w:position w:val="1"/>
          <w:sz w:val="20"/>
        </w:rPr>
        <w:t>).</w:t>
      </w:r>
    </w:p>
    <w:p>
      <w:pPr>
        <w:pStyle w:val="BodyText"/>
        <w:spacing w:before="131"/>
        <w:ind w:left="183"/>
        <w:jc w:val="both"/>
      </w:pP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recommendation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institutional</w:t>
      </w:r>
      <w:r>
        <w:rPr>
          <w:spacing w:val="-5"/>
        </w:rPr>
        <w:t> </w:t>
      </w:r>
      <w:r>
        <w:rPr/>
        <w:t>mergers,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report</w:t>
      </w:r>
      <w:r>
        <w:rPr>
          <w:spacing w:val="-4"/>
        </w:rPr>
        <w:t> </w:t>
      </w:r>
      <w:r>
        <w:rPr/>
        <w:t>emphasised</w:t>
      </w:r>
      <w:r>
        <w:rPr>
          <w:spacing w:val="-6"/>
        </w:rPr>
        <w:t> </w:t>
      </w:r>
      <w:r>
        <w:rPr/>
        <w:t>that:</w:t>
      </w:r>
    </w:p>
    <w:p>
      <w:pPr>
        <w:spacing w:before="178"/>
        <w:ind w:left="862" w:right="982" w:firstLine="0"/>
        <w:jc w:val="both"/>
        <w:rPr>
          <w:rFonts w:ascii="Arial" w:hAnsi="Arial"/>
          <w:i/>
          <w:sz w:val="20"/>
        </w:rPr>
      </w:pPr>
      <w:r>
        <w:rPr/>
        <w:pict>
          <v:shape style="position:absolute;margin-left:91.583008pt;margin-top:6.039833pt;width:2.2pt;height:58pt;mso-position-horizontal-relative:page;mso-position-vertical-relative:paragraph;z-index:15767040" coordorigin="1832,121" coordsize="44,1160" path="m1875,411l1832,411,1832,639,1832,639,1832,870,1832,1280,1875,1280,1875,870,1875,639,1875,639,1875,411xm1875,121l1832,121,1832,411,1875,411,1875,121xe" filled="true" fillcolor="#9f9f9f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spacing w:val="-1"/>
          <w:w w:val="85"/>
          <w:sz w:val="20"/>
        </w:rPr>
        <w:t>This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[full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merger]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model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would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clearly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be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possible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in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Finland,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especially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in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those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regions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were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there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was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an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excess of provision and rather small HEIs. However, the macro- and micropolitical backlash could be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considerable, and the advantages of such arrangement would need robust demonstration – and there are many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90"/>
          <w:position w:val="1"/>
          <w:sz w:val="20"/>
        </w:rPr>
        <w:t>advantages.</w:t>
      </w:r>
      <w:r>
        <w:rPr>
          <w:rFonts w:ascii="Arial" w:hAnsi="Arial"/>
          <w:i/>
          <w:spacing w:val="-7"/>
          <w:w w:val="90"/>
          <w:position w:val="1"/>
          <w:sz w:val="20"/>
        </w:rPr>
        <w:t> </w:t>
      </w:r>
      <w:r>
        <w:rPr>
          <w:rFonts w:ascii="Arial" w:hAnsi="Arial"/>
          <w:i/>
          <w:w w:val="90"/>
          <w:position w:val="1"/>
          <w:sz w:val="20"/>
        </w:rPr>
        <w:t>(OECD,</w:t>
      </w:r>
      <w:r>
        <w:rPr>
          <w:rFonts w:ascii="Arial" w:hAnsi="Arial"/>
          <w:i/>
          <w:spacing w:val="-8"/>
          <w:w w:val="90"/>
          <w:position w:val="1"/>
          <w:sz w:val="20"/>
        </w:rPr>
        <w:t> </w:t>
      </w:r>
      <w:r>
        <w:rPr>
          <w:rFonts w:ascii="Arial" w:hAnsi="Arial"/>
          <w:i/>
          <w:w w:val="90"/>
          <w:position w:val="1"/>
          <w:sz w:val="20"/>
        </w:rPr>
        <w:t>2009,</w:t>
      </w:r>
      <w:r>
        <w:rPr>
          <w:rFonts w:ascii="Arial" w:hAnsi="Arial"/>
          <w:i/>
          <w:spacing w:val="-8"/>
          <w:w w:val="90"/>
          <w:position w:val="1"/>
          <w:sz w:val="20"/>
        </w:rPr>
        <w:t> </w:t>
      </w:r>
      <w:r>
        <w:rPr>
          <w:rFonts w:ascii="Arial" w:hAnsi="Arial"/>
          <w:i/>
          <w:w w:val="90"/>
          <w:position w:val="1"/>
          <w:sz w:val="20"/>
        </w:rPr>
        <w:t>p.</w:t>
      </w:r>
      <w:r>
        <w:rPr>
          <w:rFonts w:ascii="Arial" w:hAnsi="Arial"/>
          <w:i/>
          <w:spacing w:val="-5"/>
          <w:w w:val="90"/>
          <w:position w:val="1"/>
          <w:sz w:val="20"/>
        </w:rPr>
        <w:t> </w:t>
      </w:r>
      <w:r>
        <w:rPr>
          <w:rFonts w:ascii="Arial" w:hAnsi="Arial"/>
          <w:i/>
          <w:w w:val="90"/>
          <w:position w:val="1"/>
          <w:sz w:val="20"/>
        </w:rPr>
        <w:t>101</w:t>
      </w:r>
      <w:r>
        <w:rPr>
          <w:rFonts w:ascii="Arial" w:hAnsi="Arial"/>
          <w:i/>
          <w:w w:val="90"/>
          <w:sz w:val="13"/>
        </w:rPr>
        <w:t>[41]</w:t>
      </w:r>
      <w:r>
        <w:rPr>
          <w:rFonts w:ascii="Arial" w:hAnsi="Arial"/>
          <w:i/>
          <w:w w:val="90"/>
          <w:position w:val="1"/>
          <w:sz w:val="20"/>
        </w:rPr>
        <w:t>).</w:t>
      </w:r>
    </w:p>
    <w:p>
      <w:pPr>
        <w:pStyle w:val="BodyText"/>
        <w:spacing w:before="4"/>
        <w:rPr>
          <w:rFonts w:ascii="Arial"/>
          <w:i/>
          <w:sz w:val="18"/>
        </w:rPr>
      </w:pPr>
    </w:p>
    <w:p>
      <w:pPr>
        <w:pStyle w:val="BodyText"/>
        <w:spacing w:line="271" w:lineRule="auto" w:before="1"/>
        <w:ind w:left="183" w:right="310"/>
        <w:jc w:val="both"/>
      </w:pPr>
      <w:r>
        <w:rPr/>
        <w:t>In some areas, Finland responded to this OECD analysis and its own internal assessment with specific</w:t>
      </w:r>
      <w:r>
        <w:rPr>
          <w:spacing w:val="1"/>
        </w:rPr>
        <w:t> </w:t>
      </w:r>
      <w:r>
        <w:rPr/>
        <w:t>reforms.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areas, instigating</w:t>
      </w:r>
      <w:r>
        <w:rPr>
          <w:spacing w:val="-2"/>
        </w:rPr>
        <w:t> </w:t>
      </w:r>
      <w:r>
        <w:rPr/>
        <w:t>reform</w:t>
      </w:r>
      <w:r>
        <w:rPr>
          <w:spacing w:val="3"/>
        </w:rPr>
        <w:t> </w:t>
      </w:r>
      <w:r>
        <w:rPr/>
        <w:t>options</w:t>
      </w:r>
      <w:r>
        <w:rPr>
          <w:spacing w:val="-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an ongoing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</w:pPr>
      <w:r>
        <w:rPr>
          <w:color w:val="616161"/>
        </w:rPr>
        <w:t>Policy</w:t>
      </w:r>
      <w:r>
        <w:rPr>
          <w:color w:val="616161"/>
          <w:spacing w:val="-3"/>
        </w:rPr>
        <w:t> </w:t>
      </w:r>
      <w:r>
        <w:rPr>
          <w:color w:val="616161"/>
        </w:rPr>
        <w:t>process:</w:t>
      </w:r>
      <w:r>
        <w:rPr>
          <w:color w:val="616161"/>
          <w:spacing w:val="-3"/>
        </w:rPr>
        <w:t> </w:t>
      </w:r>
      <w:r>
        <w:rPr>
          <w:color w:val="616161"/>
        </w:rPr>
        <w:t>Formulation</w:t>
      </w:r>
      <w:r>
        <w:rPr>
          <w:color w:val="616161"/>
          <w:spacing w:val="-6"/>
        </w:rPr>
        <w:t> </w:t>
      </w:r>
      <w:r>
        <w:rPr>
          <w:color w:val="616161"/>
        </w:rPr>
        <w:t>and</w:t>
      </w:r>
      <w:r>
        <w:rPr>
          <w:color w:val="616161"/>
          <w:spacing w:val="-2"/>
        </w:rPr>
        <w:t> </w:t>
      </w:r>
      <w:r>
        <w:rPr>
          <w:color w:val="616161"/>
        </w:rPr>
        <w:t>adoption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5"/>
        <w:jc w:val="both"/>
      </w:pPr>
      <w:r>
        <w:rPr>
          <w:w w:val="95"/>
        </w:rPr>
        <w:t>This section details and examines key mechanisms used to drive the process towards four areas of reform:</w:t>
      </w:r>
      <w:r>
        <w:rPr>
          <w:spacing w:val="1"/>
          <w:w w:val="95"/>
        </w:rPr>
        <w:t> </w:t>
      </w:r>
      <w:r>
        <w:rPr/>
        <w:t>HEI</w:t>
      </w:r>
      <w:r>
        <w:rPr>
          <w:spacing w:val="-11"/>
        </w:rPr>
        <w:t> </w:t>
      </w:r>
      <w:r>
        <w:rPr/>
        <w:t>mergers,</w:t>
      </w:r>
      <w:r>
        <w:rPr>
          <w:spacing w:val="-9"/>
        </w:rPr>
        <w:t> </w:t>
      </w:r>
      <w:r>
        <w:rPr/>
        <w:t>HEI</w:t>
      </w:r>
      <w:r>
        <w:rPr>
          <w:spacing w:val="-11"/>
        </w:rPr>
        <w:t> </w:t>
      </w:r>
      <w:r>
        <w:rPr/>
        <w:t>specialisation,</w:t>
      </w:r>
      <w:r>
        <w:rPr>
          <w:spacing w:val="-10"/>
        </w:rPr>
        <w:t> </w:t>
      </w:r>
      <w:r>
        <w:rPr/>
        <w:t>institutional</w:t>
      </w:r>
      <w:r>
        <w:rPr>
          <w:spacing w:val="-11"/>
        </w:rPr>
        <w:t> </w:t>
      </w:r>
      <w:r>
        <w:rPr/>
        <w:t>governance</w:t>
      </w:r>
      <w:r>
        <w:rPr>
          <w:spacing w:val="-11"/>
        </w:rPr>
        <w:t> </w:t>
      </w:r>
      <w:r>
        <w:rPr/>
        <w:t>changes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universities,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parallel</w:t>
      </w:r>
      <w:r>
        <w:rPr>
          <w:spacing w:val="-12"/>
        </w:rPr>
        <w:t> </w:t>
      </w:r>
      <w:r>
        <w:rPr/>
        <w:t>reforms</w:t>
      </w:r>
      <w:r>
        <w:rPr>
          <w:spacing w:val="-1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UAS,</w:t>
      </w:r>
      <w:r>
        <w:rPr>
          <w:spacing w:val="-11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took</w:t>
      </w:r>
      <w:r>
        <w:rPr>
          <w:spacing w:val="-10"/>
        </w:rPr>
        <w:t> </w:t>
      </w:r>
      <w:r>
        <w:rPr>
          <w:spacing w:val="-1"/>
        </w:rPr>
        <w:t>place</w:t>
      </w:r>
      <w:r>
        <w:rPr>
          <w:spacing w:val="-11"/>
        </w:rPr>
        <w:t> </w:t>
      </w:r>
      <w:r>
        <w:rPr>
          <w:spacing w:val="-1"/>
        </w:rPr>
        <w:t>between</w:t>
      </w:r>
      <w:r>
        <w:rPr>
          <w:spacing w:val="-11"/>
        </w:rPr>
        <w:t> </w:t>
      </w:r>
      <w:r>
        <w:rPr>
          <w:spacing w:val="-1"/>
        </w:rPr>
        <w:t>approximately</w:t>
      </w:r>
      <w:r>
        <w:rPr>
          <w:spacing w:val="-14"/>
        </w:rPr>
        <w:t> </w:t>
      </w:r>
      <w:r>
        <w:rPr>
          <w:spacing w:val="-1"/>
        </w:rPr>
        <w:t>2004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2010.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ordering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processes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Finnish</w:t>
      </w:r>
      <w:r>
        <w:rPr>
          <w:spacing w:val="-9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first</w:t>
      </w:r>
      <w:r>
        <w:rPr>
          <w:spacing w:val="-9"/>
        </w:rPr>
        <w:t> </w:t>
      </w:r>
      <w:r>
        <w:rPr/>
        <w:t>incentivise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completion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mergers,</w:t>
      </w:r>
      <w:r>
        <w:rPr>
          <w:spacing w:val="-9"/>
        </w:rPr>
        <w:t> </w:t>
      </w:r>
      <w:r>
        <w:rPr/>
        <w:t>then</w:t>
      </w:r>
      <w:r>
        <w:rPr>
          <w:spacing w:val="-9"/>
        </w:rPr>
        <w:t> </w:t>
      </w:r>
      <w:r>
        <w:rPr/>
        <w:t>follow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additional</w:t>
      </w:r>
      <w:r>
        <w:rPr>
          <w:spacing w:val="-7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reform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newly</w:t>
      </w:r>
      <w:r>
        <w:rPr>
          <w:spacing w:val="-12"/>
        </w:rPr>
        <w:t> </w:t>
      </w:r>
      <w:r>
        <w:rPr/>
        <w:t>created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reduced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universities</w:t>
      </w:r>
      <w:r>
        <w:rPr>
          <w:spacing w:val="-8"/>
        </w:rPr>
        <w:t> </w:t>
      </w:r>
      <w:r>
        <w:rPr/>
        <w:t>(formalised</w:t>
      </w:r>
      <w:r>
        <w:rPr>
          <w:spacing w:val="-9"/>
        </w:rPr>
        <w:t> </w:t>
      </w:r>
      <w:r>
        <w:rPr/>
        <w:t>in</w:t>
      </w:r>
      <w:r>
        <w:rPr>
          <w:spacing w:val="1"/>
        </w:rPr>
        <w:t> </w:t>
      </w:r>
      <w:r>
        <w:rPr/>
        <w:t>the Universities Act, 2009), as well as simultaneously promoting the specialisation of the institutions</w:t>
      </w:r>
      <w:r>
        <w:rPr>
          <w:spacing w:val="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funding.</w:t>
      </w:r>
    </w:p>
    <w:p>
      <w:pPr>
        <w:pStyle w:val="Heading8"/>
        <w:spacing w:before="118"/>
      </w:pPr>
      <w:r>
        <w:rPr/>
        <w:t>HEI</w:t>
      </w:r>
      <w:r>
        <w:rPr>
          <w:spacing w:val="-5"/>
        </w:rPr>
        <w:t> </w:t>
      </w:r>
      <w:r>
        <w:rPr/>
        <w:t>mergers</w:t>
      </w:r>
    </w:p>
    <w:p>
      <w:pPr>
        <w:pStyle w:val="BodyText"/>
        <w:spacing w:line="271" w:lineRule="auto" w:before="152"/>
        <w:ind w:left="183" w:right="302"/>
        <w:jc w:val="both"/>
      </w:pPr>
      <w:r>
        <w:rPr/>
        <w:t>MEDC</w:t>
      </w:r>
      <w:r>
        <w:rPr>
          <w:spacing w:val="-4"/>
        </w:rPr>
        <w:t> </w:t>
      </w:r>
      <w:r>
        <w:rPr/>
        <w:t>chose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drive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process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enforce</w:t>
      </w:r>
      <w:r>
        <w:rPr>
          <w:spacing w:val="-6"/>
        </w:rPr>
        <w:t> </w:t>
      </w:r>
      <w:r>
        <w:rPr/>
        <w:t>specific</w:t>
      </w:r>
      <w:r>
        <w:rPr>
          <w:spacing w:val="4"/>
        </w:rPr>
        <w:t> </w:t>
      </w:r>
      <w:r>
        <w:rPr/>
        <w:t>HEI</w:t>
      </w:r>
      <w:r>
        <w:rPr>
          <w:spacing w:val="-6"/>
        </w:rPr>
        <w:t> </w:t>
      </w:r>
      <w:r>
        <w:rPr/>
        <w:t>mergers,</w:t>
      </w:r>
      <w:r>
        <w:rPr>
          <w:spacing w:val="-53"/>
        </w:rPr>
        <w:t> </w:t>
      </w:r>
      <w:r>
        <w:rPr/>
        <w:t>but</w:t>
      </w:r>
      <w:r>
        <w:rPr>
          <w:spacing w:val="-12"/>
        </w:rPr>
        <w:t> </w:t>
      </w:r>
      <w:r>
        <w:rPr/>
        <w:t>rather</w:t>
      </w:r>
      <w:r>
        <w:rPr>
          <w:spacing w:val="-11"/>
        </w:rPr>
        <w:t> </w:t>
      </w:r>
      <w:r>
        <w:rPr/>
        <w:t>created</w:t>
      </w:r>
      <w:r>
        <w:rPr>
          <w:spacing w:val="-10"/>
        </w:rPr>
        <w:t> </w:t>
      </w:r>
      <w:r>
        <w:rPr/>
        <w:t>new</w:t>
      </w:r>
      <w:r>
        <w:rPr>
          <w:spacing w:val="-10"/>
        </w:rPr>
        <w:t> </w:t>
      </w:r>
      <w:r>
        <w:rPr/>
        <w:t>incentives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mechanisms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change,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funding</w:t>
      </w:r>
      <w:r>
        <w:rPr>
          <w:spacing w:val="-10"/>
        </w:rPr>
        <w:t> </w:t>
      </w:r>
      <w:r>
        <w:rPr/>
        <w:t>allocation.</w:t>
      </w:r>
      <w:r>
        <w:rPr>
          <w:spacing w:val="-10"/>
        </w:rPr>
        <w:t> </w:t>
      </w:r>
      <w:r>
        <w:rPr/>
        <w:t>Fundamentally,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aim was to ensure that the institutions themselves collaborated and drove the mergers, creating buy-in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 institutional</w:t>
      </w:r>
      <w:r>
        <w:rPr>
          <w:spacing w:val="-3"/>
        </w:rPr>
        <w:t> </w:t>
      </w:r>
      <w:r>
        <w:rPr/>
        <w:t>autonomy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key</w:t>
      </w:r>
      <w:r>
        <w:rPr>
          <w:spacing w:val="-8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enabled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were: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6" w:lineRule="auto" w:before="101" w:after="0"/>
        <w:ind w:left="862" w:right="307" w:hanging="339"/>
        <w:jc w:val="both"/>
        <w:rPr>
          <w:sz w:val="20"/>
        </w:rPr>
      </w:pPr>
      <w:r>
        <w:rPr>
          <w:sz w:val="20"/>
        </w:rPr>
        <w:t>The 2006 MEDC discussion paper mentioned earlier on the structural development of higher</w:t>
      </w:r>
      <w:r>
        <w:rPr>
          <w:spacing w:val="1"/>
          <w:sz w:val="20"/>
        </w:rPr>
        <w:t> </w:t>
      </w:r>
      <w:r>
        <w:rPr>
          <w:sz w:val="20"/>
        </w:rPr>
        <w:t>education, which</w:t>
      </w:r>
      <w:r>
        <w:rPr>
          <w:spacing w:val="-2"/>
          <w:sz w:val="20"/>
        </w:rPr>
        <w:t> </w:t>
      </w:r>
      <w:r>
        <w:rPr>
          <w:sz w:val="20"/>
        </w:rPr>
        <w:t>provided</w:t>
      </w:r>
      <w:r>
        <w:rPr>
          <w:spacing w:val="1"/>
          <w:sz w:val="20"/>
        </w:rPr>
        <w:t> </w:t>
      </w:r>
      <w:r>
        <w:rPr>
          <w:sz w:val="20"/>
        </w:rPr>
        <w:t>overall</w:t>
      </w:r>
      <w:r>
        <w:rPr>
          <w:spacing w:val="-3"/>
          <w:sz w:val="20"/>
        </w:rPr>
        <w:t> </w:t>
      </w:r>
      <w:r>
        <w:rPr>
          <w:sz w:val="20"/>
        </w:rPr>
        <w:t>guidelines for</w:t>
      </w:r>
      <w:r>
        <w:rPr>
          <w:spacing w:val="-2"/>
          <w:sz w:val="20"/>
        </w:rPr>
        <w:t> </w:t>
      </w:r>
      <w:r>
        <w:rPr>
          <w:sz w:val="20"/>
        </w:rPr>
        <w:t>the mergers.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71" w:lineRule="auto" w:before="51" w:after="0"/>
        <w:ind w:left="862" w:right="307" w:hanging="339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fixed-term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law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that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enabled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Finnish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citizens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companies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receive</w:t>
      </w:r>
      <w:r>
        <w:rPr>
          <w:spacing w:val="-11"/>
          <w:sz w:val="20"/>
        </w:rPr>
        <w:t> </w:t>
      </w:r>
      <w:r>
        <w:rPr>
          <w:sz w:val="20"/>
        </w:rPr>
        <w:t>tax</w:t>
      </w:r>
      <w:r>
        <w:rPr>
          <w:spacing w:val="-10"/>
          <w:sz w:val="20"/>
        </w:rPr>
        <w:t> </w:t>
      </w:r>
      <w:r>
        <w:rPr>
          <w:sz w:val="20"/>
        </w:rPr>
        <w:t>reductions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donating</w:t>
      </w:r>
      <w:r>
        <w:rPr>
          <w:spacing w:val="1"/>
          <w:sz w:val="20"/>
        </w:rPr>
        <w:t> </w:t>
      </w:r>
      <w:r>
        <w:rPr>
          <w:sz w:val="20"/>
        </w:rPr>
        <w:t>money to universities, thereby incentivising private financial contributions to the mergers taking</w:t>
      </w:r>
      <w:r>
        <w:rPr>
          <w:spacing w:val="1"/>
          <w:sz w:val="20"/>
        </w:rPr>
        <w:t> </w:t>
      </w:r>
      <w:r>
        <w:rPr>
          <w:sz w:val="20"/>
        </w:rPr>
        <w:t>place in a timely manner (equally important was the matching of these funds by the government,</w:t>
      </w:r>
      <w:r>
        <w:rPr>
          <w:spacing w:val="1"/>
          <w:sz w:val="20"/>
        </w:rPr>
        <w:t> </w:t>
      </w:r>
      <w:r>
        <w:rPr>
          <w:sz w:val="20"/>
        </w:rPr>
        <w:t>creating further</w:t>
      </w:r>
      <w:r>
        <w:rPr>
          <w:spacing w:val="-2"/>
          <w:sz w:val="20"/>
        </w:rPr>
        <w:t> </w:t>
      </w:r>
      <w:r>
        <w:rPr>
          <w:sz w:val="20"/>
        </w:rPr>
        <w:t>incentives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universities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raise</w:t>
      </w:r>
      <w:r>
        <w:rPr>
          <w:spacing w:val="-1"/>
          <w:sz w:val="20"/>
        </w:rPr>
        <w:t> </w:t>
      </w:r>
      <w:r>
        <w:rPr>
          <w:sz w:val="20"/>
        </w:rPr>
        <w:t>private</w:t>
      </w:r>
      <w:r>
        <w:rPr>
          <w:spacing w:val="-2"/>
          <w:sz w:val="20"/>
        </w:rPr>
        <w:t> </w:t>
      </w:r>
      <w:r>
        <w:rPr>
          <w:sz w:val="20"/>
        </w:rPr>
        <w:t>investment).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45" w:after="0"/>
        <w:ind w:left="862" w:right="311" w:hanging="339"/>
        <w:jc w:val="both"/>
        <w:rPr>
          <w:sz w:val="20"/>
        </w:rPr>
      </w:pPr>
      <w:r>
        <w:rPr>
          <w:sz w:val="20"/>
        </w:rPr>
        <w:t>An invitation for universities to suggest structural changes (mergers); the initiation was open for</w:t>
      </w:r>
      <w:r>
        <w:rPr>
          <w:spacing w:val="1"/>
          <w:sz w:val="20"/>
        </w:rPr>
        <w:t> </w:t>
      </w:r>
      <w:r>
        <w:rPr>
          <w:sz w:val="20"/>
        </w:rPr>
        <w:t>proposals from spring through summer 2006. Universities that proposed mergers would have</w:t>
      </w:r>
      <w:r>
        <w:rPr>
          <w:spacing w:val="1"/>
          <w:sz w:val="20"/>
        </w:rPr>
        <w:t> </w:t>
      </w:r>
      <w:r>
        <w:rPr>
          <w:sz w:val="20"/>
        </w:rPr>
        <w:t>additional</w:t>
      </w:r>
      <w:r>
        <w:rPr>
          <w:spacing w:val="-2"/>
          <w:sz w:val="20"/>
        </w:rPr>
        <w:t> </w:t>
      </w:r>
      <w:r>
        <w:rPr>
          <w:sz w:val="20"/>
        </w:rPr>
        <w:t>funding reflected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budget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2"/>
          <w:sz w:val="20"/>
        </w:rPr>
        <w:t> </w:t>
      </w:r>
      <w:r>
        <w:rPr>
          <w:sz w:val="20"/>
        </w:rPr>
        <w:t>the year 2007.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51" w:after="0"/>
        <w:ind w:left="862" w:right="312" w:hanging="339"/>
        <w:jc w:val="both"/>
        <w:rPr>
          <w:sz w:val="20"/>
        </w:rPr>
      </w:pPr>
      <w:r>
        <w:rPr>
          <w:sz w:val="20"/>
        </w:rPr>
        <w:t>Additional funding for the years 2007-10 for institutions that had proposed mergers to MEDC was</w:t>
      </w:r>
      <w:r>
        <w:rPr>
          <w:spacing w:val="-53"/>
          <w:sz w:val="20"/>
        </w:rPr>
        <w:t> </w:t>
      </w:r>
      <w:r>
        <w:rPr>
          <w:sz w:val="20"/>
        </w:rPr>
        <w:t>set at EUR 12-14 million. If the proposed mergers did not ultimately proceed, this was reduced to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EUR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6.1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million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(Williams,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2017</w:t>
      </w:r>
      <w:r>
        <w:rPr>
          <w:sz w:val="13"/>
        </w:rPr>
        <w:t>[45]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51" w:after="0"/>
        <w:ind w:left="862" w:right="301" w:hanging="339"/>
        <w:jc w:val="both"/>
        <w:rPr>
          <w:sz w:val="20"/>
        </w:rPr>
      </w:pPr>
      <w:r>
        <w:rPr>
          <w:sz w:val="20"/>
        </w:rPr>
        <w:t>Planning</w:t>
      </w:r>
      <w:r>
        <w:rPr>
          <w:spacing w:val="-6"/>
          <w:sz w:val="20"/>
        </w:rPr>
        <w:t> </w:t>
      </w:r>
      <w:r>
        <w:rPr>
          <w:sz w:val="20"/>
        </w:rPr>
        <w:t>groups</w:t>
      </w:r>
      <w:r>
        <w:rPr>
          <w:spacing w:val="-4"/>
          <w:sz w:val="20"/>
        </w:rPr>
        <w:t> </w:t>
      </w:r>
      <w:r>
        <w:rPr>
          <w:sz w:val="20"/>
        </w:rPr>
        <w:t>were</w:t>
      </w:r>
      <w:r>
        <w:rPr>
          <w:spacing w:val="-4"/>
          <w:sz w:val="20"/>
        </w:rPr>
        <w:t> </w:t>
      </w:r>
      <w:r>
        <w:rPr>
          <w:sz w:val="20"/>
        </w:rPr>
        <w:t>appointed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MEDC</w:t>
      </w:r>
      <w:r>
        <w:rPr>
          <w:spacing w:val="-7"/>
          <w:sz w:val="20"/>
        </w:rPr>
        <w:t> </w:t>
      </w:r>
      <w:r>
        <w:rPr>
          <w:sz w:val="20"/>
        </w:rPr>
        <w:t>once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merger</w:t>
      </w:r>
      <w:r>
        <w:rPr>
          <w:spacing w:val="-6"/>
          <w:sz w:val="20"/>
        </w:rPr>
        <w:t> </w:t>
      </w:r>
      <w:r>
        <w:rPr>
          <w:sz w:val="20"/>
        </w:rPr>
        <w:t>was</w:t>
      </w:r>
      <w:r>
        <w:rPr>
          <w:spacing w:val="-7"/>
          <w:sz w:val="20"/>
        </w:rPr>
        <w:t> </w:t>
      </w:r>
      <w:r>
        <w:rPr>
          <w:sz w:val="20"/>
        </w:rPr>
        <w:t>officially</w:t>
      </w:r>
      <w:r>
        <w:rPr>
          <w:spacing w:val="-7"/>
          <w:sz w:val="20"/>
        </w:rPr>
        <w:t> </w:t>
      </w:r>
      <w:r>
        <w:rPr>
          <w:sz w:val="20"/>
        </w:rPr>
        <w:t>agreed.</w:t>
      </w:r>
      <w:r>
        <w:rPr>
          <w:spacing w:val="-8"/>
          <w:sz w:val="20"/>
        </w:rPr>
        <w:t> </w:t>
      </w:r>
      <w:r>
        <w:rPr>
          <w:sz w:val="20"/>
        </w:rPr>
        <w:t>These</w:t>
      </w:r>
      <w:r>
        <w:rPr>
          <w:spacing w:val="-7"/>
          <w:sz w:val="20"/>
        </w:rPr>
        <w:t> </w:t>
      </w:r>
      <w:r>
        <w:rPr>
          <w:sz w:val="20"/>
        </w:rPr>
        <w:t>groups</w:t>
      </w:r>
      <w:r>
        <w:rPr>
          <w:spacing w:val="1"/>
          <w:sz w:val="20"/>
        </w:rPr>
        <w:t> </w:t>
      </w:r>
      <w:r>
        <w:rPr>
          <w:sz w:val="20"/>
        </w:rPr>
        <w:t>included prominent societal figures and sectoral experts, and were used to guide and support the</w:t>
      </w:r>
      <w:r>
        <w:rPr>
          <w:spacing w:val="-53"/>
          <w:sz w:val="20"/>
        </w:rPr>
        <w:t> </w:t>
      </w:r>
      <w:r>
        <w:rPr>
          <w:position w:val="1"/>
          <w:sz w:val="20"/>
        </w:rPr>
        <w:t>merger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process at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each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institution (Williams,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2017</w:t>
      </w:r>
      <w:r>
        <w:rPr>
          <w:sz w:val="13"/>
        </w:rPr>
        <w:t>[45]</w:t>
      </w:r>
      <w:r>
        <w:rPr>
          <w:position w:val="1"/>
          <w:sz w:val="20"/>
        </w:rPr>
        <w:t>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50" w:after="0"/>
        <w:ind w:left="862" w:right="315" w:hanging="339"/>
        <w:jc w:val="both"/>
        <w:rPr>
          <w:sz w:val="20"/>
        </w:rPr>
      </w:pPr>
      <w:r>
        <w:rPr>
          <w:sz w:val="20"/>
        </w:rPr>
        <w:t>Finally, the progress of adoption and pace of change was ensured through institutions’ existing</w:t>
      </w:r>
      <w:r>
        <w:rPr>
          <w:spacing w:val="1"/>
          <w:sz w:val="20"/>
        </w:rPr>
        <w:t> </w:t>
      </w:r>
      <w:r>
        <w:rPr>
          <w:sz w:val="20"/>
        </w:rPr>
        <w:t>funding agreements with the ministry that are reviewed every four years, and approved through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cyclical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negotiation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procedures,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outlined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above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(Nokkala,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Välimaa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Westerheijden,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2016</w:t>
      </w:r>
      <w:r>
        <w:rPr>
          <w:sz w:val="13"/>
        </w:rPr>
        <w:t>[39]</w:t>
      </w:r>
      <w:r>
        <w:rPr>
          <w:position w:val="1"/>
          <w:sz w:val="20"/>
        </w:rPr>
        <w:t>).</w:t>
      </w:r>
    </w:p>
    <w:p>
      <w:pPr>
        <w:spacing w:after="0" w:line="268" w:lineRule="auto"/>
        <w:jc w:val="both"/>
        <w:rPr>
          <w:sz w:val="20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1"/>
        <w:jc w:val="both"/>
      </w:pPr>
      <w:r>
        <w:rPr/>
        <w:t>The</w:t>
      </w:r>
      <w:r>
        <w:rPr>
          <w:spacing w:val="-9"/>
        </w:rPr>
        <w:t> </w:t>
      </w:r>
      <w:r>
        <w:rPr/>
        <w:t>outcomes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process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clear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current</w:t>
      </w:r>
      <w:r>
        <w:rPr>
          <w:spacing w:val="-7"/>
        </w:rPr>
        <w:t> </w:t>
      </w:r>
      <w:r>
        <w:rPr/>
        <w:t>landscape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Finland.</w:t>
      </w:r>
      <w:r>
        <w:rPr>
          <w:spacing w:val="-7"/>
        </w:rPr>
        <w:t> </w:t>
      </w:r>
      <w:r>
        <w:rPr/>
        <w:t>Exceeding</w:t>
      </w:r>
      <w:r>
        <w:rPr>
          <w:spacing w:val="1"/>
        </w:rPr>
        <w:t> </w:t>
      </w:r>
      <w:r>
        <w:rPr/>
        <w:t>the goal of reducing the system to 15 universities, today Finland has 14 universities as a result of the</w:t>
      </w:r>
      <w:r>
        <w:rPr>
          <w:spacing w:val="1"/>
        </w:rPr>
        <w:t> </w:t>
      </w:r>
      <w:r>
        <w:rPr/>
        <w:t>reform</w:t>
      </w:r>
      <w:r>
        <w:rPr>
          <w:spacing w:val="3"/>
        </w:rPr>
        <w:t> </w:t>
      </w:r>
      <w:r>
        <w:rPr/>
        <w:t>process.</w:t>
      </w:r>
      <w:r>
        <w:rPr>
          <w:spacing w:val="-2"/>
        </w:rPr>
        <w:t> </w:t>
      </w:r>
      <w:r>
        <w:rPr/>
        <w:t>Mergers of</w:t>
      </w:r>
      <w:r>
        <w:rPr>
          <w:spacing w:val="-3"/>
        </w:rPr>
        <w:t> </w:t>
      </w:r>
      <w:r>
        <w:rPr/>
        <w:t>Finnish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included: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6" w:lineRule="auto" w:before="100" w:after="0"/>
        <w:ind w:left="862" w:right="310" w:hanging="339"/>
        <w:jc w:val="both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University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Kuopio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University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Joensuu</w:t>
      </w:r>
      <w:r>
        <w:rPr>
          <w:spacing w:val="-5"/>
          <w:sz w:val="20"/>
        </w:rPr>
        <w:t> </w:t>
      </w:r>
      <w:r>
        <w:rPr>
          <w:sz w:val="20"/>
        </w:rPr>
        <w:t>merged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create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University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Eastern</w:t>
      </w:r>
      <w:r>
        <w:rPr>
          <w:spacing w:val="-54"/>
          <w:sz w:val="20"/>
        </w:rPr>
        <w:t> </w:t>
      </w:r>
      <w:r>
        <w:rPr>
          <w:sz w:val="20"/>
        </w:rPr>
        <w:t>Finland</w:t>
      </w:r>
      <w:r>
        <w:rPr>
          <w:spacing w:val="-2"/>
          <w:sz w:val="20"/>
        </w:rPr>
        <w:t> </w:t>
      </w:r>
      <w:r>
        <w:rPr>
          <w:sz w:val="20"/>
        </w:rPr>
        <w:t>(merged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2010,</w:t>
      </w:r>
      <w:r>
        <w:rPr>
          <w:spacing w:val="-2"/>
          <w:sz w:val="20"/>
        </w:rPr>
        <w:t> </w:t>
      </w:r>
      <w:r>
        <w:rPr>
          <w:sz w:val="20"/>
        </w:rPr>
        <w:t>received EUR</w:t>
      </w:r>
      <w:r>
        <w:rPr>
          <w:spacing w:val="4"/>
          <w:sz w:val="20"/>
        </w:rPr>
        <w:t> </w:t>
      </w:r>
      <w:r>
        <w:rPr>
          <w:sz w:val="20"/>
        </w:rPr>
        <w:t>12.6</w:t>
      </w:r>
      <w:r>
        <w:rPr>
          <w:spacing w:val="-2"/>
          <w:sz w:val="20"/>
        </w:rPr>
        <w:t> </w:t>
      </w:r>
      <w:r>
        <w:rPr>
          <w:sz w:val="20"/>
        </w:rPr>
        <w:t>million</w:t>
      </w:r>
      <w:r>
        <w:rPr>
          <w:spacing w:val="-1"/>
          <w:sz w:val="20"/>
        </w:rPr>
        <w:t> </w:t>
      </w:r>
      <w:r>
        <w:rPr>
          <w:sz w:val="20"/>
        </w:rPr>
        <w:t>in merger</w:t>
      </w:r>
      <w:r>
        <w:rPr>
          <w:spacing w:val="-3"/>
          <w:sz w:val="20"/>
        </w:rPr>
        <w:t> </w:t>
      </w:r>
      <w:r>
        <w:rPr>
          <w:sz w:val="20"/>
        </w:rPr>
        <w:t>funding).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51" w:after="0"/>
        <w:ind w:left="862" w:right="305" w:hanging="339"/>
        <w:jc w:val="both"/>
        <w:rPr>
          <w:sz w:val="20"/>
        </w:rPr>
      </w:pPr>
      <w:r>
        <w:rPr>
          <w:sz w:val="20"/>
        </w:rPr>
        <w:t>Helsinki University of Technology</w:t>
      </w:r>
      <w:r>
        <w:rPr>
          <w:color w:val="202122"/>
          <w:sz w:val="20"/>
        </w:rPr>
        <w:t>, </w:t>
      </w:r>
      <w:r>
        <w:rPr>
          <w:sz w:val="20"/>
        </w:rPr>
        <w:t>Helsinki School of Economics </w:t>
      </w:r>
      <w:r>
        <w:rPr>
          <w:color w:val="202122"/>
          <w:sz w:val="20"/>
        </w:rPr>
        <w:t>and the </w:t>
      </w:r>
      <w:r>
        <w:rPr>
          <w:sz w:val="20"/>
        </w:rPr>
        <w:t>University of Art and</w:t>
      </w:r>
      <w:r>
        <w:rPr>
          <w:spacing w:val="1"/>
          <w:sz w:val="20"/>
        </w:rPr>
        <w:t> </w:t>
      </w:r>
      <w:r>
        <w:rPr>
          <w:sz w:val="20"/>
        </w:rPr>
        <w:t>Design Helsinki </w:t>
      </w:r>
      <w:r>
        <w:rPr>
          <w:color w:val="202122"/>
          <w:sz w:val="20"/>
        </w:rPr>
        <w:t>merged to create </w:t>
      </w:r>
      <w:r>
        <w:rPr>
          <w:sz w:val="20"/>
        </w:rPr>
        <w:t>Aalto University (merged in 2010, received EUR 13.9 million in</w:t>
      </w:r>
      <w:r>
        <w:rPr>
          <w:spacing w:val="1"/>
          <w:sz w:val="20"/>
        </w:rPr>
        <w:t> </w:t>
      </w:r>
      <w:r>
        <w:rPr>
          <w:sz w:val="20"/>
        </w:rPr>
        <w:t>merger</w:t>
      </w:r>
      <w:r>
        <w:rPr>
          <w:spacing w:val="-4"/>
          <w:sz w:val="20"/>
        </w:rPr>
        <w:t> </w:t>
      </w:r>
      <w:r>
        <w:rPr>
          <w:sz w:val="20"/>
        </w:rPr>
        <w:t>funding,</w:t>
      </w:r>
      <w:r>
        <w:rPr>
          <w:spacing w:val="-3"/>
          <w:sz w:val="20"/>
        </w:rPr>
        <w:t> </w:t>
      </w:r>
      <w:r>
        <w:rPr>
          <w:sz w:val="20"/>
        </w:rPr>
        <w:t>plus substantial</w:t>
      </w:r>
      <w:r>
        <w:rPr>
          <w:spacing w:val="-1"/>
          <w:sz w:val="20"/>
        </w:rPr>
        <w:t> </w:t>
      </w:r>
      <w:r>
        <w:rPr>
          <w:sz w:val="20"/>
        </w:rPr>
        <w:t>additional</w:t>
      </w:r>
      <w:r>
        <w:rPr>
          <w:spacing w:val="-3"/>
          <w:sz w:val="20"/>
        </w:rPr>
        <w:t> </w:t>
      </w:r>
      <w:r>
        <w:rPr>
          <w:sz w:val="20"/>
        </w:rPr>
        <w:t>funds outlined below).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71" w:lineRule="auto" w:before="50" w:after="0"/>
        <w:ind w:left="862" w:right="305" w:hanging="339"/>
        <w:jc w:val="both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University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Tampere,</w:t>
      </w:r>
      <w:r>
        <w:rPr>
          <w:spacing w:val="-6"/>
          <w:sz w:val="20"/>
        </w:rPr>
        <w:t> </w:t>
      </w:r>
      <w:r>
        <w:rPr>
          <w:sz w:val="20"/>
        </w:rPr>
        <w:t>Tampere</w:t>
      </w:r>
      <w:r>
        <w:rPr>
          <w:spacing w:val="-7"/>
          <w:sz w:val="20"/>
        </w:rPr>
        <w:t> </w:t>
      </w:r>
      <w:r>
        <w:rPr>
          <w:sz w:val="20"/>
        </w:rPr>
        <w:t>University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Technology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Tampere</w:t>
      </w:r>
      <w:r>
        <w:rPr>
          <w:spacing w:val="-7"/>
          <w:sz w:val="20"/>
        </w:rPr>
        <w:t> </w:t>
      </w:r>
      <w:r>
        <w:rPr>
          <w:sz w:val="20"/>
        </w:rPr>
        <w:t>University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Applied</w:t>
      </w:r>
      <w:r>
        <w:rPr>
          <w:spacing w:val="1"/>
          <w:sz w:val="20"/>
        </w:rPr>
        <w:t> </w:t>
      </w:r>
      <w:r>
        <w:rPr>
          <w:sz w:val="20"/>
        </w:rPr>
        <w:t>Sciences</w:t>
      </w:r>
      <w:r>
        <w:rPr>
          <w:spacing w:val="-13"/>
          <w:sz w:val="20"/>
        </w:rPr>
        <w:t> </w:t>
      </w:r>
      <w:r>
        <w:rPr>
          <w:sz w:val="20"/>
        </w:rPr>
        <w:t>(a</w:t>
      </w:r>
      <w:r>
        <w:rPr>
          <w:spacing w:val="-14"/>
          <w:sz w:val="20"/>
        </w:rPr>
        <w:t> </w:t>
      </w:r>
      <w:r>
        <w:rPr>
          <w:sz w:val="20"/>
        </w:rPr>
        <w:t>UAS</w:t>
      </w:r>
      <w:r>
        <w:rPr>
          <w:spacing w:val="-14"/>
          <w:sz w:val="20"/>
        </w:rPr>
        <w:t> </w:t>
      </w:r>
      <w:r>
        <w:rPr>
          <w:sz w:val="20"/>
        </w:rPr>
        <w:t>rather</w:t>
      </w:r>
      <w:r>
        <w:rPr>
          <w:spacing w:val="-11"/>
          <w:sz w:val="20"/>
        </w:rPr>
        <w:t> </w:t>
      </w:r>
      <w:r>
        <w:rPr>
          <w:sz w:val="20"/>
        </w:rPr>
        <w:t>than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university)</w:t>
      </w:r>
      <w:r>
        <w:rPr>
          <w:spacing w:val="-13"/>
          <w:sz w:val="20"/>
        </w:rPr>
        <w:t> </w:t>
      </w:r>
      <w:r>
        <w:rPr>
          <w:sz w:val="20"/>
        </w:rPr>
        <w:t>merged</w:t>
      </w:r>
      <w:r>
        <w:rPr>
          <w:spacing w:val="-14"/>
          <w:sz w:val="20"/>
        </w:rPr>
        <w:t> </w:t>
      </w:r>
      <w:r>
        <w:rPr>
          <w:sz w:val="20"/>
        </w:rPr>
        <w:t>to</w:t>
      </w:r>
      <w:r>
        <w:rPr>
          <w:spacing w:val="-14"/>
          <w:sz w:val="20"/>
        </w:rPr>
        <w:t> </w:t>
      </w:r>
      <w:r>
        <w:rPr>
          <w:sz w:val="20"/>
        </w:rPr>
        <w:t>create</w:t>
      </w:r>
      <w:r>
        <w:rPr>
          <w:spacing w:val="-13"/>
          <w:sz w:val="20"/>
        </w:rPr>
        <w:t> </w:t>
      </w:r>
      <w:r>
        <w:rPr>
          <w:sz w:val="20"/>
        </w:rPr>
        <w:t>Tampere</w:t>
      </w:r>
      <w:r>
        <w:rPr>
          <w:spacing w:val="-14"/>
          <w:sz w:val="20"/>
        </w:rPr>
        <w:t> </w:t>
      </w:r>
      <w:r>
        <w:rPr>
          <w:sz w:val="20"/>
        </w:rPr>
        <w:t>Universities</w:t>
      </w:r>
      <w:r>
        <w:rPr>
          <w:spacing w:val="-13"/>
          <w:sz w:val="20"/>
        </w:rPr>
        <w:t> </w:t>
      </w:r>
      <w:r>
        <w:rPr>
          <w:sz w:val="20"/>
        </w:rPr>
        <w:t>(merged</w:t>
      </w:r>
      <w:r>
        <w:rPr>
          <w:spacing w:val="-14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2019,</w:t>
      </w:r>
      <w:r>
        <w:rPr>
          <w:spacing w:val="1"/>
          <w:sz w:val="20"/>
        </w:rPr>
        <w:t> </w:t>
      </w:r>
      <w:r>
        <w:rPr>
          <w:sz w:val="20"/>
        </w:rPr>
        <w:t>received EUR 6.1 million in merger funding during the initial process in 2007 as this initial merger</w:t>
      </w:r>
      <w:r>
        <w:rPr>
          <w:spacing w:val="1"/>
          <w:sz w:val="20"/>
        </w:rPr>
        <w:t> </w:t>
      </w:r>
      <w:r>
        <w:rPr>
          <w:sz w:val="20"/>
        </w:rPr>
        <w:t>attempt</w:t>
      </w:r>
      <w:r>
        <w:rPr>
          <w:spacing w:val="-3"/>
          <w:sz w:val="20"/>
        </w:rPr>
        <w:t> </w:t>
      </w:r>
      <w:r>
        <w:rPr>
          <w:sz w:val="20"/>
        </w:rPr>
        <w:t>did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move</w:t>
      </w:r>
      <w:r>
        <w:rPr>
          <w:spacing w:val="-1"/>
          <w:sz w:val="20"/>
        </w:rPr>
        <w:t> </w:t>
      </w:r>
      <w:r>
        <w:rPr>
          <w:sz w:val="20"/>
        </w:rPr>
        <w:t>forward).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6" w:lineRule="auto" w:before="46" w:after="0"/>
        <w:ind w:left="862" w:right="308" w:hanging="339"/>
        <w:jc w:val="both"/>
        <w:rPr>
          <w:sz w:val="20"/>
        </w:rPr>
      </w:pPr>
      <w:r>
        <w:rPr>
          <w:sz w:val="20"/>
        </w:rPr>
        <w:t>University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Turku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Turku</w:t>
      </w:r>
      <w:r>
        <w:rPr>
          <w:spacing w:val="-9"/>
          <w:sz w:val="20"/>
        </w:rPr>
        <w:t> </w:t>
      </w:r>
      <w:r>
        <w:rPr>
          <w:sz w:val="20"/>
        </w:rPr>
        <w:t>School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Economics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Business</w:t>
      </w:r>
      <w:r>
        <w:rPr>
          <w:spacing w:val="-8"/>
          <w:sz w:val="20"/>
        </w:rPr>
        <w:t> </w:t>
      </w:r>
      <w:r>
        <w:rPr>
          <w:sz w:val="20"/>
        </w:rPr>
        <w:t>Administration</w:t>
      </w:r>
      <w:r>
        <w:rPr>
          <w:spacing w:val="-8"/>
          <w:sz w:val="20"/>
        </w:rPr>
        <w:t> </w:t>
      </w:r>
      <w:r>
        <w:rPr>
          <w:sz w:val="20"/>
        </w:rPr>
        <w:t>merged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create</w:t>
      </w:r>
      <w:r>
        <w:rPr>
          <w:spacing w:val="-53"/>
          <w:sz w:val="20"/>
        </w:rPr>
        <w:t> </w:t>
      </w:r>
      <w:r>
        <w:rPr>
          <w:sz w:val="20"/>
        </w:rPr>
        <w:t>University</w:t>
      </w:r>
      <w:r>
        <w:rPr>
          <w:spacing w:val="-6"/>
          <w:sz w:val="20"/>
        </w:rPr>
        <w:t> </w:t>
      </w:r>
      <w:r>
        <w:rPr>
          <w:sz w:val="20"/>
        </w:rPr>
        <w:t>of Turku</w:t>
      </w:r>
      <w:r>
        <w:rPr>
          <w:spacing w:val="-2"/>
          <w:sz w:val="20"/>
        </w:rPr>
        <w:t> </w:t>
      </w:r>
      <w:r>
        <w:rPr>
          <w:sz w:val="20"/>
        </w:rPr>
        <w:t>(merged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2010,</w:t>
      </w:r>
      <w:r>
        <w:rPr>
          <w:spacing w:val="-2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EUR</w:t>
      </w:r>
      <w:r>
        <w:rPr>
          <w:spacing w:val="5"/>
          <w:sz w:val="20"/>
        </w:rPr>
        <w:t> </w:t>
      </w:r>
      <w:r>
        <w:rPr>
          <w:sz w:val="20"/>
        </w:rPr>
        <w:t>13.4</w:t>
      </w:r>
      <w:r>
        <w:rPr>
          <w:spacing w:val="-3"/>
          <w:sz w:val="20"/>
        </w:rPr>
        <w:t> </w:t>
      </w:r>
      <w:r>
        <w:rPr>
          <w:sz w:val="20"/>
        </w:rPr>
        <w:t>million in</w:t>
      </w:r>
      <w:r>
        <w:rPr>
          <w:spacing w:val="-2"/>
          <w:sz w:val="20"/>
        </w:rPr>
        <w:t> </w:t>
      </w:r>
      <w:r>
        <w:rPr>
          <w:sz w:val="20"/>
        </w:rPr>
        <w:t>merger</w:t>
      </w:r>
      <w:r>
        <w:rPr>
          <w:spacing w:val="-1"/>
          <w:sz w:val="20"/>
        </w:rPr>
        <w:t> </w:t>
      </w:r>
      <w:r>
        <w:rPr>
          <w:sz w:val="20"/>
        </w:rPr>
        <w:t>funding).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8" w:lineRule="auto" w:before="51" w:after="0"/>
        <w:ind w:left="862" w:right="310" w:hanging="339"/>
        <w:jc w:val="both"/>
        <w:rPr>
          <w:sz w:val="20"/>
        </w:rPr>
      </w:pPr>
      <w:r>
        <w:rPr>
          <w:spacing w:val="-1"/>
          <w:sz w:val="20"/>
        </w:rPr>
        <w:t>Academy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Fine</w:t>
      </w:r>
      <w:r>
        <w:rPr>
          <w:spacing w:val="-7"/>
          <w:sz w:val="20"/>
        </w:rPr>
        <w:t> </w:t>
      </w:r>
      <w:r>
        <w:rPr>
          <w:sz w:val="20"/>
        </w:rPr>
        <w:t>Arts,</w:t>
      </w:r>
      <w:r>
        <w:rPr>
          <w:spacing w:val="-5"/>
          <w:sz w:val="20"/>
        </w:rPr>
        <w:t> </w:t>
      </w:r>
      <w:r>
        <w:rPr>
          <w:sz w:val="20"/>
        </w:rPr>
        <w:t>Sibelius</w:t>
      </w:r>
      <w:r>
        <w:rPr>
          <w:spacing w:val="-6"/>
          <w:sz w:val="20"/>
        </w:rPr>
        <w:t> </w:t>
      </w:r>
      <w:r>
        <w:rPr>
          <w:sz w:val="20"/>
        </w:rPr>
        <w:t>Academy</w:t>
      </w:r>
      <w:r>
        <w:rPr>
          <w:spacing w:val="-14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Theatre</w:t>
      </w:r>
      <w:r>
        <w:rPr>
          <w:spacing w:val="-7"/>
          <w:sz w:val="20"/>
        </w:rPr>
        <w:t> </w:t>
      </w:r>
      <w:r>
        <w:rPr>
          <w:sz w:val="20"/>
        </w:rPr>
        <w:t>Academy</w:t>
      </w:r>
      <w:r>
        <w:rPr>
          <w:spacing w:val="-14"/>
          <w:sz w:val="20"/>
        </w:rPr>
        <w:t> </w:t>
      </w:r>
      <w:r>
        <w:rPr>
          <w:sz w:val="20"/>
        </w:rPr>
        <w:t>merged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create</w:t>
      </w:r>
      <w:r>
        <w:rPr>
          <w:spacing w:val="-8"/>
          <w:sz w:val="20"/>
        </w:rPr>
        <w:t> </w:t>
      </w:r>
      <w:r>
        <w:rPr>
          <w:sz w:val="20"/>
        </w:rPr>
        <w:t>University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4"/>
          <w:sz w:val="20"/>
        </w:rPr>
        <w:t> </w:t>
      </w:r>
      <w:r>
        <w:rPr>
          <w:position w:val="1"/>
          <w:sz w:val="20"/>
        </w:rPr>
        <w:t>Arts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(merged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in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2013)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(Nokkala,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Välimaa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Westerheijden,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2016</w:t>
      </w:r>
      <w:r>
        <w:rPr>
          <w:sz w:val="13"/>
        </w:rPr>
        <w:t>[39]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30"/>
        <w:ind w:left="183" w:right="302"/>
        <w:jc w:val="both"/>
      </w:pPr>
      <w:r>
        <w:rPr/>
        <w:t>The Universities Act, 2009 named all the newly merged institutions by that time, and legally recognised</w:t>
      </w:r>
      <w:r>
        <w:rPr>
          <w:spacing w:val="1"/>
        </w:rPr>
        <w:t> </w:t>
      </w:r>
      <w:r>
        <w:rPr/>
        <w:t>the universities as corporations under public law (public universities). In addition to this, Aalto University</w:t>
      </w:r>
      <w:r>
        <w:rPr>
          <w:spacing w:val="1"/>
        </w:rPr>
        <w:t> </w:t>
      </w:r>
      <w:r>
        <w:rPr/>
        <w:t>and Tampere University of Technology were further defined as foundation universities (these universities</w:t>
      </w:r>
      <w:r>
        <w:rPr>
          <w:spacing w:val="1"/>
        </w:rPr>
        <w:t> </w:t>
      </w:r>
      <w:r>
        <w:rPr/>
        <w:t>are legally non-profit foundations rather than public corporations), and are governed by the Foundations</w:t>
      </w:r>
      <w:r>
        <w:rPr>
          <w:spacing w:val="1"/>
        </w:rPr>
        <w:t> </w:t>
      </w:r>
      <w:r>
        <w:rPr/>
        <w:t>Act,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amended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2015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recognise</w:t>
      </w:r>
      <w:r>
        <w:rPr>
          <w:spacing w:val="-8"/>
        </w:rPr>
        <w:t> </w:t>
      </w:r>
      <w:r>
        <w:rPr/>
        <w:t>these</w:t>
      </w:r>
      <w:r>
        <w:rPr>
          <w:spacing w:val="-7"/>
        </w:rPr>
        <w:t> </w:t>
      </w:r>
      <w:r>
        <w:rPr/>
        <w:t>institutions.</w:t>
      </w:r>
      <w:r>
        <w:rPr>
          <w:spacing w:val="-10"/>
        </w:rPr>
        <w:t> </w:t>
      </w:r>
      <w:r>
        <w:rPr/>
        <w:t>Aalto</w:t>
      </w:r>
      <w:r>
        <w:rPr>
          <w:spacing w:val="-7"/>
        </w:rPr>
        <w:t> </w:t>
      </w:r>
      <w:r>
        <w:rPr/>
        <w:t>University,</w:t>
      </w:r>
      <w:r>
        <w:rPr>
          <w:spacing w:val="-8"/>
        </w:rPr>
        <w:t> </w:t>
      </w:r>
      <w:r>
        <w:rPr/>
        <w:t>seen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as a flagship institution – with aims of being the “world-class innovation university” envisioned by the</w:t>
      </w:r>
      <w:r>
        <w:rPr>
          <w:spacing w:val="1"/>
        </w:rPr>
        <w:t> </w:t>
      </w:r>
      <w:r>
        <w:rPr/>
        <w:t>Brunila Report, received significant additional public funding. Funding of EUR 100 million had been</w:t>
      </w:r>
      <w:r>
        <w:rPr>
          <w:spacing w:val="1"/>
        </w:rPr>
        <w:t> </w:t>
      </w:r>
      <w:r>
        <w:rPr/>
        <w:t>allocated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merger</w:t>
      </w:r>
      <w:r>
        <w:rPr>
          <w:spacing w:val="-6"/>
        </w:rPr>
        <w:t> </w:t>
      </w:r>
      <w:r>
        <w:rPr/>
        <w:t>until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2015.</w:t>
      </w:r>
      <w:r>
        <w:rPr>
          <w:spacing w:val="-6"/>
        </w:rPr>
        <w:t> </w:t>
      </w:r>
      <w:r>
        <w:rPr/>
        <w:t>Furthermore,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government’s</w:t>
      </w:r>
      <w:r>
        <w:rPr>
          <w:spacing w:val="-5"/>
        </w:rPr>
        <w:t> </w:t>
      </w:r>
      <w:r>
        <w:rPr/>
        <w:t>commitment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match</w:t>
      </w:r>
      <w:r>
        <w:rPr>
          <w:spacing w:val="-7"/>
        </w:rPr>
        <w:t> </w:t>
      </w:r>
      <w:r>
        <w:rPr/>
        <w:t>raised</w:t>
      </w:r>
      <w:r>
        <w:rPr>
          <w:spacing w:val="1"/>
        </w:rPr>
        <w:t> </w:t>
      </w:r>
      <w:r>
        <w:rPr/>
        <w:t>private funds for the university’s capital endowment meant that in practice, public funding to Aalto</w:t>
      </w:r>
      <w:r>
        <w:rPr>
          <w:spacing w:val="1"/>
        </w:rPr>
        <w:t> </w:t>
      </w:r>
      <w:r>
        <w:rPr>
          <w:position w:val="1"/>
        </w:rPr>
        <w:t>University</w:t>
      </w:r>
      <w:r>
        <w:rPr>
          <w:spacing w:val="-5"/>
          <w:position w:val="1"/>
        </w:rPr>
        <w:t> </w:t>
      </w:r>
      <w:r>
        <w:rPr>
          <w:position w:val="1"/>
        </w:rPr>
        <w:t>exceeded this,</w:t>
      </w:r>
      <w:r>
        <w:rPr>
          <w:spacing w:val="-2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reached</w:t>
      </w:r>
      <w:r>
        <w:rPr>
          <w:spacing w:val="-1"/>
          <w:position w:val="1"/>
        </w:rPr>
        <w:t> </w:t>
      </w:r>
      <w:r>
        <w:rPr>
          <w:position w:val="1"/>
        </w:rPr>
        <w:t>a</w:t>
      </w:r>
      <w:r>
        <w:rPr>
          <w:spacing w:val="-2"/>
          <w:position w:val="1"/>
        </w:rPr>
        <w:t> </w:t>
      </w:r>
      <w:r>
        <w:rPr>
          <w:position w:val="1"/>
        </w:rPr>
        <w:t>total</w:t>
      </w:r>
      <w:r>
        <w:rPr>
          <w:spacing w:val="-1"/>
          <w:position w:val="1"/>
        </w:rPr>
        <w:t> </w:t>
      </w:r>
      <w:r>
        <w:rPr>
          <w:position w:val="1"/>
        </w:rPr>
        <w:t>of EUR</w:t>
      </w:r>
      <w:r>
        <w:rPr>
          <w:spacing w:val="5"/>
          <w:position w:val="1"/>
        </w:rPr>
        <w:t> </w:t>
      </w:r>
      <w:r>
        <w:rPr>
          <w:position w:val="1"/>
        </w:rPr>
        <w:t>500</w:t>
      </w:r>
      <w:r>
        <w:rPr>
          <w:spacing w:val="-2"/>
          <w:position w:val="1"/>
        </w:rPr>
        <w:t> </w:t>
      </w:r>
      <w:r>
        <w:rPr>
          <w:position w:val="1"/>
        </w:rPr>
        <w:t>million</w:t>
      </w:r>
      <w:r>
        <w:rPr>
          <w:spacing w:val="-1"/>
          <w:position w:val="1"/>
        </w:rPr>
        <w:t> </w:t>
      </w:r>
      <w:r>
        <w:rPr>
          <w:position w:val="1"/>
        </w:rPr>
        <w:t>(Williams,</w:t>
      </w:r>
      <w:r>
        <w:rPr>
          <w:spacing w:val="-1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[45]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299"/>
        <w:jc w:val="both"/>
      </w:pPr>
      <w:r>
        <w:rPr/>
        <w:t>The use of the mechanisms and policy approaches detailed above are credited with much of the success</w:t>
      </w:r>
      <w:r>
        <w:rPr>
          <w:spacing w:val="-53"/>
        </w:rPr>
        <w:t> </w:t>
      </w:r>
      <w:r>
        <w:rPr/>
        <w:t>of the merger process, however the importance of the timing of this process should also be noted. A</w:t>
      </w:r>
      <w:r>
        <w:rPr>
          <w:spacing w:val="1"/>
        </w:rPr>
        <w:t> </w:t>
      </w:r>
      <w:r>
        <w:rPr/>
        <w:t>considerable amount of the policy and programmatic work, including instigating many of the mergers and</w:t>
      </w:r>
      <w:r>
        <w:rPr>
          <w:spacing w:val="-53"/>
        </w:rPr>
        <w:t> </w:t>
      </w:r>
      <w:r>
        <w:rPr/>
        <w:t>drafting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legislation,</w:t>
      </w:r>
      <w:r>
        <w:rPr>
          <w:spacing w:val="-10"/>
        </w:rPr>
        <w:t> </w:t>
      </w:r>
      <w:r>
        <w:rPr/>
        <w:t>took</w:t>
      </w:r>
      <w:r>
        <w:rPr>
          <w:spacing w:val="-9"/>
        </w:rPr>
        <w:t> </w:t>
      </w:r>
      <w:r>
        <w:rPr/>
        <w:t>place</w:t>
      </w:r>
      <w:r>
        <w:rPr>
          <w:spacing w:val="-12"/>
        </w:rPr>
        <w:t> </w:t>
      </w:r>
      <w:r>
        <w:rPr/>
        <w:t>just</w:t>
      </w:r>
      <w:r>
        <w:rPr>
          <w:spacing w:val="-12"/>
        </w:rPr>
        <w:t> </w:t>
      </w:r>
      <w:r>
        <w:rPr/>
        <w:t>before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2008</w:t>
      </w:r>
      <w:r>
        <w:rPr>
          <w:spacing w:val="-12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crisis.</w:t>
      </w:r>
      <w:r>
        <w:rPr>
          <w:spacing w:val="-12"/>
        </w:rPr>
        <w:t> </w:t>
      </w:r>
      <w:r>
        <w:rPr/>
        <w:t>It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noted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stakeholder</w:t>
      </w:r>
      <w:r>
        <w:rPr>
          <w:spacing w:val="-12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mergers</w:t>
      </w:r>
      <w:r>
        <w:rPr>
          <w:spacing w:val="-6"/>
        </w:rPr>
        <w:t> </w:t>
      </w:r>
      <w:r>
        <w:rPr/>
        <w:t>had</w:t>
      </w:r>
      <w:r>
        <w:rPr>
          <w:spacing w:val="-8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investment</w:t>
      </w:r>
      <w:r>
        <w:rPr>
          <w:spacing w:val="-6"/>
        </w:rPr>
        <w:t> </w:t>
      </w:r>
      <w:r>
        <w:rPr/>
        <w:t>(outlined</w:t>
      </w:r>
      <w:r>
        <w:rPr>
          <w:spacing w:val="-8"/>
        </w:rPr>
        <w:t> </w:t>
      </w:r>
      <w:r>
        <w:rPr/>
        <w:t>above)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government,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in the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the foundation universities, large private financial contributions for capital endowments (matched by</w:t>
      </w:r>
      <w:r>
        <w:rPr>
          <w:spacing w:val="1"/>
        </w:rPr>
        <w:t> </w:t>
      </w:r>
      <w:r>
        <w:rPr/>
        <w:t>government and supported by tax relief). Had this process been attempted later, it may not have been</w:t>
      </w:r>
      <w:r>
        <w:rPr>
          <w:spacing w:val="1"/>
        </w:rPr>
        <w:t> </w:t>
      </w:r>
      <w:r>
        <w:rPr/>
        <w:t>possible, due to the significant recession experienced in Finland from 2008, which later resulted in</w:t>
      </w:r>
      <w:r>
        <w:rPr>
          <w:spacing w:val="1"/>
        </w:rPr>
        <w:t> </w:t>
      </w:r>
      <w:r>
        <w:rPr/>
        <w:t>reductions in higher education expenditure. Stakeholders interviewed by the OECD team suggested that</w:t>
      </w:r>
      <w:r>
        <w:rPr>
          <w:spacing w:val="1"/>
        </w:rPr>
        <w:t> </w:t>
      </w:r>
      <w:r>
        <w:rPr/>
        <w:t>these funding cuts were less impactful for foundation universities (and other merged institutions), as they</w:t>
      </w:r>
      <w:r>
        <w:rPr>
          <w:spacing w:val="1"/>
        </w:rPr>
        <w:t> </w:t>
      </w:r>
      <w:r>
        <w:rPr/>
        <w:t>had been incentivised to diversify their funding model (it was also noted that budget cuts had been felt</w:t>
      </w:r>
      <w:r>
        <w:rPr>
          <w:spacing w:val="1"/>
        </w:rPr>
        <w:t> </w:t>
      </w:r>
      <w:r>
        <w:rPr/>
        <w:t>most</w:t>
      </w:r>
      <w:r>
        <w:rPr>
          <w:spacing w:val="-4"/>
        </w:rPr>
        <w:t> </w:t>
      </w:r>
      <w:r>
        <w:rPr/>
        <w:t>keenly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non-faculty</w:t>
      </w:r>
      <w:r>
        <w:rPr>
          <w:spacing w:val="-2"/>
        </w:rPr>
        <w:t> </w:t>
      </w:r>
      <w:r>
        <w:rPr/>
        <w:t>staff at</w:t>
      </w:r>
      <w:r>
        <w:rPr>
          <w:spacing w:val="-3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who had</w:t>
      </w:r>
      <w:r>
        <w:rPr>
          <w:spacing w:val="-1"/>
        </w:rPr>
        <w:t> </w:t>
      </w:r>
      <w:r>
        <w:rPr/>
        <w:t>borne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brunt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staffing</w:t>
      </w:r>
      <w:r>
        <w:rPr>
          <w:spacing w:val="-3"/>
        </w:rPr>
        <w:t> </w:t>
      </w:r>
      <w:r>
        <w:rPr/>
        <w:t>cuts).</w:t>
      </w:r>
    </w:p>
    <w:p>
      <w:pPr>
        <w:pStyle w:val="BodyText"/>
        <w:spacing w:line="271" w:lineRule="auto" w:before="123"/>
        <w:ind w:left="183" w:right="304"/>
        <w:jc w:val="both"/>
      </w:pP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note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all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HEI</w:t>
      </w:r>
      <w:r>
        <w:rPr>
          <w:spacing w:val="-11"/>
        </w:rPr>
        <w:t> </w:t>
      </w:r>
      <w:r>
        <w:rPr/>
        <w:t>mergers</w:t>
      </w:r>
      <w:r>
        <w:rPr>
          <w:spacing w:val="-8"/>
        </w:rPr>
        <w:t> </w:t>
      </w:r>
      <w:r>
        <w:rPr/>
        <w:t>followed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11"/>
        </w:rPr>
        <w:t> </w:t>
      </w:r>
      <w:r>
        <w:rPr/>
        <w:t>process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had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1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behind their execution, and the path to merged institutions has often featured considerable complexity,</w:t>
      </w:r>
      <w:r>
        <w:rPr>
          <w:spacing w:val="1"/>
        </w:rPr>
        <w:t> </w:t>
      </w:r>
      <w:r>
        <w:rPr/>
        <w:t>and at times, opposition from various stakeholders. Some mergers were geared toward providing a</w:t>
      </w:r>
      <w:r>
        <w:rPr>
          <w:spacing w:val="1"/>
        </w:rPr>
        <w:t> </w:t>
      </w:r>
      <w:r>
        <w:rPr/>
        <w:t>consolidated</w:t>
      </w:r>
      <w:r>
        <w:rPr>
          <w:spacing w:val="-9"/>
        </w:rPr>
        <w:t> </w:t>
      </w:r>
      <w:r>
        <w:rPr/>
        <w:t>higher</w:t>
      </w:r>
      <w:r>
        <w:rPr>
          <w:spacing w:val="-8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offering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region,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efficiencies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stability (e.g. University of Eastern Finland), while other merger projects sought to represent Finland’s</w:t>
      </w:r>
      <w:r>
        <w:rPr>
          <w:spacing w:val="1"/>
        </w:rPr>
        <w:t> </w:t>
      </w:r>
      <w:r>
        <w:rPr/>
        <w:t>international and R&amp;D ambitions for the higher education sector (e.g. Aalto University, further profiled</w:t>
      </w:r>
      <w:r>
        <w:rPr>
          <w:spacing w:val="1"/>
        </w:rPr>
        <w:t> </w:t>
      </w:r>
      <w:r>
        <w:rPr/>
        <w:t>below).</w:t>
      </w:r>
    </w:p>
    <w:p>
      <w:pPr>
        <w:pStyle w:val="BodyText"/>
        <w:spacing w:before="122"/>
        <w:ind w:left="183"/>
        <w:jc w:val="both"/>
      </w:pPr>
      <w:r>
        <w:rPr/>
        <w:t>While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government’s</w:t>
      </w:r>
      <w:r>
        <w:rPr>
          <w:spacing w:val="4"/>
        </w:rPr>
        <w:t> </w:t>
      </w:r>
      <w:r>
        <w:rPr/>
        <w:t>planning</w:t>
      </w:r>
      <w:r>
        <w:rPr>
          <w:spacing w:val="1"/>
        </w:rPr>
        <w:t> </w:t>
      </w:r>
      <w:r>
        <w:rPr/>
        <w:t>groups</w:t>
      </w:r>
      <w:r>
        <w:rPr>
          <w:spacing w:val="4"/>
        </w:rPr>
        <w:t> </w:t>
      </w:r>
      <w:r>
        <w:rPr/>
        <w:t>did</w:t>
      </w:r>
      <w:r>
        <w:rPr>
          <w:spacing w:val="4"/>
        </w:rPr>
        <w:t> </w:t>
      </w:r>
      <w:r>
        <w:rPr/>
        <w:t>provide</w:t>
      </w:r>
      <w:r>
        <w:rPr>
          <w:spacing w:val="2"/>
        </w:rPr>
        <w:t> </w:t>
      </w:r>
      <w:r>
        <w:rPr/>
        <w:t>some</w:t>
      </w:r>
      <w:r>
        <w:rPr>
          <w:spacing w:val="3"/>
        </w:rPr>
        <w:t> </w:t>
      </w:r>
      <w:r>
        <w:rPr/>
        <w:t>consistency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approach,</w:t>
      </w:r>
      <w:r>
        <w:rPr>
          <w:spacing w:val="2"/>
        </w:rPr>
        <w:t> </w:t>
      </w:r>
      <w:r>
        <w:rPr/>
        <w:t>fundamentally</w:t>
      </w:r>
      <w:r>
        <w:rPr>
          <w:spacing w:val="2"/>
        </w:rPr>
        <w:t> </w:t>
      </w:r>
      <w:r>
        <w:rPr/>
        <w:t>it</w:t>
      </w:r>
    </w:p>
    <w:p>
      <w:pPr>
        <w:pStyle w:val="BodyText"/>
        <w:spacing w:before="29"/>
        <w:ind w:left="183"/>
        <w:jc w:val="both"/>
      </w:pPr>
      <w:r>
        <w:rPr/>
        <w:t>was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institutions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made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initial</w:t>
      </w:r>
      <w:r>
        <w:rPr>
          <w:spacing w:val="16"/>
        </w:rPr>
        <w:t> </w:t>
      </w:r>
      <w:r>
        <w:rPr/>
        <w:t>proposals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mergers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engaged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early</w:t>
      </w:r>
      <w:r>
        <w:rPr>
          <w:spacing w:val="12"/>
        </w:rPr>
        <w:t> </w:t>
      </w:r>
      <w:r>
        <w:rPr/>
        <w:t>discussions.</w:t>
      </w:r>
      <w:r>
        <w:rPr>
          <w:spacing w:val="14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</w:p>
    <w:p>
      <w:pPr>
        <w:spacing w:after="0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12"/>
        <w:jc w:val="both"/>
      </w:pPr>
      <w:r>
        <w:rPr/>
        <w:t>result, while it would be a requirement that senior management and rectors bought in on the merger</w:t>
      </w:r>
      <w:r>
        <w:rPr>
          <w:spacing w:val="1"/>
        </w:rPr>
        <w:t> </w:t>
      </w:r>
      <w:r>
        <w:rPr/>
        <w:t>process (as the actors suggesting the merger to the ministry), the degree to which staff and faculty were</w:t>
      </w:r>
      <w:r>
        <w:rPr>
          <w:spacing w:val="1"/>
        </w:rPr>
        <w:t> </w:t>
      </w:r>
      <w:r>
        <w:rPr>
          <w:position w:val="1"/>
        </w:rPr>
        <w:t>engaged in the process differed</w:t>
      </w:r>
      <w:r>
        <w:rPr>
          <w:spacing w:val="-2"/>
          <w:position w:val="1"/>
        </w:rPr>
        <w:t> </w:t>
      </w:r>
      <w:r>
        <w:rPr>
          <w:position w:val="1"/>
        </w:rPr>
        <w:t>in</w:t>
      </w:r>
      <w:r>
        <w:rPr>
          <w:spacing w:val="-2"/>
          <w:position w:val="1"/>
        </w:rPr>
        <w:t> </w:t>
      </w:r>
      <w:r>
        <w:rPr>
          <w:position w:val="1"/>
        </w:rPr>
        <w:t>each</w:t>
      </w:r>
      <w:r>
        <w:rPr>
          <w:spacing w:val="-2"/>
          <w:position w:val="1"/>
        </w:rPr>
        <w:t> </w:t>
      </w:r>
      <w:r>
        <w:rPr>
          <w:position w:val="1"/>
        </w:rPr>
        <w:t>case.</w:t>
      </w:r>
      <w:r>
        <w:rPr>
          <w:spacing w:val="1"/>
          <w:position w:val="1"/>
        </w:rPr>
        <w:t> </w:t>
      </w:r>
      <w:r>
        <w:rPr>
          <w:position w:val="1"/>
        </w:rPr>
        <w:t>As</w:t>
      </w:r>
      <w:r>
        <w:rPr>
          <w:spacing w:val="-1"/>
          <w:position w:val="1"/>
        </w:rPr>
        <w:t> </w:t>
      </w:r>
      <w:r>
        <w:rPr>
          <w:position w:val="1"/>
        </w:rPr>
        <w:t>noted</w:t>
      </w:r>
      <w:r>
        <w:rPr>
          <w:spacing w:val="-2"/>
          <w:position w:val="1"/>
        </w:rPr>
        <w:t> </w:t>
      </w:r>
      <w:r>
        <w:rPr>
          <w:position w:val="1"/>
        </w:rPr>
        <w:t>by</w:t>
      </w:r>
      <w:r>
        <w:rPr>
          <w:spacing w:val="-9"/>
          <w:position w:val="1"/>
        </w:rPr>
        <w:t> </w:t>
      </w:r>
      <w:r>
        <w:rPr>
          <w:position w:val="1"/>
        </w:rPr>
        <w:t>Williams</w:t>
      </w:r>
      <w:r>
        <w:rPr>
          <w:spacing w:val="4"/>
          <w:position w:val="1"/>
        </w:rPr>
        <w:t> </w:t>
      </w:r>
      <w:r>
        <w:rPr>
          <w:position w:val="1"/>
        </w:rPr>
        <w:t>(2017,</w:t>
      </w:r>
      <w:r>
        <w:rPr>
          <w:spacing w:val="-2"/>
          <w:position w:val="1"/>
        </w:rPr>
        <w:t> </w:t>
      </w:r>
      <w:r>
        <w:rPr>
          <w:position w:val="1"/>
        </w:rPr>
        <w:t>p.</w:t>
      </w:r>
      <w:r>
        <w:rPr>
          <w:spacing w:val="-2"/>
          <w:position w:val="1"/>
        </w:rPr>
        <w:t> </w:t>
      </w:r>
      <w:r>
        <w:rPr>
          <w:position w:val="1"/>
        </w:rPr>
        <w:t>79</w:t>
      </w:r>
      <w:r>
        <w:rPr>
          <w:sz w:val="13"/>
        </w:rPr>
        <w:t>[45]</w:t>
      </w:r>
      <w:r>
        <w:rPr>
          <w:position w:val="1"/>
        </w:rPr>
        <w:t>):</w:t>
      </w:r>
    </w:p>
    <w:p>
      <w:pPr>
        <w:spacing w:before="147"/>
        <w:ind w:left="862" w:right="985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609847pt;width:2.2pt;height:46.45pt;mso-position-horizontal-relative:page;mso-position-vertical-relative:paragraph;z-index:15767552" coordorigin="1832,92" coordsize="44,929" path="m1875,611l1832,611,1832,1021,1875,1021,1875,611xm1875,92l1832,92,1832,380,1832,611,1875,611,1875,380,1875,92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5"/>
          <w:sz w:val="20"/>
        </w:rPr>
        <w:t>Rectors of merging institutions generally bought in strongly. However decision-making processes largely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excluded students and staff as presumably critical, at least until mergers were well under way, although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institutional-level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planning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groups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consulted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students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staff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at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least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one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case.</w:t>
      </w:r>
    </w:p>
    <w:p>
      <w:pPr>
        <w:pStyle w:val="BodyText"/>
        <w:spacing w:before="5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4"/>
        <w:jc w:val="both"/>
      </w:pPr>
      <w:r>
        <w:rPr>
          <w:spacing w:val="-1"/>
        </w:rPr>
        <w:t>Whereas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creation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Aalto</w:t>
      </w:r>
      <w:r>
        <w:rPr>
          <w:spacing w:val="-11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(further</w:t>
      </w:r>
      <w:r>
        <w:rPr>
          <w:spacing w:val="-7"/>
        </w:rPr>
        <w:t> </w:t>
      </w:r>
      <w:r>
        <w:rPr/>
        <w:t>discussed</w:t>
      </w:r>
      <w:r>
        <w:rPr>
          <w:spacing w:val="-11"/>
        </w:rPr>
        <w:t> </w:t>
      </w:r>
      <w:r>
        <w:rPr/>
        <w:t>below</w:t>
      </w:r>
      <w:r>
        <w:rPr>
          <w:spacing w:val="-10"/>
        </w:rPr>
        <w:t> </w:t>
      </w:r>
      <w:r>
        <w:rPr/>
        <w:t>in</w:t>
      </w:r>
      <w:r>
        <w:rPr>
          <w:spacing w:val="-3"/>
        </w:rPr>
        <w:t> </w:t>
      </w:r>
      <w:hyperlink w:history="true" w:anchor="_bookmark67">
        <w:r>
          <w:rPr/>
          <w:t>Box</w:t>
        </w:r>
        <w:r>
          <w:rPr>
            <w:spacing w:val="-3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A.3</w:t>
        </w:r>
      </w:hyperlink>
      <w:r>
        <w:rPr/>
        <w:t>)</w:t>
      </w:r>
      <w:r>
        <w:rPr>
          <w:spacing w:val="-7"/>
        </w:rPr>
        <w:t> </w:t>
      </w:r>
      <w:r>
        <w:rPr/>
        <w:t>was</w:t>
      </w:r>
      <w:r>
        <w:rPr>
          <w:spacing w:val="-9"/>
        </w:rPr>
        <w:t> </w:t>
      </w:r>
      <w:r>
        <w:rPr/>
        <w:t>executed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 national policy imperatives, the movement toward creation of Tampere Universities was more locally</w:t>
      </w:r>
      <w:r>
        <w:rPr>
          <w:spacing w:val="1"/>
        </w:rPr>
        <w:t> </w:t>
      </w:r>
      <w:r>
        <w:rPr/>
        <w:t>driven. The merger was initially planned as part of the first round of applications in 2007, however, the</w:t>
      </w:r>
      <w:r>
        <w:rPr>
          <w:spacing w:val="1"/>
        </w:rPr>
        <w:t> </w:t>
      </w:r>
      <w:r>
        <w:rPr/>
        <w:t>process did not advance at that time. In 2014, renewed interest and plans for a merger were announced</w:t>
      </w:r>
      <w:r>
        <w:rPr>
          <w:spacing w:val="1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three</w:t>
      </w:r>
      <w:r>
        <w:rPr>
          <w:spacing w:val="-10"/>
        </w:rPr>
        <w:t> </w:t>
      </w:r>
      <w:r>
        <w:rPr/>
        <w:t>component</w:t>
      </w:r>
      <w:r>
        <w:rPr>
          <w:spacing w:val="-10"/>
        </w:rPr>
        <w:t> </w:t>
      </w:r>
      <w:r>
        <w:rPr/>
        <w:t>institutions,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MEDC</w:t>
      </w:r>
      <w:r>
        <w:rPr>
          <w:spacing w:val="-9"/>
        </w:rPr>
        <w:t> </w:t>
      </w:r>
      <w:r>
        <w:rPr/>
        <w:t>appointing</w:t>
      </w:r>
      <w:r>
        <w:rPr>
          <w:spacing w:val="-8"/>
        </w:rPr>
        <w:t> </w:t>
      </w:r>
      <w:r>
        <w:rPr/>
        <w:t>working,</w:t>
      </w:r>
      <w:r>
        <w:rPr>
          <w:spacing w:val="-10"/>
        </w:rPr>
        <w:t> </w:t>
      </w:r>
      <w:r>
        <w:rPr/>
        <w:t>steering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groups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merger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2015.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2016,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requested</w:t>
      </w:r>
      <w:r>
        <w:rPr>
          <w:spacing w:val="-4"/>
        </w:rPr>
        <w:t> </w:t>
      </w:r>
      <w:r>
        <w:rPr/>
        <w:t>EUR</w:t>
      </w:r>
      <w:r>
        <w:rPr>
          <w:spacing w:val="1"/>
        </w:rPr>
        <w:t> </w:t>
      </w:r>
      <w:r>
        <w:rPr/>
        <w:t>200</w:t>
      </w:r>
      <w:r>
        <w:rPr>
          <w:spacing w:val="-4"/>
        </w:rPr>
        <w:t> </w:t>
      </w:r>
      <w:r>
        <w:rPr/>
        <w:t>million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funding</w:t>
      </w:r>
      <w:r>
        <w:rPr>
          <w:spacing w:val="-5"/>
        </w:rPr>
        <w:t> </w:t>
      </w:r>
      <w:r>
        <w:rPr/>
        <w:t>from MEDC</w:t>
      </w:r>
      <w:r>
        <w:rPr>
          <w:spacing w:val="-53"/>
        </w:rPr>
        <w:t> </w:t>
      </w:r>
      <w:r>
        <w:rPr/>
        <w:t>for the merger, referencing the support that Aalto University received. The final merger funding approved</w:t>
      </w:r>
      <w:r>
        <w:rPr>
          <w:spacing w:val="1"/>
        </w:rPr>
        <w:t> </w:t>
      </w:r>
      <w:r>
        <w:rPr>
          <w:position w:val="1"/>
        </w:rPr>
        <w:t>by</w:t>
      </w:r>
      <w:r>
        <w:rPr>
          <w:spacing w:val="-5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ministry, however,</w:t>
      </w:r>
      <w:r>
        <w:rPr>
          <w:spacing w:val="-1"/>
          <w:position w:val="1"/>
        </w:rPr>
        <w:t> </w:t>
      </w:r>
      <w:r>
        <w:rPr>
          <w:position w:val="1"/>
        </w:rPr>
        <w:t>stood at</w:t>
      </w:r>
      <w:r>
        <w:rPr>
          <w:spacing w:val="-2"/>
          <w:position w:val="1"/>
        </w:rPr>
        <w:t> </w:t>
      </w:r>
      <w:r>
        <w:rPr>
          <w:position w:val="1"/>
        </w:rPr>
        <w:t>EUR</w:t>
      </w:r>
      <w:r>
        <w:rPr>
          <w:spacing w:val="3"/>
          <w:position w:val="1"/>
        </w:rPr>
        <w:t> </w:t>
      </w:r>
      <w:r>
        <w:rPr>
          <w:position w:val="1"/>
        </w:rPr>
        <w:t>22</w:t>
      </w:r>
      <w:r>
        <w:rPr>
          <w:spacing w:val="-2"/>
          <w:position w:val="1"/>
        </w:rPr>
        <w:t> </w:t>
      </w:r>
      <w:r>
        <w:rPr>
          <w:position w:val="1"/>
        </w:rPr>
        <w:t>million</w:t>
      </w:r>
      <w:r>
        <w:rPr>
          <w:spacing w:val="-1"/>
          <w:position w:val="1"/>
        </w:rPr>
        <w:t> </w:t>
      </w:r>
      <w:r>
        <w:rPr>
          <w:position w:val="1"/>
        </w:rPr>
        <w:t>(Keskinen,</w:t>
      </w:r>
      <w:r>
        <w:rPr>
          <w:spacing w:val="-3"/>
          <w:position w:val="1"/>
        </w:rPr>
        <w:t> </w:t>
      </w:r>
      <w:r>
        <w:rPr>
          <w:position w:val="1"/>
        </w:rPr>
        <w:t>2016</w:t>
      </w:r>
      <w:r>
        <w:rPr>
          <w:sz w:val="13"/>
        </w:rPr>
        <w:t>[46]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299"/>
        <w:jc w:val="both"/>
      </w:pPr>
      <w:r>
        <w:rPr/>
        <w:t>The process, which was completed in 2019, took place in two steps. First was the merger of the two</w:t>
      </w:r>
      <w:r>
        <w:rPr>
          <w:spacing w:val="1"/>
        </w:rPr>
        <w:t> </w:t>
      </w:r>
      <w:r>
        <w:rPr>
          <w:spacing w:val="-1"/>
        </w:rPr>
        <w:t>universities,</w:t>
      </w:r>
      <w:r>
        <w:rPr>
          <w:spacing w:val="-13"/>
        </w:rPr>
        <w:t> </w:t>
      </w:r>
      <w:r>
        <w:rPr>
          <w:spacing w:val="-1"/>
        </w:rPr>
        <w:t>University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Tampere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Tampere</w:t>
      </w:r>
      <w:r>
        <w:rPr>
          <w:spacing w:val="-13"/>
        </w:rPr>
        <w:t> </w:t>
      </w:r>
      <w:r>
        <w:rPr>
          <w:spacing w:val="-1"/>
        </w:rPr>
        <w:t>University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Technology</w:t>
      </w:r>
      <w:r>
        <w:rPr>
          <w:spacing w:val="-16"/>
        </w:rPr>
        <w:t> </w:t>
      </w:r>
      <w:r>
        <w:rPr/>
        <w:t>(driven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then-leadership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two</w:t>
      </w:r>
      <w:r>
        <w:rPr>
          <w:spacing w:val="-11"/>
        </w:rPr>
        <w:t> </w:t>
      </w:r>
      <w:r>
        <w:rPr/>
        <w:t>universities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involving</w:t>
      </w:r>
      <w:r>
        <w:rPr>
          <w:spacing w:val="-13"/>
        </w:rPr>
        <w:t> </w:t>
      </w:r>
      <w:r>
        <w:rPr/>
        <w:t>rounds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contentious</w:t>
      </w:r>
      <w:r>
        <w:rPr>
          <w:spacing w:val="-11"/>
        </w:rPr>
        <w:t> </w:t>
      </w:r>
      <w:r>
        <w:rPr/>
        <w:t>internal</w:t>
      </w:r>
      <w:r>
        <w:rPr>
          <w:spacing w:val="-12"/>
        </w:rPr>
        <w:t> </w:t>
      </w:r>
      <w:r>
        <w:rPr/>
        <w:t>consultation</w:t>
      </w:r>
      <w:r>
        <w:rPr>
          <w:spacing w:val="-10"/>
        </w:rPr>
        <w:t> </w:t>
      </w:r>
      <w:r>
        <w:rPr/>
        <w:t>with</w:t>
      </w:r>
      <w:r>
        <w:rPr>
          <w:spacing w:val="-13"/>
        </w:rPr>
        <w:t> </w:t>
      </w:r>
      <w:r>
        <w:rPr/>
        <w:t>staff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faculty,</w:t>
      </w:r>
      <w:r>
        <w:rPr>
          <w:spacing w:val="-11"/>
        </w:rPr>
        <w:t> </w:t>
      </w:r>
      <w:r>
        <w:rPr/>
        <w:t>many</w:t>
      </w:r>
      <w:r>
        <w:rPr>
          <w:spacing w:val="1"/>
        </w:rPr>
        <w:t> </w:t>
      </w:r>
      <w:r>
        <w:rPr/>
        <w:t>of whom were committed to the existing separate institutions and their governance structures). This was</w:t>
      </w:r>
      <w:r>
        <w:rPr>
          <w:spacing w:val="1"/>
        </w:rPr>
        <w:t> </w:t>
      </w:r>
      <w:r>
        <w:rPr/>
        <w:t>followed by the creation of a university consortium, which allowed the new university to own the majority</w:t>
      </w:r>
      <w:r>
        <w:rPr>
          <w:spacing w:val="1"/>
        </w:rPr>
        <w:t> </w:t>
      </w:r>
      <w:r>
        <w:rPr/>
        <w:t>of stock in the Tampere University of Applied Sciences (divided stock-based ownership of UAS is further</w:t>
      </w:r>
      <w:r>
        <w:rPr>
          <w:spacing w:val="1"/>
        </w:rPr>
        <w:t> </w:t>
      </w:r>
      <w:r>
        <w:rPr/>
        <w:t>discussed below). This process allowed for a form of merger between two universities and a UAS. This</w:t>
      </w:r>
      <w:r>
        <w:rPr>
          <w:spacing w:val="1"/>
        </w:rPr>
        <w:t> </w:t>
      </w:r>
      <w:r>
        <w:rPr>
          <w:spacing w:val="-1"/>
        </w:rPr>
        <w:t>approach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part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response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historical</w:t>
      </w:r>
      <w:r>
        <w:rPr>
          <w:spacing w:val="-12"/>
        </w:rPr>
        <w:t> </w:t>
      </w:r>
      <w:r>
        <w:rPr/>
        <w:t>concerns</w:t>
      </w:r>
      <w:r>
        <w:rPr>
          <w:spacing w:val="-9"/>
        </w:rPr>
        <w:t> </w:t>
      </w:r>
      <w:r>
        <w:rPr/>
        <w:t>about</w:t>
      </w:r>
      <w:r>
        <w:rPr>
          <w:spacing w:val="-12"/>
        </w:rPr>
        <w:t> </w:t>
      </w:r>
      <w:r>
        <w:rPr/>
        <w:t>merging</w:t>
      </w:r>
      <w:r>
        <w:rPr>
          <w:spacing w:val="-13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respective</w:t>
      </w:r>
      <w:r>
        <w:rPr>
          <w:spacing w:val="-13"/>
        </w:rPr>
        <w:t> </w:t>
      </w:r>
      <w:r>
        <w:rPr/>
        <w:t>sides</w:t>
      </w:r>
      <w:r>
        <w:rPr>
          <w:spacing w:val="1"/>
        </w:rPr>
        <w:t> </w:t>
      </w:r>
      <w:r>
        <w:rPr>
          <w:position w:val="1"/>
        </w:rPr>
        <w:t>of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-4"/>
          <w:position w:val="1"/>
        </w:rPr>
        <w:t> </w:t>
      </w:r>
      <w:r>
        <w:rPr>
          <w:position w:val="1"/>
        </w:rPr>
        <w:t>binary</w:t>
      </w:r>
      <w:r>
        <w:rPr>
          <w:spacing w:val="-6"/>
          <w:position w:val="1"/>
        </w:rPr>
        <w:t> </w:t>
      </w:r>
      <w:r>
        <w:rPr>
          <w:position w:val="1"/>
        </w:rPr>
        <w:t>HE</w:t>
      </w:r>
      <w:r>
        <w:rPr>
          <w:spacing w:val="-4"/>
          <w:position w:val="1"/>
        </w:rPr>
        <w:t> </w:t>
      </w:r>
      <w:r>
        <w:rPr>
          <w:position w:val="1"/>
        </w:rPr>
        <w:t>system</w:t>
      </w:r>
      <w:r>
        <w:rPr>
          <w:spacing w:val="1"/>
          <w:position w:val="1"/>
        </w:rPr>
        <w:t> </w:t>
      </w:r>
      <w:r>
        <w:rPr>
          <w:position w:val="1"/>
        </w:rPr>
        <w:t>(Williams,</w:t>
      </w:r>
      <w:r>
        <w:rPr>
          <w:spacing w:val="-4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[45]</w:t>
      </w:r>
      <w:r>
        <w:rPr>
          <w:position w:val="1"/>
        </w:rPr>
        <w:t>).</w:t>
      </w:r>
      <w:r>
        <w:rPr>
          <w:spacing w:val="-3"/>
          <w:position w:val="1"/>
        </w:rPr>
        <w:t> </w:t>
      </w:r>
      <w:r>
        <w:rPr>
          <w:position w:val="1"/>
        </w:rPr>
        <w:t>In</w:t>
      </w:r>
      <w:r>
        <w:rPr>
          <w:spacing w:val="-4"/>
          <w:position w:val="1"/>
        </w:rPr>
        <w:t> </w:t>
      </w:r>
      <w:r>
        <w:rPr>
          <w:position w:val="1"/>
        </w:rPr>
        <w:t>addition,</w:t>
      </w:r>
      <w:r>
        <w:rPr>
          <w:spacing w:val="-4"/>
          <w:position w:val="1"/>
        </w:rPr>
        <w:t> </w:t>
      </w:r>
      <w:r>
        <w:rPr>
          <w:position w:val="1"/>
        </w:rPr>
        <w:t>it</w:t>
      </w:r>
      <w:r>
        <w:rPr>
          <w:spacing w:val="-3"/>
          <w:position w:val="1"/>
        </w:rPr>
        <w:t> </w:t>
      </w:r>
      <w:r>
        <w:rPr>
          <w:position w:val="1"/>
        </w:rPr>
        <w:t>has</w:t>
      </w:r>
      <w:r>
        <w:rPr>
          <w:spacing w:val="-3"/>
          <w:position w:val="1"/>
        </w:rPr>
        <w:t> </w:t>
      </w:r>
      <w:r>
        <w:rPr>
          <w:position w:val="1"/>
        </w:rPr>
        <w:t>been</w:t>
      </w:r>
      <w:r>
        <w:rPr>
          <w:spacing w:val="-5"/>
          <w:position w:val="1"/>
        </w:rPr>
        <w:t> </w:t>
      </w:r>
      <w:r>
        <w:rPr>
          <w:position w:val="1"/>
        </w:rPr>
        <w:t>noted</w:t>
      </w:r>
      <w:r>
        <w:rPr>
          <w:spacing w:val="-3"/>
          <w:position w:val="1"/>
        </w:rPr>
        <w:t> </w:t>
      </w:r>
      <w:r>
        <w:rPr>
          <w:position w:val="1"/>
        </w:rPr>
        <w:t>that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merging</w:t>
      </w:r>
      <w:r>
        <w:rPr>
          <w:spacing w:val="-4"/>
          <w:position w:val="1"/>
        </w:rPr>
        <w:t> </w:t>
      </w:r>
      <w:r>
        <w:rPr>
          <w:position w:val="1"/>
        </w:rPr>
        <w:t>of</w:t>
      </w:r>
      <w:r>
        <w:rPr>
          <w:spacing w:val="-2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multiple</w:t>
      </w:r>
      <w:r>
        <w:rPr>
          <w:spacing w:val="1"/>
          <w:position w:val="1"/>
        </w:rPr>
        <w:t> </w:t>
      </w:r>
      <w:r>
        <w:rPr/>
        <w:t>and distinct HEIs has caused ongoing challenges, both during the protracted merger process (Myklebust,</w:t>
      </w:r>
      <w:r>
        <w:rPr>
          <w:spacing w:val="-53"/>
        </w:rPr>
        <w:t> </w:t>
      </w:r>
      <w:r>
        <w:rPr>
          <w:position w:val="1"/>
        </w:rPr>
        <w:t>2019</w:t>
      </w:r>
      <w:r>
        <w:rPr>
          <w:sz w:val="13"/>
        </w:rPr>
        <w:t>[47]</w:t>
      </w:r>
      <w:r>
        <w:rPr>
          <w:position w:val="1"/>
        </w:rPr>
        <w:t>), and since completion, where it has been noted that the institution has struggled in developing a</w:t>
      </w:r>
      <w:r>
        <w:rPr>
          <w:spacing w:val="1"/>
          <w:position w:val="1"/>
        </w:rPr>
        <w:t> </w:t>
      </w:r>
      <w:r>
        <w:rPr>
          <w:position w:val="1"/>
        </w:rPr>
        <w:t>strong</w:t>
      </w:r>
      <w:r>
        <w:rPr>
          <w:spacing w:val="-2"/>
          <w:position w:val="1"/>
        </w:rPr>
        <w:t> </w:t>
      </w:r>
      <w:r>
        <w:rPr>
          <w:position w:val="1"/>
        </w:rPr>
        <w:t>university</w:t>
      </w:r>
      <w:r>
        <w:rPr>
          <w:spacing w:val="-5"/>
          <w:position w:val="1"/>
        </w:rPr>
        <w:t> </w:t>
      </w:r>
      <w:r>
        <w:rPr>
          <w:position w:val="1"/>
        </w:rPr>
        <w:t>identity, as</w:t>
      </w:r>
      <w:r>
        <w:rPr>
          <w:spacing w:val="-1"/>
          <w:position w:val="1"/>
        </w:rPr>
        <w:t> </w:t>
      </w:r>
      <w:r>
        <w:rPr>
          <w:position w:val="1"/>
        </w:rPr>
        <w:t>inter-disciplinary</w:t>
      </w:r>
      <w:r>
        <w:rPr>
          <w:spacing w:val="-5"/>
          <w:position w:val="1"/>
        </w:rPr>
        <w:t> </w:t>
      </w:r>
      <w:r>
        <w:rPr>
          <w:position w:val="1"/>
        </w:rPr>
        <w:t>divisions</w:t>
      </w:r>
      <w:r>
        <w:rPr>
          <w:spacing w:val="2"/>
          <w:position w:val="1"/>
        </w:rPr>
        <w:t> </w:t>
      </w:r>
      <w:r>
        <w:rPr>
          <w:position w:val="1"/>
        </w:rPr>
        <w:t>remain</w:t>
      </w:r>
      <w:r>
        <w:rPr>
          <w:spacing w:val="1"/>
          <w:position w:val="1"/>
        </w:rPr>
        <w:t> </w:t>
      </w:r>
      <w:r>
        <w:rPr>
          <w:position w:val="1"/>
        </w:rPr>
        <w:t>(Vellamo</w:t>
      </w:r>
      <w:r>
        <w:rPr>
          <w:spacing w:val="-2"/>
          <w:position w:val="1"/>
        </w:rPr>
        <w:t> </w:t>
      </w:r>
      <w:r>
        <w:rPr>
          <w:position w:val="1"/>
        </w:rPr>
        <w:t>et</w:t>
      </w:r>
      <w:r>
        <w:rPr>
          <w:spacing w:val="-2"/>
          <w:position w:val="1"/>
        </w:rPr>
        <w:t> </w:t>
      </w:r>
      <w:r>
        <w:rPr>
          <w:position w:val="1"/>
        </w:rPr>
        <w:t>al.,</w:t>
      </w:r>
      <w:r>
        <w:rPr>
          <w:spacing w:val="-2"/>
          <w:position w:val="1"/>
        </w:rPr>
        <w:t> </w:t>
      </w:r>
      <w:r>
        <w:rPr>
          <w:position w:val="1"/>
        </w:rPr>
        <w:t>2020</w:t>
      </w:r>
      <w:r>
        <w:rPr>
          <w:sz w:val="13"/>
        </w:rPr>
        <w:t>[48]</w:t>
      </w:r>
      <w:r>
        <w:rPr>
          <w:position w:val="1"/>
        </w:rPr>
        <w:t>).</w:t>
      </w:r>
    </w:p>
    <w:p>
      <w:pPr>
        <w:pStyle w:val="Heading8"/>
        <w:spacing w:before="120"/>
      </w:pPr>
      <w:r>
        <w:rPr/>
        <w:t>University</w:t>
      </w:r>
      <w:r>
        <w:rPr>
          <w:spacing w:val="-11"/>
        </w:rPr>
        <w:t> </w:t>
      </w:r>
      <w:r>
        <w:rPr/>
        <w:t>specialisation</w:t>
      </w:r>
    </w:p>
    <w:p>
      <w:pPr>
        <w:pStyle w:val="BodyText"/>
        <w:spacing w:line="271" w:lineRule="auto" w:before="154"/>
        <w:ind w:left="183" w:right="302"/>
        <w:jc w:val="both"/>
      </w:pPr>
      <w:r>
        <w:rPr/>
        <w:t>Beginning in parallel, and continuing through the merger process, MEDC sought to push institutions to</w:t>
      </w:r>
      <w:r>
        <w:rPr>
          <w:spacing w:val="1"/>
        </w:rPr>
        <w:t> </w:t>
      </w:r>
      <w:r>
        <w:rPr/>
        <w:t>specialise in specific research areas and subjects, becoming “centres of excellence” (Nokkala, Välimaa</w:t>
      </w:r>
      <w:r>
        <w:rPr>
          <w:spacing w:val="1"/>
        </w:rPr>
        <w:t> </w:t>
      </w:r>
      <w:r>
        <w:rPr>
          <w:position w:val="1"/>
        </w:rPr>
        <w:t>and</w:t>
      </w:r>
      <w:r>
        <w:rPr>
          <w:spacing w:val="-12"/>
          <w:position w:val="1"/>
        </w:rPr>
        <w:t> </w:t>
      </w:r>
      <w:r>
        <w:rPr>
          <w:position w:val="1"/>
        </w:rPr>
        <w:t>Westerheijden,</w:t>
      </w:r>
      <w:r>
        <w:rPr>
          <w:spacing w:val="-6"/>
          <w:position w:val="1"/>
        </w:rPr>
        <w:t> </w:t>
      </w:r>
      <w:r>
        <w:rPr>
          <w:position w:val="1"/>
        </w:rPr>
        <w:t>2016</w:t>
      </w:r>
      <w:r>
        <w:rPr>
          <w:sz w:val="13"/>
        </w:rPr>
        <w:t>[39]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The</w:t>
      </w:r>
      <w:r>
        <w:rPr>
          <w:spacing w:val="-8"/>
          <w:position w:val="1"/>
        </w:rPr>
        <w:t> </w:t>
      </w:r>
      <w:r>
        <w:rPr>
          <w:position w:val="1"/>
        </w:rPr>
        <w:t>main</w:t>
      </w:r>
      <w:r>
        <w:rPr>
          <w:spacing w:val="-8"/>
          <w:position w:val="1"/>
        </w:rPr>
        <w:t> </w:t>
      </w:r>
      <w:r>
        <w:rPr>
          <w:position w:val="1"/>
        </w:rPr>
        <w:t>methods</w:t>
      </w:r>
      <w:r>
        <w:rPr>
          <w:spacing w:val="-5"/>
          <w:position w:val="1"/>
        </w:rPr>
        <w:t> </w:t>
      </w:r>
      <w:r>
        <w:rPr>
          <w:position w:val="1"/>
        </w:rPr>
        <w:t>proposed</w:t>
      </w:r>
      <w:r>
        <w:rPr>
          <w:spacing w:val="-6"/>
          <w:position w:val="1"/>
        </w:rPr>
        <w:t> </w:t>
      </w:r>
      <w:r>
        <w:rPr>
          <w:position w:val="1"/>
        </w:rPr>
        <w:t>to</w:t>
      </w:r>
      <w:r>
        <w:rPr>
          <w:spacing w:val="-6"/>
          <w:position w:val="1"/>
        </w:rPr>
        <w:t> </w:t>
      </w:r>
      <w:r>
        <w:rPr>
          <w:position w:val="1"/>
        </w:rPr>
        <w:t>deliver</w:t>
      </w:r>
      <w:r>
        <w:rPr>
          <w:spacing w:val="-6"/>
          <w:position w:val="1"/>
        </w:rPr>
        <w:t> </w:t>
      </w:r>
      <w:r>
        <w:rPr>
          <w:position w:val="1"/>
        </w:rPr>
        <w:t>these</w:t>
      </w:r>
      <w:r>
        <w:rPr>
          <w:spacing w:val="-6"/>
          <w:position w:val="1"/>
        </w:rPr>
        <w:t> </w:t>
      </w:r>
      <w:r>
        <w:rPr>
          <w:position w:val="1"/>
        </w:rPr>
        <w:t>outcomes</w:t>
      </w:r>
      <w:r>
        <w:rPr>
          <w:spacing w:val="-6"/>
          <w:position w:val="1"/>
        </w:rPr>
        <w:t> </w:t>
      </w:r>
      <w:r>
        <w:rPr>
          <w:position w:val="1"/>
        </w:rPr>
        <w:t>outlined</w:t>
      </w:r>
      <w:r>
        <w:rPr>
          <w:spacing w:val="-6"/>
          <w:position w:val="1"/>
        </w:rPr>
        <w:t> </w:t>
      </w:r>
      <w:r>
        <w:rPr>
          <w:position w:val="1"/>
        </w:rPr>
        <w:t>in</w:t>
      </w:r>
      <w:r>
        <w:rPr>
          <w:spacing w:val="-7"/>
          <w:position w:val="1"/>
        </w:rPr>
        <w:t> </w:t>
      </w:r>
      <w:r>
        <w:rPr>
          <w:position w:val="1"/>
        </w:rPr>
        <w:t>the</w:t>
      </w:r>
      <w:r>
        <w:rPr>
          <w:spacing w:val="-6"/>
          <w:position w:val="1"/>
        </w:rPr>
        <w:t> </w:t>
      </w:r>
      <w:r>
        <w:rPr>
          <w:position w:val="1"/>
        </w:rPr>
        <w:t>same</w:t>
      </w:r>
      <w:r>
        <w:rPr>
          <w:spacing w:val="-53"/>
          <w:position w:val="1"/>
        </w:rPr>
        <w:t> </w:t>
      </w:r>
      <w:r>
        <w:rPr/>
        <w:t>2006 MEDC</w:t>
      </w:r>
      <w:r>
        <w:rPr>
          <w:spacing w:val="-1"/>
        </w:rPr>
        <w:t> </w:t>
      </w:r>
      <w:r>
        <w:rPr/>
        <w:t>discussion paper consisted</w:t>
      </w:r>
      <w:r>
        <w:rPr>
          <w:spacing w:val="-2"/>
        </w:rPr>
        <w:t> </w:t>
      </w:r>
      <w:r>
        <w:rPr/>
        <w:t>of: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6" w:lineRule="auto" w:before="99" w:after="0"/>
        <w:ind w:left="862" w:right="313" w:hanging="339"/>
        <w:jc w:val="both"/>
        <w:rPr>
          <w:sz w:val="20"/>
        </w:rPr>
      </w:pPr>
      <w:r>
        <w:rPr>
          <w:sz w:val="20"/>
        </w:rPr>
        <w:t>institutional co-operation and mergers between universities, the aim of which was to increase the</w:t>
      </w:r>
      <w:r>
        <w:rPr>
          <w:spacing w:val="1"/>
          <w:sz w:val="20"/>
        </w:rPr>
        <w:t> </w:t>
      </w:r>
      <w:r>
        <w:rPr>
          <w:sz w:val="20"/>
        </w:rPr>
        <w:t>performance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institutions,</w:t>
      </w:r>
      <w:r>
        <w:rPr>
          <w:spacing w:val="-1"/>
          <w:sz w:val="20"/>
        </w:rPr>
        <w:t> </w:t>
      </w:r>
      <w:r>
        <w:rPr>
          <w:sz w:val="20"/>
        </w:rPr>
        <w:t>both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terms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global</w:t>
      </w:r>
      <w:r>
        <w:rPr>
          <w:spacing w:val="-4"/>
          <w:sz w:val="20"/>
        </w:rPr>
        <w:t> </w:t>
      </w:r>
      <w:r>
        <w:rPr>
          <w:sz w:val="20"/>
        </w:rPr>
        <w:t>recognition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z w:val="20"/>
        </w:rPr>
        <w:t>output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66" w:lineRule="auto" w:before="53" w:after="0"/>
        <w:ind w:left="862" w:right="313" w:hanging="339"/>
        <w:jc w:val="both"/>
        <w:rPr>
          <w:sz w:val="20"/>
        </w:rPr>
      </w:pPr>
      <w:r>
        <w:rPr>
          <w:sz w:val="20"/>
        </w:rPr>
        <w:t>allocation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government</w:t>
      </w:r>
      <w:r>
        <w:rPr>
          <w:spacing w:val="1"/>
          <w:sz w:val="20"/>
        </w:rPr>
        <w:t> </w:t>
      </w:r>
      <w:r>
        <w:rPr>
          <w:sz w:val="20"/>
        </w:rPr>
        <w:t>funding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resources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HEIs</w:t>
      </w:r>
      <w:r>
        <w:rPr>
          <w:spacing w:val="1"/>
          <w:sz w:val="20"/>
        </w:rPr>
        <w:t> </w:t>
      </w:r>
      <w:r>
        <w:rPr>
          <w:sz w:val="20"/>
        </w:rPr>
        <w:t>would</w:t>
      </w:r>
      <w:r>
        <w:rPr>
          <w:spacing w:val="1"/>
          <w:sz w:val="20"/>
        </w:rPr>
        <w:t> </w:t>
      </w:r>
      <w:r>
        <w:rPr>
          <w:sz w:val="20"/>
        </w:rPr>
        <w:t>receive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result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specialisation</w:t>
      </w:r>
      <w:r>
        <w:rPr>
          <w:spacing w:val="-1"/>
          <w:sz w:val="20"/>
        </w:rPr>
        <w:t> </w:t>
      </w:r>
      <w:r>
        <w:rPr>
          <w:sz w:val="20"/>
        </w:rPr>
        <w:t>efforts (indicated in </w:t>
      </w:r>
      <w:hyperlink w:history="true" w:anchor="_bookmark66">
        <w:r>
          <w:rPr>
            <w:sz w:val="20"/>
          </w:rPr>
          <w:t>Table</w:t>
        </w:r>
        <w:r>
          <w:rPr>
            <w:spacing w:val="1"/>
            <w:sz w:val="20"/>
          </w:rPr>
          <w:t> </w:t>
        </w:r>
        <w:r>
          <w:rPr>
            <w:sz w:val="20"/>
          </w:rPr>
          <w:t>A</w:t>
        </w:r>
        <w:r>
          <w:rPr>
            <w:spacing w:val="-3"/>
            <w:sz w:val="20"/>
          </w:rPr>
          <w:t> </w:t>
        </w:r>
        <w:r>
          <w:rPr>
            <w:sz w:val="20"/>
          </w:rPr>
          <w:t>A.4</w:t>
        </w:r>
        <w:r>
          <w:rPr>
            <w:spacing w:val="-2"/>
            <w:sz w:val="20"/>
          </w:rPr>
          <w:t> </w:t>
        </w:r>
      </w:hyperlink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“strategic</w:t>
      </w:r>
      <w:r>
        <w:rPr>
          <w:spacing w:val="1"/>
          <w:sz w:val="20"/>
        </w:rPr>
        <w:t> </w:t>
      </w:r>
      <w:r>
        <w:rPr>
          <w:sz w:val="20"/>
        </w:rPr>
        <w:t>development”)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71" w:lineRule="auto" w:before="51" w:after="0"/>
        <w:ind w:left="862" w:right="314" w:hanging="339"/>
        <w:jc w:val="both"/>
        <w:rPr>
          <w:sz w:val="20"/>
        </w:rPr>
      </w:pPr>
      <w:r>
        <w:rPr>
          <w:sz w:val="20"/>
        </w:rPr>
        <w:t>pushing for further reform of governance and leadership, which would drive a more focused and</w:t>
      </w:r>
      <w:r>
        <w:rPr>
          <w:spacing w:val="1"/>
          <w:sz w:val="20"/>
        </w:rPr>
        <w:t> </w:t>
      </w:r>
      <w:r>
        <w:rPr>
          <w:sz w:val="20"/>
        </w:rPr>
        <w:t>managerial approach, allowing institutions to execute specific strategies on research output and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the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development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of sectoral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expertise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(Nokkala,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Välimaa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Westerheijden,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2016</w:t>
      </w:r>
      <w:r>
        <w:rPr>
          <w:sz w:val="13"/>
        </w:rPr>
        <w:t>[39]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25"/>
        <w:ind w:left="183" w:right="304"/>
        <w:jc w:val="both"/>
      </w:pPr>
      <w:r>
        <w:rPr/>
        <w:t>A further tool to facilitate specialisation and “centres of excellence” has been the creation of foundation</w:t>
      </w:r>
      <w:r>
        <w:rPr>
          <w:spacing w:val="1"/>
        </w:rPr>
        <w:t> </w:t>
      </w:r>
      <w:r>
        <w:rPr/>
        <w:t>universities. These two universities (Aalto University and Tampere Universities) operate similarly to non-</w:t>
      </w:r>
      <w:r>
        <w:rPr>
          <w:spacing w:val="1"/>
        </w:rPr>
        <w:t> </w:t>
      </w:r>
      <w:r>
        <w:rPr/>
        <w:t>foundation, public universities. Stakeholders interviewed by the OECD team confirmed that in practical</w:t>
      </w:r>
      <w:r>
        <w:rPr>
          <w:spacing w:val="1"/>
        </w:rPr>
        <w:t> </w:t>
      </w:r>
      <w:r>
        <w:rPr/>
        <w:t>day-to-day management, there is little difference. However, in terms of their governance, foundation</w:t>
      </w:r>
      <w:r>
        <w:rPr>
          <w:spacing w:val="1"/>
        </w:rPr>
        <w:t> </w:t>
      </w:r>
      <w:r>
        <w:rPr/>
        <w:t>universities differ in that their board is made up entirely of members external to the university itself,</w:t>
      </w:r>
      <w:r>
        <w:rPr>
          <w:spacing w:val="1"/>
        </w:rPr>
        <w:t> </w:t>
      </w:r>
      <w:r>
        <w:rPr/>
        <w:t>representing the wider civic and business community. As highlighted in the description of the merger</w:t>
      </w:r>
      <w:r>
        <w:rPr>
          <w:spacing w:val="1"/>
        </w:rPr>
        <w:t> </w:t>
      </w:r>
      <w:r>
        <w:rPr/>
        <w:t>process,</w:t>
      </w:r>
      <w:r>
        <w:rPr>
          <w:spacing w:val="-6"/>
        </w:rPr>
        <w:t> </w:t>
      </w:r>
      <w:r>
        <w:rPr/>
        <w:t>foundation</w:t>
      </w:r>
      <w:r>
        <w:rPr>
          <w:spacing w:val="-6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form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capital</w:t>
      </w:r>
      <w:r>
        <w:rPr>
          <w:spacing w:val="-4"/>
        </w:rPr>
        <w:t> </w:t>
      </w:r>
      <w:r>
        <w:rPr/>
        <w:t>endowment</w:t>
      </w:r>
      <w:r>
        <w:rPr>
          <w:spacing w:val="-5"/>
        </w:rPr>
        <w:t> </w:t>
      </w:r>
      <w:r>
        <w:rPr/>
        <w:t>(a</w:t>
      </w:r>
      <w:r>
        <w:rPr>
          <w:spacing w:val="-5"/>
        </w:rPr>
        <w:t> </w:t>
      </w:r>
      <w:r>
        <w:rPr/>
        <w:t>policy</w:t>
      </w:r>
      <w:r>
        <w:rPr>
          <w:spacing w:val="-8"/>
        </w:rPr>
        <w:t> </w:t>
      </w:r>
      <w:r>
        <w:rPr/>
        <w:t>later</w:t>
      </w:r>
      <w:r>
        <w:rPr>
          <w:spacing w:val="-4"/>
        </w:rPr>
        <w:t> </w:t>
      </w:r>
      <w:r>
        <w:rPr/>
        <w:t>expanded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universities)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improved</w:t>
      </w:r>
      <w:r>
        <w:rPr>
          <w:spacing w:val="-6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independence.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outcome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5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fiscal</w:t>
      </w:r>
      <w:r>
        <w:rPr>
          <w:spacing w:val="-6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foundation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raising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funds</w:t>
      </w:r>
      <w:r>
        <w:rPr>
          <w:spacing w:val="2"/>
        </w:rPr>
        <w:t> </w:t>
      </w:r>
      <w:r>
        <w:rPr/>
        <w:t>(initially</w:t>
      </w:r>
      <w:r>
        <w:rPr>
          <w:spacing w:val="-4"/>
        </w:rPr>
        <w:t> </w:t>
      </w:r>
      <w:r>
        <w:rPr/>
        <w:t>matched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0"/>
        <w:jc w:val="both"/>
      </w:pPr>
      <w:r>
        <w:rPr>
          <w:spacing w:val="-1"/>
        </w:rPr>
        <w:t>government),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result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13"/>
        </w:rPr>
        <w:t> </w:t>
      </w:r>
      <w:r>
        <w:rPr>
          <w:spacing w:val="-1"/>
        </w:rPr>
        <w:t>larger</w:t>
      </w:r>
      <w:r>
        <w:rPr>
          <w:spacing w:val="-11"/>
        </w:rPr>
        <w:t> </w:t>
      </w:r>
      <w:r>
        <w:rPr/>
        <w:t>endowments</w:t>
      </w:r>
      <w:r>
        <w:rPr>
          <w:spacing w:val="-12"/>
        </w:rPr>
        <w:t> </w:t>
      </w:r>
      <w:r>
        <w:rPr/>
        <w:t>than</w:t>
      </w:r>
      <w:r>
        <w:rPr>
          <w:spacing w:val="-13"/>
        </w:rPr>
        <w:t> </w:t>
      </w:r>
      <w:r>
        <w:rPr/>
        <w:t>non-foundation</w:t>
      </w:r>
      <w:r>
        <w:rPr>
          <w:spacing w:val="-10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(the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Aalto’s</w:t>
      </w:r>
      <w:r>
        <w:rPr>
          <w:spacing w:val="1"/>
        </w:rPr>
        <w:t> </w:t>
      </w:r>
      <w:r>
        <w:rPr>
          <w:position w:val="1"/>
        </w:rPr>
        <w:t>endowment stood at EUR 983 million in 2019) (Aalto University, 2020</w:t>
      </w:r>
      <w:r>
        <w:rPr>
          <w:sz w:val="13"/>
        </w:rPr>
        <w:t>[49]</w:t>
      </w:r>
      <w:r>
        <w:rPr>
          <w:position w:val="1"/>
        </w:rPr>
        <w:t>). The foundation universities are</w:t>
      </w:r>
      <w:r>
        <w:rPr>
          <w:spacing w:val="-53"/>
          <w:position w:val="1"/>
        </w:rPr>
        <w:t> </w:t>
      </w:r>
      <w:r>
        <w:rPr/>
        <w:t>two of the largest universities (2016 student enrolment was around 18 000 for Aalto and 13 000 for</w:t>
      </w:r>
      <w:r>
        <w:rPr>
          <w:spacing w:val="1"/>
        </w:rPr>
        <w:t> </w:t>
      </w:r>
      <w:r>
        <w:rPr>
          <w:position w:val="1"/>
        </w:rPr>
        <w:t>Tampere (ETER, 2021</w:t>
      </w:r>
      <w:r>
        <w:rPr>
          <w:sz w:val="13"/>
        </w:rPr>
        <w:t>[18]</w:t>
      </w:r>
      <w:r>
        <w:rPr>
          <w:position w:val="1"/>
        </w:rPr>
        <w:t>)), and are prioritised by MEDC in seeking global recognition and as centres of</w:t>
      </w:r>
      <w:r>
        <w:rPr>
          <w:spacing w:val="1"/>
          <w:position w:val="1"/>
        </w:rPr>
        <w:t> </w:t>
      </w:r>
      <w:r>
        <w:rPr/>
        <w:t>collaborative international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spacing w:line="271" w:lineRule="auto" w:before="119"/>
        <w:ind w:left="183" w:right="302"/>
        <w:jc w:val="both"/>
      </w:pPr>
      <w:r>
        <w:rPr/>
        <w:t>Increasing differentiation was also an element of the Development Plan for Education and Research</w:t>
      </w:r>
      <w:r>
        <w:rPr>
          <w:spacing w:val="1"/>
        </w:rPr>
        <w:t> </w:t>
      </w:r>
      <w:r>
        <w:rPr/>
        <w:t>2007-12 (the five-year strategy document that was in place during the reform period), which covers all</w:t>
      </w:r>
      <w:r>
        <w:rPr>
          <w:spacing w:val="1"/>
        </w:rPr>
        <w:t> </w:t>
      </w:r>
      <w:r>
        <w:rPr/>
        <w:t>UAS, foundation and public universities. The plan detailed a strategy for education specialisation and</w:t>
      </w:r>
      <w:r>
        <w:rPr>
          <w:spacing w:val="1"/>
        </w:rPr>
        <w:t> </w:t>
      </w:r>
      <w:r>
        <w:rPr/>
        <w:t>differentiation,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overarching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prioritisation. Some universities would, for instance, specialise as international research universities and</w:t>
      </w:r>
      <w:r>
        <w:rPr>
          <w:spacing w:val="1"/>
        </w:rPr>
        <w:t> </w:t>
      </w:r>
      <w:r>
        <w:rPr/>
        <w:t>each university and polytechnic is expected to have a unique “profile” of teaching, research and industry</w:t>
      </w:r>
      <w:r>
        <w:rPr>
          <w:spacing w:val="1"/>
        </w:rPr>
        <w:t> </w:t>
      </w:r>
      <w:r>
        <w:rPr>
          <w:position w:val="1"/>
        </w:rPr>
        <w:t>alignment (Nokkala, Välimaa and Westerheijden, 2016</w:t>
      </w:r>
      <w:r>
        <w:rPr>
          <w:sz w:val="13"/>
        </w:rPr>
        <w:t>[39]</w:t>
      </w:r>
      <w:r>
        <w:rPr>
          <w:position w:val="1"/>
        </w:rPr>
        <w:t>). The “strategic” sub-streams within the funding</w:t>
      </w:r>
      <w:r>
        <w:rPr>
          <w:spacing w:val="-53"/>
          <w:position w:val="1"/>
        </w:rPr>
        <w:t> </w:t>
      </w:r>
      <w:r>
        <w:rPr>
          <w:spacing w:val="-1"/>
        </w:rPr>
        <w:t>allocation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outlined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hyperlink w:history="true" w:anchor="_bookmark66">
        <w:r>
          <w:rPr/>
          <w:t>Table</w:t>
        </w:r>
        <w:r>
          <w:rPr>
            <w:spacing w:val="-3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A.4</w:t>
        </w:r>
        <w:r>
          <w:rPr>
            <w:spacing w:val="-11"/>
          </w:rPr>
          <w:t> </w:t>
        </w:r>
      </w:hyperlink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2"/>
        </w:rPr>
        <w:t> </w:t>
      </w:r>
      <w:r>
        <w:rPr/>
        <w:t>used</w:t>
      </w:r>
      <w:r>
        <w:rPr>
          <w:spacing w:val="-13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lever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advancing</w:t>
      </w:r>
      <w:r>
        <w:rPr>
          <w:spacing w:val="-11"/>
        </w:rPr>
        <w:t> </w:t>
      </w:r>
      <w:r>
        <w:rPr/>
        <w:t>enhanced</w:t>
      </w:r>
      <w:r>
        <w:rPr>
          <w:spacing w:val="-14"/>
        </w:rPr>
        <w:t> </w:t>
      </w:r>
      <w:r>
        <w:rPr/>
        <w:t>specialisation.</w:t>
      </w:r>
    </w:p>
    <w:p>
      <w:pPr>
        <w:pStyle w:val="BodyText"/>
        <w:spacing w:line="271" w:lineRule="auto" w:before="122"/>
        <w:ind w:left="183" w:right="301"/>
        <w:jc w:val="both"/>
      </w:pPr>
      <w:r>
        <w:rPr/>
        <w:t>However, these initial approaches failed to deliver the expected specialisation outcomes. The ministry</w:t>
      </w:r>
      <w:r>
        <w:rPr>
          <w:spacing w:val="1"/>
        </w:rPr>
        <w:t> </w:t>
      </w:r>
      <w:r>
        <w:rPr/>
        <w:t>recognised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mid-2010s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“the</w:t>
      </w:r>
      <w:r>
        <w:rPr>
          <w:spacing w:val="-9"/>
        </w:rPr>
        <w:t> </w:t>
      </w:r>
      <w:r>
        <w:rPr/>
        <w:t>current</w:t>
      </w:r>
      <w:r>
        <w:rPr>
          <w:spacing w:val="-9"/>
        </w:rPr>
        <w:t> </w:t>
      </w:r>
      <w:r>
        <w:rPr/>
        <w:t>performance-based</w:t>
      </w:r>
      <w:r>
        <w:rPr>
          <w:spacing w:val="-9"/>
        </w:rPr>
        <w:t> </w:t>
      </w:r>
      <w:r>
        <w:rPr/>
        <w:t>funding</w:t>
      </w:r>
      <w:r>
        <w:rPr>
          <w:spacing w:val="-9"/>
        </w:rPr>
        <w:t> </w:t>
      </w:r>
      <w:r>
        <w:rPr/>
        <w:t>model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itself</w:t>
      </w:r>
      <w:r>
        <w:rPr>
          <w:spacing w:val="-7"/>
        </w:rPr>
        <w:t> </w:t>
      </w:r>
      <w:r>
        <w:rPr/>
        <w:t>…</w:t>
      </w:r>
      <w:r>
        <w:rPr>
          <w:spacing w:val="1"/>
        </w:rPr>
        <w:t> </w:t>
      </w:r>
      <w:r>
        <w:rPr>
          <w:position w:val="1"/>
        </w:rPr>
        <w:t>does not provide very strong incentive to making strategic profiling choices” (OECD, 2017, p. 92</w:t>
      </w:r>
      <w:r>
        <w:rPr>
          <w:sz w:val="13"/>
        </w:rPr>
        <w:t>[29]</w:t>
      </w:r>
      <w:r>
        <w:rPr>
          <w:position w:val="1"/>
        </w:rPr>
        <w:t>). In</w:t>
      </w:r>
      <w:r>
        <w:rPr>
          <w:spacing w:val="1"/>
          <w:position w:val="1"/>
        </w:rPr>
        <w:t> </w:t>
      </w:r>
      <w:r>
        <w:rPr>
          <w:spacing w:val="-1"/>
        </w:rPr>
        <w:t>response,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3"/>
        </w:rPr>
        <w:t> </w:t>
      </w:r>
      <w:r>
        <w:rPr>
          <w:spacing w:val="-1"/>
        </w:rPr>
        <w:t>set</w:t>
      </w:r>
      <w:r>
        <w:rPr>
          <w:spacing w:val="-13"/>
        </w:rPr>
        <w:t> </w:t>
      </w:r>
      <w:r>
        <w:rPr>
          <w:spacing w:val="-1"/>
        </w:rPr>
        <w:t>aside</w:t>
      </w:r>
      <w:r>
        <w:rPr>
          <w:spacing w:val="-13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additional</w:t>
      </w:r>
      <w:r>
        <w:rPr>
          <w:spacing w:val="-14"/>
        </w:rPr>
        <w:t> </w:t>
      </w:r>
      <w:r>
        <w:rPr>
          <w:spacing w:val="-1"/>
        </w:rPr>
        <w:t>funding</w:t>
      </w:r>
      <w:r>
        <w:rPr>
          <w:spacing w:val="-11"/>
        </w:rPr>
        <w:t> </w:t>
      </w:r>
      <w:r>
        <w:rPr>
          <w:spacing w:val="-1"/>
        </w:rPr>
        <w:t>allocation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incentivise</w:t>
      </w:r>
      <w:r>
        <w:rPr>
          <w:spacing w:val="-13"/>
        </w:rPr>
        <w:t> </w:t>
      </w:r>
      <w:r>
        <w:rPr>
          <w:spacing w:val="-1"/>
        </w:rPr>
        <w:t>specialisation</w:t>
      </w:r>
      <w:r>
        <w:rPr>
          <w:spacing w:val="-11"/>
        </w:rPr>
        <w:t> </w:t>
      </w:r>
      <w:r>
        <w:rPr/>
        <w:t>valued</w:t>
      </w:r>
      <w:r>
        <w:rPr>
          <w:spacing w:val="-13"/>
        </w:rPr>
        <w:t> </w:t>
      </w:r>
      <w:r>
        <w:rPr/>
        <w:t>at</w:t>
      </w:r>
      <w:r>
        <w:rPr>
          <w:spacing w:val="-11"/>
        </w:rPr>
        <w:t> </w:t>
      </w:r>
      <w:r>
        <w:rPr/>
        <w:t>EUR</w:t>
      </w:r>
      <w:r>
        <w:rPr>
          <w:spacing w:val="11"/>
        </w:rPr>
        <w:t> </w:t>
      </w:r>
      <w:r>
        <w:rPr/>
        <w:t>50 million,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institutions. The core differentiation compared to previous funding through the allocation model was that</w:t>
      </w:r>
      <w:r>
        <w:rPr>
          <w:spacing w:val="1"/>
        </w:rPr>
        <w:t> </w:t>
      </w:r>
      <w:r>
        <w:rPr/>
        <w:t>decisions on which institutions would receive funding were assigned to the Academy of Finland to deliver</w:t>
      </w:r>
      <w:r>
        <w:rPr>
          <w:spacing w:val="-53"/>
        </w:rPr>
        <w:t> </w:t>
      </w:r>
      <w:r>
        <w:rPr/>
        <w:t>outside the standard funding formula with an</w:t>
      </w:r>
      <w:r>
        <w:rPr>
          <w:spacing w:val="1"/>
        </w:rPr>
        <w:t> </w:t>
      </w:r>
      <w:r>
        <w:rPr/>
        <w:t>approach that rewarded HEIs that developed clearer</w:t>
      </w:r>
      <w:r>
        <w:rPr>
          <w:spacing w:val="1"/>
        </w:rPr>
        <w:t> </w:t>
      </w:r>
      <w:r>
        <w:rPr>
          <w:position w:val="1"/>
        </w:rPr>
        <w:t>“research profiles” (OECD, 2017</w:t>
      </w:r>
      <w:r>
        <w:rPr>
          <w:sz w:val="13"/>
        </w:rPr>
        <w:t>[29]</w:t>
      </w:r>
      <w:r>
        <w:rPr>
          <w:position w:val="1"/>
        </w:rPr>
        <w:t>). As of 2020, five rounds of funding had been delivered from the initial</w:t>
      </w:r>
      <w:r>
        <w:rPr>
          <w:spacing w:val="-53"/>
          <w:position w:val="1"/>
        </w:rPr>
        <w:t> </w:t>
      </w:r>
      <w:r>
        <w:rPr/>
        <w:t>2015-19</w:t>
      </w:r>
      <w:r>
        <w:rPr>
          <w:spacing w:val="-7"/>
        </w:rPr>
        <w:t> </w:t>
      </w:r>
      <w:r>
        <w:rPr/>
        <w:t>fund,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sixth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process.</w:t>
      </w:r>
      <w:r>
        <w:rPr>
          <w:spacing w:val="-6"/>
        </w:rPr>
        <w:t> </w:t>
      </w:r>
      <w:r>
        <w:rPr/>
        <w:t>Stakeholders felt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fund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seen</w:t>
      </w:r>
      <w:r>
        <w:rPr>
          <w:spacing w:val="-6"/>
        </w:rPr>
        <w:t> </w:t>
      </w:r>
      <w:r>
        <w:rPr/>
        <w:t>moderate</w:t>
      </w:r>
      <w:r>
        <w:rPr>
          <w:spacing w:val="-7"/>
        </w:rPr>
        <w:t> </w:t>
      </w:r>
      <w:r>
        <w:rPr/>
        <w:t>success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shifting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fields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disciplines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focus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universities,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majority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funding</w:t>
      </w:r>
      <w:r>
        <w:rPr>
          <w:spacing w:val="1"/>
        </w:rPr>
        <w:t> </w:t>
      </w:r>
      <w:r>
        <w:rPr/>
        <w:t>directed</w:t>
      </w:r>
      <w:r>
        <w:rPr>
          <w:spacing w:val="-3"/>
        </w:rPr>
        <w:t> </w:t>
      </w:r>
      <w:r>
        <w:rPr/>
        <w:t>towards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hiring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principle</w:t>
      </w:r>
      <w:r>
        <w:rPr>
          <w:spacing w:val="-2"/>
        </w:rPr>
        <w:t> </w:t>
      </w:r>
      <w:r>
        <w:rPr/>
        <w:t>investigators</w:t>
      </w:r>
      <w:r>
        <w:rPr>
          <w:spacing w:val="-3"/>
        </w:rPr>
        <w:t> </w:t>
      </w:r>
      <w:r>
        <w:rPr/>
        <w:t>(PIs)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professors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emerging</w:t>
      </w:r>
      <w:r>
        <w:rPr>
          <w:spacing w:val="-6"/>
        </w:rPr>
        <w:t> </w:t>
      </w:r>
      <w:r>
        <w:rPr/>
        <w:t>fields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64.944pt;margin-top:11.024267pt;width:465.6pt;height:294.650pt;mso-position-horizontal-relative:page;mso-position-vertical-relative:paragraph;z-index:-15689216;mso-wrap-distance-left:0;mso-wrap-distance-right:0" type="#_x0000_t202" filled="true" fillcolor="#eeece1" stroked="true" strokeweight=".48004pt" strokecolor="#4e81bd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1"/>
                    </w:rPr>
                  </w:pPr>
                </w:p>
                <w:p>
                  <w:pPr>
                    <w:spacing w:before="0"/>
                    <w:ind w:left="136" w:right="0" w:firstLine="0"/>
                    <w:jc w:val="both"/>
                    <w:rPr>
                      <w:rFonts w:ascii="Arial"/>
                      <w:b/>
                      <w:sz w:val="24"/>
                    </w:rPr>
                  </w:pPr>
                  <w:bookmarkStart w:name="_bookmark67" w:id="182"/>
                  <w:bookmarkEnd w:id="182"/>
                  <w:r>
                    <w:rPr/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Box</w:t>
                  </w:r>
                  <w:r>
                    <w:rPr>
                      <w:rFonts w:ascii="Arial"/>
                      <w:b/>
                      <w:color w:val="4E81BD"/>
                      <w:spacing w:val="15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A.3.</w:t>
                  </w:r>
                  <w:r>
                    <w:rPr>
                      <w:rFonts w:ascii="Arial"/>
                      <w:b/>
                      <w:color w:val="4E81BD"/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Aalto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University,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tenure</w:t>
                  </w:r>
                  <w:r>
                    <w:rPr>
                      <w:rFonts w:ascii="Arial"/>
                      <w:b/>
                      <w:color w:val="4E81BD"/>
                      <w:spacing w:val="14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as</w:t>
                  </w:r>
                  <w:r>
                    <w:rPr>
                      <w:rFonts w:ascii="Arial"/>
                      <w:b/>
                      <w:color w:val="4E81BD"/>
                      <w:spacing w:val="13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mechanism</w:t>
                  </w:r>
                  <w:r>
                    <w:rPr>
                      <w:rFonts w:ascii="Arial"/>
                      <w:b/>
                      <w:color w:val="4E81BD"/>
                      <w:spacing w:val="13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for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increasing</w:t>
                  </w:r>
                  <w:r>
                    <w:rPr>
                      <w:rFonts w:ascii="Arial"/>
                      <w:b/>
                      <w:color w:val="4E81BD"/>
                      <w:spacing w:val="16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4E81BD"/>
                      <w:w w:val="80"/>
                      <w:sz w:val="24"/>
                    </w:rPr>
                    <w:t>internationalisation</w:t>
                  </w:r>
                </w:p>
                <w:p>
                  <w:pPr>
                    <w:pStyle w:val="BodyText"/>
                    <w:spacing w:line="271" w:lineRule="auto" w:before="210"/>
                    <w:ind w:left="136" w:right="139"/>
                    <w:jc w:val="both"/>
                  </w:pPr>
                  <w:r>
                    <w:rPr/>
                    <w:t>Aalto University is a public foundation university located in Espoo, Finland. It was established in 2010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through the merger of three existing institutions: Helsinki University of Technology, Helsinki School 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Economics and the University of Art and Design Helsinki. Aalto University was one of the first mergers</w:t>
                  </w:r>
                  <w:r>
                    <w:rPr>
                      <w:spacing w:val="-53"/>
                    </w:rPr>
                    <w:t> </w:t>
                  </w:r>
                  <w:r>
                    <w:rPr/>
                    <w:t>proposed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release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the Brunila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Report 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2004.</w:t>
                  </w:r>
                </w:p>
                <w:p>
                  <w:pPr>
                    <w:pStyle w:val="BodyText"/>
                    <w:spacing w:line="271" w:lineRule="auto" w:before="123"/>
                    <w:ind w:left="136" w:right="136"/>
                    <w:jc w:val="both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merger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first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suggested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rector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Art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Design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Helsinki,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opening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speech of the 2005 academic year. This speech came a year after the Brunila Report, at a time when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public discourse among universities, industry and government focused on potential institutional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mergers across Finland. The creation of an “innovation university” in Finland was committed in the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programme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2007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government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coalition.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formal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merger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institutions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creation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developed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response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formally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presented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2007.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plan was developed by a working group that included the constituent institutions and community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stakeholders,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overall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lead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Secretary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Finance.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merger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finalised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 late 2009,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began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operation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January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2010.</w:t>
                  </w:r>
                </w:p>
                <w:p>
                  <w:pPr>
                    <w:pStyle w:val="BodyText"/>
                    <w:spacing w:line="271" w:lineRule="auto" w:before="121"/>
                    <w:ind w:left="136" w:right="134"/>
                    <w:jc w:val="both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core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idea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behind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establishment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Aalto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create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kind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multi-disciplinary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university,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fundamentally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international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outlook.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Aalto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focused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developing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cross-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disciplinary areas of expertise that leveraged the knowledge and talent base of its three component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institutions. Aalto drove its international focus by introducing a number of policies that were relatively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rare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Finnish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system: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delivering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bachelor’s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master’s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courses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English,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32"/>
        <w:ind w:left="320" w:right="445"/>
        <w:jc w:val="both"/>
      </w:pPr>
      <w:r>
        <w:rPr/>
        <w:pict>
          <v:group style="position:absolute;margin-left:64.704002pt;margin-top:4.699895pt;width:466.05pt;height:594pt;mso-position-horizontal-relative:page;mso-position-vertical-relative:paragraph;z-index:-19691008" coordorigin="1294,94" coordsize="9321,11880">
            <v:rect style="position:absolute;left:1303;top:103;width:9302;height:11858" filled="true" fillcolor="#eeece1" stroked="false">
              <v:fill type="solid"/>
            </v:rect>
            <v:shape style="position:absolute;left:1294;top:94;width:9321;height:11880" coordorigin="1294,94" coordsize="9321,11880" path="m10605,11964l1304,11964,1304,104,1294,104,1294,11964,1294,11973,1304,11973,1304,11973,10605,11973,10605,11964xm10605,94l1304,94,1304,94,1294,94,1294,104,1304,104,1304,104,10605,104,10605,94xm10615,104l10605,104,10605,11964,10605,11973,10615,11973,10615,11964,10615,104xm10615,94l10605,94,10605,104,10615,104,10615,94xe" filled="true" fillcolor="#4e81bd" stroked="false">
              <v:path arrowok="t"/>
              <v:fill type="solid"/>
            </v:shape>
            <w10:wrap type="none"/>
          </v:group>
        </w:pict>
      </w:r>
      <w:r>
        <w:rPr/>
        <w:t>providing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merit-based</w:t>
      </w:r>
      <w:r>
        <w:rPr>
          <w:spacing w:val="-10"/>
        </w:rPr>
        <w:t> </w:t>
      </w:r>
      <w:r>
        <w:rPr/>
        <w:t>tenure</w:t>
      </w:r>
      <w:r>
        <w:rPr>
          <w:spacing w:val="-9"/>
        </w:rPr>
        <w:t> </w:t>
      </w:r>
      <w:r>
        <w:rPr/>
        <w:t>track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international</w:t>
      </w:r>
      <w:r>
        <w:rPr>
          <w:spacing w:val="-10"/>
        </w:rPr>
        <w:t> </w:t>
      </w:r>
      <w:r>
        <w:rPr/>
        <w:t>staff</w:t>
      </w:r>
      <w:r>
        <w:rPr>
          <w:spacing w:val="-8"/>
        </w:rPr>
        <w:t> </w:t>
      </w:r>
      <w:r>
        <w:rPr/>
        <w:t>appointments,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engaging</w:t>
      </w:r>
      <w:r>
        <w:rPr>
          <w:spacing w:val="-10"/>
        </w:rPr>
        <w:t> </w:t>
      </w:r>
      <w:r>
        <w:rPr/>
        <w:t>heavily</w:t>
      </w:r>
      <w:r>
        <w:rPr>
          <w:spacing w:val="-53"/>
        </w:rPr>
        <w:t> </w:t>
      </w:r>
      <w:r>
        <w:rPr/>
        <w:t>with industry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partnerships.</w:t>
      </w:r>
    </w:p>
    <w:p>
      <w:pPr>
        <w:pStyle w:val="BodyText"/>
        <w:spacing w:line="271" w:lineRule="auto" w:before="121"/>
        <w:ind w:left="320" w:right="438"/>
        <w:jc w:val="both"/>
      </w:pPr>
      <w:r>
        <w:rPr/>
        <w:t>Notable success has been achieved. In 2019, the university ranked 9th in the world by QS World</w:t>
      </w:r>
      <w:r>
        <w:rPr>
          <w:spacing w:val="1"/>
        </w:rPr>
        <w:t> </w:t>
      </w:r>
      <w:r>
        <w:rPr/>
        <w:t>University Rankings among universities founded less than 50 years ago and 20th in the Times Higher</w:t>
      </w:r>
      <w:r>
        <w:rPr>
          <w:spacing w:val="1"/>
        </w:rPr>
        <w:t> </w:t>
      </w:r>
      <w:r>
        <w:rPr/>
        <w:t>Education Young University Rankings in the same year. The introduction of the tenure track has been</w:t>
      </w:r>
      <w:r>
        <w:rPr>
          <w:spacing w:val="1"/>
        </w:rPr>
        <w:t> </w:t>
      </w:r>
      <w:r>
        <w:rPr/>
        <w:t>a particularly effective mechanism for increasing the proportion of international staff: 38% of Aalto’s</w:t>
      </w:r>
      <w:r>
        <w:rPr>
          <w:spacing w:val="1"/>
        </w:rPr>
        <w:t> </w:t>
      </w:r>
      <w:r>
        <w:rPr/>
        <w:t>academic faculty are international appointments as of 2019, an 111% increase over the 18% of</w:t>
      </w:r>
      <w:r>
        <w:rPr>
          <w:spacing w:val="1"/>
        </w:rPr>
        <w:t> </w:t>
      </w:r>
      <w:r>
        <w:rPr/>
        <w:t>international staff the university began with in 2010. Aalto University has adopted a four-stage tenure</w:t>
      </w:r>
      <w:r>
        <w:rPr>
          <w:spacing w:val="1"/>
        </w:rPr>
        <w:t> </w:t>
      </w:r>
      <w:r>
        <w:rPr/>
        <w:t>track</w:t>
      </w:r>
      <w:r>
        <w:rPr>
          <w:spacing w:val="55"/>
        </w:rPr>
        <w:t> </w:t>
      </w:r>
      <w:r>
        <w:rPr/>
        <w:t>process, with</w:t>
      </w:r>
      <w:r>
        <w:rPr>
          <w:spacing w:val="56"/>
        </w:rPr>
        <w:t> </w:t>
      </w:r>
      <w:r>
        <w:rPr/>
        <w:t>time allocations and</w:t>
      </w:r>
      <w:r>
        <w:rPr>
          <w:spacing w:val="55"/>
        </w:rPr>
        <w:t> </w:t>
      </w:r>
      <w:r>
        <w:rPr/>
        <w:t>progression from</w:t>
      </w:r>
      <w:r>
        <w:rPr>
          <w:spacing w:val="56"/>
        </w:rPr>
        <w:t> </w:t>
      </w:r>
      <w:r>
        <w:rPr/>
        <w:t>fixed to permanent status detailed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68">
        <w:r>
          <w:rPr/>
          <w:t>Table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A.5.</w:t>
        </w:r>
      </w:hyperlink>
    </w:p>
    <w:p>
      <w:pPr>
        <w:pStyle w:val="BodyText"/>
        <w:spacing w:before="9"/>
        <w:rPr>
          <w:sz w:val="28"/>
        </w:rPr>
      </w:pPr>
    </w:p>
    <w:p>
      <w:pPr>
        <w:spacing w:before="0"/>
        <w:ind w:left="320" w:right="0" w:firstLine="0"/>
        <w:jc w:val="both"/>
        <w:rPr>
          <w:rFonts w:ascii="Arial"/>
          <w:b/>
          <w:sz w:val="24"/>
        </w:rPr>
      </w:pPr>
      <w:bookmarkStart w:name="_bookmark68" w:id="183"/>
      <w:bookmarkEnd w:id="183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A.5.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Aalto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University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tenure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track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time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allocations</w:t>
      </w:r>
    </w:p>
    <w:p>
      <w:pPr>
        <w:pStyle w:val="BodyText"/>
        <w:spacing w:before="2"/>
        <w:rPr>
          <w:rFonts w:ascii="Arial"/>
          <w:b/>
          <w:sz w:val="16"/>
        </w:rPr>
      </w:pPr>
    </w:p>
    <w:tbl>
      <w:tblPr>
        <w:tblW w:w="0" w:type="auto"/>
        <w:jc w:val="left"/>
        <w:tblInd w:w="299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494"/>
        <w:gridCol w:w="1491"/>
        <w:gridCol w:w="1491"/>
        <w:gridCol w:w="1491"/>
        <w:gridCol w:w="1493"/>
      </w:tblGrid>
      <w:tr>
        <w:trPr>
          <w:trHeight w:val="458" w:hRule="atLeast"/>
        </w:trPr>
        <w:tc>
          <w:tcPr>
            <w:tcW w:w="1505" w:type="dxa"/>
            <w:tcBorders>
              <w:left w:val="nil"/>
              <w:bottom w:val="single" w:sz="6" w:space="0" w:color="4E81BD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spacing w:before="29"/>
              <w:ind w:left="27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Time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allocation</w:t>
            </w:r>
          </w:p>
        </w:tc>
        <w:tc>
          <w:tcPr>
            <w:tcW w:w="1494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spacing w:before="29"/>
              <w:ind w:left="1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Assistant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professor</w:t>
            </w:r>
          </w:p>
          <w:p>
            <w:pPr>
              <w:pStyle w:val="TableParagraph"/>
              <w:spacing w:line="189" w:lineRule="exact" w:before="17"/>
              <w:ind w:left="57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"/>
                <w:w w:val="85"/>
                <w:sz w:val="18"/>
              </w:rPr>
              <w:t>(1)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(f)</w:t>
            </w:r>
          </w:p>
        </w:tc>
        <w:tc>
          <w:tcPr>
            <w:tcW w:w="1491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spacing w:before="29"/>
              <w:ind w:left="1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Assistant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professor</w:t>
            </w:r>
          </w:p>
          <w:p>
            <w:pPr>
              <w:pStyle w:val="TableParagraph"/>
              <w:spacing w:line="189" w:lineRule="exact" w:before="17"/>
              <w:ind w:left="57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"/>
                <w:w w:val="85"/>
                <w:sz w:val="18"/>
              </w:rPr>
              <w:t>(2)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(f)</w:t>
            </w:r>
          </w:p>
        </w:tc>
        <w:tc>
          <w:tcPr>
            <w:tcW w:w="1491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spacing w:line="220" w:lineRule="atLeast" w:before="0"/>
              <w:ind w:left="331" w:firstLine="9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Associate</w:t>
            </w:r>
            <w:r>
              <w:rPr>
                <w:rFonts w:ascii="Microsoft Sans Serif"/>
                <w:spacing w:val="-41"/>
                <w:w w:val="9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professor</w:t>
            </w:r>
            <w:r>
              <w:rPr>
                <w:rFonts w:ascii="Microsoft Sans Serif"/>
                <w:spacing w:val="3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(p)</w:t>
            </w:r>
          </w:p>
        </w:tc>
        <w:tc>
          <w:tcPr>
            <w:tcW w:w="1491" w:type="dxa"/>
            <w:tcBorders>
              <w:left w:val="single" w:sz="6" w:space="0" w:color="D2D2D2"/>
              <w:bottom w:val="single" w:sz="6" w:space="0" w:color="4E81BD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spacing w:before="29"/>
              <w:ind w:left="1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Full</w:t>
            </w:r>
            <w:r>
              <w:rPr>
                <w:rFonts w:ascii="Microsoft Sans Serif"/>
                <w:spacing w:val="9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professor</w:t>
            </w:r>
            <w:r>
              <w:rPr>
                <w:rFonts w:ascii="Microsoft Sans Serif"/>
                <w:spacing w:val="5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(p)</w:t>
            </w:r>
          </w:p>
        </w:tc>
        <w:tc>
          <w:tcPr>
            <w:tcW w:w="1493" w:type="dxa"/>
            <w:tcBorders>
              <w:left w:val="single" w:sz="6" w:space="0" w:color="D2D2D2"/>
              <w:bottom w:val="single" w:sz="6" w:space="0" w:color="4E81BD"/>
              <w:right w:val="nil"/>
            </w:tcBorders>
            <w:shd w:val="clear" w:color="auto" w:fill="EEECE1"/>
          </w:tcPr>
          <w:p>
            <w:pPr>
              <w:pStyle w:val="TableParagraph"/>
              <w:spacing w:line="220" w:lineRule="atLeast" w:before="0"/>
              <w:ind w:left="331" w:hanging="20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Aalto</w:t>
            </w:r>
            <w:r>
              <w:rPr>
                <w:rFonts w:ascii="Microsoft Sans Serif"/>
                <w:spacing w:val="8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distinguished</w:t>
            </w:r>
            <w:r>
              <w:rPr>
                <w:rFonts w:ascii="Microsoft Sans Serif"/>
                <w:spacing w:val="-35"/>
                <w:w w:val="80"/>
                <w:sz w:val="18"/>
              </w:rPr>
              <w:t> </w:t>
            </w:r>
            <w:r>
              <w:rPr>
                <w:rFonts w:ascii="Microsoft Sans Serif"/>
                <w:spacing w:val="-1"/>
                <w:w w:val="85"/>
                <w:sz w:val="18"/>
              </w:rPr>
              <w:t>professor</w:t>
            </w:r>
            <w:r>
              <w:rPr>
                <w:rFonts w:ascii="Microsoft Sans Serif"/>
                <w:spacing w:val="-4"/>
                <w:w w:val="85"/>
                <w:sz w:val="18"/>
              </w:rPr>
              <w:t> </w:t>
            </w:r>
            <w:r>
              <w:rPr>
                <w:rFonts w:ascii="Microsoft Sans Serif"/>
                <w:w w:val="85"/>
                <w:sz w:val="18"/>
              </w:rPr>
              <w:t>(p)</w:t>
            </w:r>
          </w:p>
        </w:tc>
      </w:tr>
      <w:tr>
        <w:trPr>
          <w:trHeight w:val="450" w:hRule="atLeast"/>
        </w:trPr>
        <w:tc>
          <w:tcPr>
            <w:tcW w:w="1505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Research/artistic/</w:t>
            </w:r>
          </w:p>
          <w:p>
            <w:pPr>
              <w:pStyle w:val="TableParagraph"/>
              <w:spacing w:before="29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professional</w:t>
            </w:r>
            <w:r>
              <w:rPr>
                <w:rFonts w:ascii="Microsoft Sans Serif"/>
                <w:spacing w:val="1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work</w:t>
            </w:r>
          </w:p>
        </w:tc>
        <w:tc>
          <w:tcPr>
            <w:tcW w:w="1494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65%</w:t>
            </w:r>
          </w:p>
          <w:p>
            <w:pPr>
              <w:pStyle w:val="TableParagraph"/>
              <w:spacing w:before="10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+/-10%</w:t>
            </w:r>
          </w:p>
        </w:tc>
        <w:tc>
          <w:tcPr>
            <w:tcW w:w="1491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60%</w:t>
            </w:r>
          </w:p>
          <w:p>
            <w:pPr>
              <w:pStyle w:val="TableParagraph"/>
              <w:spacing w:before="10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+/-10%</w:t>
            </w:r>
          </w:p>
        </w:tc>
        <w:tc>
          <w:tcPr>
            <w:tcW w:w="1491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50%</w:t>
            </w:r>
          </w:p>
          <w:p>
            <w:pPr>
              <w:pStyle w:val="TableParagraph"/>
              <w:spacing w:before="10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+/-10%</w:t>
            </w:r>
          </w:p>
        </w:tc>
        <w:tc>
          <w:tcPr>
            <w:tcW w:w="1491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40%</w:t>
            </w:r>
          </w:p>
          <w:p>
            <w:pPr>
              <w:pStyle w:val="TableParagraph"/>
              <w:spacing w:before="10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+/-15%</w:t>
            </w:r>
          </w:p>
        </w:tc>
        <w:tc>
          <w:tcPr>
            <w:tcW w:w="1493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  <w:shd w:val="clear" w:color="auto" w:fill="EEECE1"/>
          </w:tcPr>
          <w:p>
            <w:pPr>
              <w:pStyle w:val="TableParagraph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Negotiable</w:t>
            </w:r>
          </w:p>
        </w:tc>
      </w:tr>
      <w:tr>
        <w:trPr>
          <w:trHeight w:val="429" w:hRule="atLeast"/>
        </w:trPr>
        <w:tc>
          <w:tcPr>
            <w:tcW w:w="1505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Teaching</w:t>
            </w:r>
          </w:p>
        </w:tc>
        <w:tc>
          <w:tcPr>
            <w:tcW w:w="149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30%</w:t>
            </w:r>
          </w:p>
          <w:p>
            <w:pPr>
              <w:pStyle w:val="TableParagraph"/>
              <w:spacing w:line="192" w:lineRule="exact" w:before="10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+/-10%</w:t>
            </w:r>
          </w:p>
        </w:tc>
        <w:tc>
          <w:tcPr>
            <w:tcW w:w="149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30%</w:t>
            </w:r>
          </w:p>
          <w:p>
            <w:pPr>
              <w:pStyle w:val="TableParagraph"/>
              <w:spacing w:line="192" w:lineRule="exact" w:before="10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+/-10%</w:t>
            </w:r>
          </w:p>
        </w:tc>
        <w:tc>
          <w:tcPr>
            <w:tcW w:w="149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30%</w:t>
            </w:r>
          </w:p>
          <w:p>
            <w:pPr>
              <w:pStyle w:val="TableParagraph"/>
              <w:spacing w:line="192" w:lineRule="exact" w:before="10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+/-10%</w:t>
            </w:r>
          </w:p>
        </w:tc>
        <w:tc>
          <w:tcPr>
            <w:tcW w:w="1491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30%</w:t>
            </w:r>
          </w:p>
          <w:p>
            <w:pPr>
              <w:pStyle w:val="TableParagraph"/>
              <w:spacing w:line="192" w:lineRule="exact" w:before="10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+/-15%</w:t>
            </w:r>
          </w:p>
        </w:tc>
        <w:tc>
          <w:tcPr>
            <w:tcW w:w="149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  <w:shd w:val="clear" w:color="auto" w:fill="EEECE1"/>
          </w:tcPr>
          <w:p>
            <w:pPr>
              <w:pStyle w:val="TableParagraph"/>
              <w:ind w:right="96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30%</w:t>
            </w:r>
          </w:p>
          <w:p>
            <w:pPr>
              <w:pStyle w:val="TableParagraph"/>
              <w:spacing w:line="192" w:lineRule="exact" w:before="10"/>
              <w:ind w:right="97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+/-15%</w:t>
            </w:r>
          </w:p>
        </w:tc>
      </w:tr>
      <w:tr>
        <w:trPr>
          <w:trHeight w:val="431" w:hRule="atLeast"/>
        </w:trPr>
        <w:tc>
          <w:tcPr>
            <w:tcW w:w="1505" w:type="dxa"/>
            <w:tcBorders>
              <w:top w:val="single" w:sz="6" w:space="0" w:color="D2D2D2"/>
              <w:left w:val="nil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spacing w:before="18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Service</w:t>
            </w:r>
          </w:p>
        </w:tc>
        <w:tc>
          <w:tcPr>
            <w:tcW w:w="1494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93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5%</w:t>
            </w:r>
          </w:p>
          <w:p>
            <w:pPr>
              <w:pStyle w:val="TableParagraph"/>
              <w:spacing w:before="10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+5%</w:t>
            </w:r>
          </w:p>
        </w:tc>
        <w:tc>
          <w:tcPr>
            <w:tcW w:w="1491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10%</w:t>
            </w:r>
          </w:p>
          <w:p>
            <w:pPr>
              <w:pStyle w:val="TableParagraph"/>
              <w:spacing w:before="10"/>
              <w:ind w:right="9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+/-5%</w:t>
            </w:r>
          </w:p>
        </w:tc>
        <w:tc>
          <w:tcPr>
            <w:tcW w:w="1491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8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20%</w:t>
            </w:r>
          </w:p>
          <w:p>
            <w:pPr>
              <w:pStyle w:val="TableParagraph"/>
              <w:spacing w:before="10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+/-10%</w:t>
            </w:r>
          </w:p>
        </w:tc>
        <w:tc>
          <w:tcPr>
            <w:tcW w:w="1491" w:type="dxa"/>
            <w:tcBorders>
              <w:top w:val="single" w:sz="6" w:space="0" w:color="D2D2D2"/>
              <w:left w:val="single" w:sz="6" w:space="0" w:color="D2D2D2"/>
              <w:right w:val="single" w:sz="6" w:space="0" w:color="D2D2D2"/>
            </w:tcBorders>
            <w:shd w:val="clear" w:color="auto" w:fill="EEECE1"/>
          </w:tcPr>
          <w:p>
            <w:pPr>
              <w:pStyle w:val="TableParagraph"/>
              <w:ind w:right="89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30%</w:t>
            </w:r>
          </w:p>
          <w:p>
            <w:pPr>
              <w:pStyle w:val="TableParagraph"/>
              <w:spacing w:before="10"/>
              <w:ind w:right="90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+/-15%</w:t>
            </w:r>
          </w:p>
        </w:tc>
        <w:tc>
          <w:tcPr>
            <w:tcW w:w="1493" w:type="dxa"/>
            <w:tcBorders>
              <w:top w:val="single" w:sz="6" w:space="0" w:color="D2D2D2"/>
              <w:left w:val="single" w:sz="6" w:space="0" w:color="D2D2D2"/>
              <w:right w:val="nil"/>
            </w:tcBorders>
            <w:shd w:val="clear" w:color="auto" w:fill="EEECE1"/>
          </w:tcPr>
          <w:p>
            <w:pPr>
              <w:pStyle w:val="TableParagraph"/>
              <w:spacing w:before="18"/>
              <w:ind w:right="95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Negotiable</w:t>
            </w:r>
          </w:p>
        </w:tc>
      </w:tr>
    </w:tbl>
    <w:p>
      <w:pPr>
        <w:spacing w:before="131"/>
        <w:ind w:left="320" w:right="0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80"/>
          <w:sz w:val="18"/>
        </w:rPr>
        <w:t>Note: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(f)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</w:t>
      </w:r>
      <w:r>
        <w:rPr>
          <w:rFonts w:ascii="Microsoft Sans Serif"/>
          <w:spacing w:val="7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fixed-contract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position;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(p)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refers</w:t>
      </w:r>
      <w:r>
        <w:rPr>
          <w:rFonts w:ascii="Microsoft Sans Serif"/>
          <w:spacing w:val="9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to</w:t>
      </w:r>
      <w:r>
        <w:rPr>
          <w:rFonts w:ascii="Microsoft Sans Serif"/>
          <w:spacing w:val="8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a</w:t>
      </w:r>
      <w:r>
        <w:rPr>
          <w:rFonts w:ascii="Microsoft Sans Serif"/>
          <w:spacing w:val="10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permanent</w:t>
      </w:r>
      <w:r>
        <w:rPr>
          <w:rFonts w:ascii="Microsoft Sans Serif"/>
          <w:spacing w:val="11"/>
          <w:w w:val="80"/>
          <w:sz w:val="18"/>
        </w:rPr>
        <w:t> </w:t>
      </w:r>
      <w:r>
        <w:rPr>
          <w:rFonts w:ascii="Microsoft Sans Serif"/>
          <w:w w:val="80"/>
          <w:sz w:val="18"/>
        </w:rPr>
        <w:t>position.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71" w:lineRule="auto" w:before="168"/>
        <w:ind w:left="320" w:right="442"/>
        <w:jc w:val="both"/>
      </w:pPr>
      <w:r>
        <w:rPr/>
        <w:t>As the table above highlights, Aalto’s tenure track offers variable flexibility in the proportion of time</w:t>
      </w:r>
      <w:r>
        <w:rPr>
          <w:spacing w:val="1"/>
        </w:rPr>
        <w:t> </w:t>
      </w:r>
      <w:r>
        <w:rPr/>
        <w:t>devoted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various</w:t>
      </w:r>
      <w:r>
        <w:rPr>
          <w:spacing w:val="-9"/>
        </w:rPr>
        <w:t> </w:t>
      </w:r>
      <w:r>
        <w:rPr/>
        <w:t>duties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staff,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this</w:t>
      </w:r>
      <w:r>
        <w:rPr>
          <w:spacing w:val="-9"/>
        </w:rPr>
        <w:t> </w:t>
      </w:r>
      <w:r>
        <w:rPr/>
        <w:t>increases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stages,</w:t>
      </w:r>
      <w:r>
        <w:rPr>
          <w:spacing w:val="-11"/>
        </w:rPr>
        <w:t> </w:t>
      </w:r>
      <w:r>
        <w:rPr/>
        <w:t>culminating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53"/>
        </w:rPr>
        <w:t> </w:t>
      </w:r>
      <w:r>
        <w:rPr/>
        <w:t>distinguished professor position, which allows for negotiation in the proportion of research and service</w:t>
      </w:r>
      <w:r>
        <w:rPr>
          <w:spacing w:val="-53"/>
        </w:rPr>
        <w:t> </w:t>
      </w:r>
      <w:r>
        <w:rPr/>
        <w:t>duties.</w:t>
      </w:r>
      <w:r>
        <w:rPr>
          <w:spacing w:val="-12"/>
        </w:rPr>
        <w:t> </w:t>
      </w:r>
      <w:r>
        <w:rPr/>
        <w:t>Advancement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0"/>
        </w:rPr>
        <w:t> </w:t>
      </w:r>
      <w:r>
        <w:rPr/>
        <w:t>evaluation</w:t>
      </w:r>
      <w:r>
        <w:rPr>
          <w:spacing w:val="-12"/>
        </w:rPr>
        <w:t> </w:t>
      </w:r>
      <w:r>
        <w:rPr/>
        <w:t>criteria.</w:t>
      </w:r>
      <w:r>
        <w:rPr>
          <w:spacing w:val="-10"/>
        </w:rPr>
        <w:t> </w:t>
      </w:r>
      <w:r>
        <w:rPr/>
        <w:t>Each</w:t>
      </w:r>
      <w:r>
        <w:rPr>
          <w:spacing w:val="-13"/>
        </w:rPr>
        <w:t> </w:t>
      </w:r>
      <w:r>
        <w:rPr/>
        <w:t>stage</w:t>
      </w:r>
      <w:r>
        <w:rPr>
          <w:spacing w:val="-12"/>
        </w:rPr>
        <w:t> </w:t>
      </w:r>
      <w:r>
        <w:rPr/>
        <w:t>also</w:t>
      </w:r>
      <w:r>
        <w:rPr>
          <w:spacing w:val="-13"/>
        </w:rPr>
        <w:t> </w:t>
      </w:r>
      <w:r>
        <w:rPr/>
        <w:t>comes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commensurate</w:t>
      </w:r>
      <w:r>
        <w:rPr>
          <w:spacing w:val="-13"/>
        </w:rPr>
        <w:t> </w:t>
      </w:r>
      <w:r>
        <w:rPr/>
        <w:t>salary</w:t>
      </w:r>
      <w:r>
        <w:rPr>
          <w:spacing w:val="-53"/>
        </w:rPr>
        <w:t> </w:t>
      </w:r>
      <w:r>
        <w:rPr/>
        <w:t>increases</w:t>
      </w:r>
      <w:r>
        <w:rPr>
          <w:spacing w:val="-5"/>
        </w:rPr>
        <w:t> </w:t>
      </w:r>
      <w:r>
        <w:rPr/>
        <w:t>(in</w:t>
      </w:r>
      <w:r>
        <w:rPr>
          <w:spacing w:val="-6"/>
        </w:rPr>
        <w:t> </w:t>
      </w:r>
      <w:r>
        <w:rPr/>
        <w:t>line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levels),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assistant</w:t>
      </w:r>
      <w:r>
        <w:rPr>
          <w:spacing w:val="-5"/>
        </w:rPr>
        <w:t> </w:t>
      </w:r>
      <w:r>
        <w:rPr/>
        <w:t>professor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associate</w:t>
      </w:r>
      <w:r>
        <w:rPr>
          <w:spacing w:val="-7"/>
        </w:rPr>
        <w:t> </w:t>
      </w:r>
      <w:r>
        <w:rPr/>
        <w:t>professor,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transition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permanent</w:t>
      </w:r>
      <w:r>
        <w:rPr>
          <w:spacing w:val="-13"/>
        </w:rPr>
        <w:t> </w:t>
      </w:r>
      <w:r>
        <w:rPr>
          <w:spacing w:val="-1"/>
        </w:rPr>
        <w:t>status.</w:t>
      </w:r>
      <w:r>
        <w:rPr>
          <w:spacing w:val="-12"/>
        </w:rPr>
        <w:t> </w:t>
      </w:r>
      <w:r>
        <w:rPr>
          <w:spacing w:val="-1"/>
        </w:rPr>
        <w:t>Despite</w:t>
      </w:r>
      <w:r>
        <w:rPr>
          <w:spacing w:val="-13"/>
        </w:rPr>
        <w:t> </w:t>
      </w:r>
      <w:r>
        <w:rPr>
          <w:spacing w:val="-1"/>
        </w:rPr>
        <w:t>its</w:t>
      </w:r>
      <w:r>
        <w:rPr>
          <w:spacing w:val="-11"/>
        </w:rPr>
        <w:t> </w:t>
      </w:r>
      <w:r>
        <w:rPr>
          <w:spacing w:val="-1"/>
        </w:rPr>
        <w:t>success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12"/>
        </w:rPr>
        <w:t> </w:t>
      </w:r>
      <w:r>
        <w:rPr>
          <w:spacing w:val="-1"/>
        </w:rPr>
        <w:t>Aalto,</w:t>
      </w:r>
      <w:r>
        <w:rPr>
          <w:spacing w:val="-13"/>
        </w:rPr>
        <w:t> </w:t>
      </w:r>
      <w:r>
        <w:rPr>
          <w:spacing w:val="-1"/>
        </w:rPr>
        <w:t>merit-based</w:t>
      </w:r>
      <w:r>
        <w:rPr>
          <w:spacing w:val="-13"/>
        </w:rPr>
        <w:t> </w:t>
      </w:r>
      <w:r>
        <w:rPr>
          <w:spacing w:val="-1"/>
        </w:rPr>
        <w:t>progression</w:t>
      </w:r>
      <w:r>
        <w:rPr>
          <w:spacing w:val="-11"/>
        </w:rPr>
        <w:t> </w:t>
      </w:r>
      <w:r>
        <w:rPr/>
        <w:t>within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tenure</w:t>
      </w:r>
      <w:r>
        <w:rPr>
          <w:spacing w:val="-12"/>
        </w:rPr>
        <w:t> </w:t>
      </w:r>
      <w:r>
        <w:rPr/>
        <w:t>track</w:t>
      </w:r>
      <w:r>
        <w:rPr>
          <w:spacing w:val="-9"/>
        </w:rPr>
        <w:t> </w:t>
      </w:r>
      <w:r>
        <w:rPr/>
        <w:t>remains</w:t>
      </w:r>
      <w:r>
        <w:rPr>
          <w:spacing w:val="1"/>
        </w:rPr>
        <w:t> </w:t>
      </w:r>
      <w:r>
        <w:rPr/>
        <w:t>a controversial topic in the broader HE system and among Finnish university staff. While many other</w:t>
      </w:r>
      <w:r>
        <w:rPr>
          <w:spacing w:val="1"/>
        </w:rPr>
        <w:t> </w:t>
      </w:r>
      <w:r>
        <w:rPr/>
        <w:t>HEIs now offer some form of tenure, the clarity of progression and equal opportunities is not always</w:t>
      </w:r>
      <w:r>
        <w:rPr>
          <w:spacing w:val="1"/>
        </w:rPr>
        <w:t> </w:t>
      </w:r>
      <w:r>
        <w:rPr/>
        <w:t>present. In some cases, more junior academics may have to wait for an existing tenured staff member</w:t>
      </w:r>
      <w:r>
        <w:rPr>
          <w:spacing w:val="-53"/>
        </w:rPr>
        <w:t> </w:t>
      </w:r>
      <w:r>
        <w:rPr/>
        <w:t>to</w:t>
      </w:r>
      <w:r>
        <w:rPr>
          <w:spacing w:val="-8"/>
        </w:rPr>
        <w:t> </w:t>
      </w:r>
      <w:r>
        <w:rPr/>
        <w:t>leave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“open</w:t>
      </w:r>
      <w:r>
        <w:rPr>
          <w:spacing w:val="-6"/>
        </w:rPr>
        <w:t> </w:t>
      </w:r>
      <w:r>
        <w:rPr/>
        <w:t>up”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tenured</w:t>
      </w:r>
      <w:r>
        <w:rPr>
          <w:spacing w:val="-8"/>
        </w:rPr>
        <w:t> </w:t>
      </w:r>
      <w:r>
        <w:rPr/>
        <w:t>position.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Aalto,</w:t>
      </w:r>
      <w:r>
        <w:rPr>
          <w:spacing w:val="-6"/>
        </w:rPr>
        <w:t> </w:t>
      </w:r>
      <w:r>
        <w:rPr/>
        <w:t>anyone</w:t>
      </w:r>
      <w:r>
        <w:rPr>
          <w:spacing w:val="-8"/>
        </w:rPr>
        <w:t> </w:t>
      </w:r>
      <w:r>
        <w:rPr/>
        <w:t>may</w:t>
      </w:r>
      <w:r>
        <w:rPr>
          <w:spacing w:val="-10"/>
        </w:rPr>
        <w:t> </w:t>
      </w:r>
      <w:r>
        <w:rPr/>
        <w:t>qualify</w:t>
      </w:r>
      <w:r>
        <w:rPr>
          <w:spacing w:val="-11"/>
        </w:rPr>
        <w:t> </w:t>
      </w:r>
      <w:r>
        <w:rPr/>
        <w:t>for</w:t>
      </w:r>
      <w:r>
        <w:rPr>
          <w:spacing w:val="-7"/>
        </w:rPr>
        <w:t> </w:t>
      </w:r>
      <w:r>
        <w:rPr/>
        <w:t>tenure</w:t>
      </w:r>
      <w:r>
        <w:rPr>
          <w:spacing w:val="-8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11"/>
        </w:rPr>
        <w:t> </w:t>
      </w:r>
      <w:r>
        <w:rPr/>
        <w:t>demonstrate</w:t>
      </w:r>
      <w:r>
        <w:rPr>
          <w:spacing w:val="-53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competencies.</w:t>
      </w:r>
    </w:p>
    <w:p>
      <w:pPr>
        <w:pStyle w:val="BodyText"/>
        <w:spacing w:line="271" w:lineRule="auto" w:before="122"/>
        <w:ind w:left="320" w:right="447"/>
        <w:jc w:val="both"/>
      </w:pPr>
      <w:r>
        <w:rPr/>
        <w:t>Stakeholders interviewed by the OECD team relayed that concerns within the broader HE system</w:t>
      </w:r>
      <w:r>
        <w:rPr>
          <w:spacing w:val="1"/>
        </w:rPr>
        <w:t> </w:t>
      </w:r>
      <w:r>
        <w:rPr/>
        <w:t>include that increasing salaries could be unaffordable to universities, that tenure tracks can create a</w:t>
      </w:r>
      <w:r>
        <w:rPr>
          <w:spacing w:val="1"/>
        </w:rPr>
        <w:t> </w:t>
      </w:r>
      <w:r>
        <w:rPr/>
        <w:t>competitive environment that is undesirable, and a perspective that universities should focus on hiring</w:t>
      </w:r>
      <w:r>
        <w:rPr>
          <w:spacing w:val="-53"/>
        </w:rPr>
        <w:t> </w:t>
      </w:r>
      <w:r>
        <w:rPr/>
        <w:t>more</w:t>
      </w:r>
      <w:r>
        <w:rPr>
          <w:spacing w:val="-2"/>
        </w:rPr>
        <w:t> </w:t>
      </w:r>
      <w:r>
        <w:rPr/>
        <w:t>local,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international,</w:t>
      </w:r>
      <w:r>
        <w:rPr>
          <w:spacing w:val="-2"/>
        </w:rPr>
        <w:t> </w:t>
      </w:r>
      <w:r>
        <w:rPr/>
        <w:t>talent.</w:t>
      </w:r>
    </w:p>
    <w:p>
      <w:pPr>
        <w:spacing w:line="256" w:lineRule="auto" w:before="100"/>
        <w:ind w:left="320" w:right="439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90"/>
          <w:position w:val="1"/>
          <w:sz w:val="18"/>
        </w:rPr>
        <w:t>Sources: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Aalto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University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(2019</w:t>
      </w:r>
      <w:r>
        <w:rPr>
          <w:rFonts w:ascii="Microsoft Sans Serif"/>
          <w:w w:val="90"/>
          <w:sz w:val="12"/>
        </w:rPr>
        <w:t>[50]</w:t>
      </w:r>
      <w:r>
        <w:rPr>
          <w:rFonts w:ascii="Microsoft Sans Serif"/>
          <w:w w:val="90"/>
          <w:position w:val="1"/>
          <w:sz w:val="18"/>
        </w:rPr>
        <w:t>),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Aalto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Tenure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Track</w:t>
      </w:r>
      <w:r>
        <w:rPr>
          <w:rFonts w:ascii="Microsoft Sans Serif"/>
          <w:w w:val="90"/>
          <w:position w:val="1"/>
          <w:sz w:val="18"/>
        </w:rPr>
        <w:t>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hyperlink r:id="rId210">
        <w:r>
          <w:rPr>
            <w:rFonts w:ascii="Microsoft Sans Serif"/>
            <w:color w:val="0000FF"/>
            <w:w w:val="90"/>
            <w:position w:val="1"/>
            <w:sz w:val="18"/>
            <w:u w:val="single" w:color="0000FF"/>
          </w:rPr>
          <w:t>https://www.aalto.fi/sites/g/files/flghsv161/files/2019-</w:t>
        </w:r>
      </w:hyperlink>
      <w:r>
        <w:rPr>
          <w:rFonts w:ascii="Microsoft Sans Serif"/>
          <w:color w:val="0000FF"/>
          <w:spacing w:val="1"/>
          <w:w w:val="90"/>
          <w:position w:val="1"/>
          <w:sz w:val="18"/>
        </w:rPr>
        <w:t> </w:t>
      </w:r>
      <w:hyperlink r:id="rId210">
        <w:r>
          <w:rPr>
            <w:rFonts w:ascii="Microsoft Sans Serif"/>
            <w:color w:val="0000FF"/>
            <w:spacing w:val="-1"/>
            <w:w w:val="85"/>
            <w:position w:val="1"/>
            <w:sz w:val="18"/>
            <w:u w:val="single" w:color="0000FF"/>
          </w:rPr>
          <w:t>09/aalto_tenure_track_policies_and_procedures_eng_20190307.pdf</w:t>
        </w:r>
        <w:r>
          <w:rPr>
            <w:rFonts w:ascii="Microsoft Sans Serif"/>
            <w:spacing w:val="-1"/>
            <w:w w:val="85"/>
            <w:position w:val="1"/>
            <w:sz w:val="18"/>
          </w:rPr>
          <w:t>;</w:t>
        </w:r>
      </w:hyperlink>
      <w:r>
        <w:rPr>
          <w:rFonts w:ascii="Microsoft Sans Serif"/>
          <w:w w:val="85"/>
          <w:position w:val="1"/>
          <w:sz w:val="18"/>
        </w:rPr>
        <w:t> Tuulos (2017</w:t>
      </w:r>
      <w:r>
        <w:rPr>
          <w:rFonts w:ascii="Microsoft Sans Serif"/>
          <w:w w:val="85"/>
          <w:sz w:val="12"/>
        </w:rPr>
        <w:t>[51]</w:t>
      </w:r>
      <w:r>
        <w:rPr>
          <w:rFonts w:ascii="Microsoft Sans Serif"/>
          <w:w w:val="85"/>
          <w:position w:val="1"/>
          <w:sz w:val="18"/>
        </w:rPr>
        <w:t>), </w:t>
      </w:r>
      <w:r>
        <w:rPr>
          <w:rFonts w:ascii="Arial"/>
          <w:i/>
          <w:w w:val="85"/>
          <w:position w:val="1"/>
          <w:sz w:val="18"/>
        </w:rPr>
        <w:t>An experimental learning platform to foster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spacing w:val="-1"/>
          <w:w w:val="85"/>
          <w:sz w:val="18"/>
        </w:rPr>
        <w:t>university-industry</w:t>
      </w:r>
      <w:r>
        <w:rPr>
          <w:rFonts w:ascii="Arial"/>
          <w:i/>
          <w:w w:val="85"/>
          <w:sz w:val="18"/>
        </w:rPr>
        <w:t> collaboration</w:t>
      </w:r>
      <w:r>
        <w:rPr>
          <w:rFonts w:ascii="Microsoft Sans Serif"/>
          <w:w w:val="85"/>
          <w:sz w:val="18"/>
        </w:rPr>
        <w:t>,</w:t>
      </w:r>
      <w:r>
        <w:rPr>
          <w:rFonts w:ascii="Microsoft Sans Serif"/>
          <w:spacing w:val="1"/>
          <w:w w:val="85"/>
          <w:sz w:val="18"/>
        </w:rPr>
        <w:t> </w:t>
      </w:r>
      <w:hyperlink r:id="rId211">
        <w:r>
          <w:rPr>
            <w:rFonts w:ascii="Microsoft Sans Serif"/>
            <w:color w:val="0000FF"/>
            <w:w w:val="85"/>
            <w:sz w:val="18"/>
            <w:u w:val="single" w:color="0000FF"/>
          </w:rPr>
          <w:t>https://www.itu.int/en/ITU-D/Capacity-Building/Documents/ITU-Academia</w:t>
        </w:r>
        <w:r>
          <w:rPr>
            <w:rFonts w:ascii="Microsoft Sans Serif"/>
            <w:color w:val="0000FF"/>
            <w:spacing w:val="1"/>
            <w:w w:val="85"/>
            <w:sz w:val="18"/>
            <w:u w:val="single" w:color="0000FF"/>
          </w:rPr>
          <w:t> </w:t>
        </w:r>
        <w:r>
          <w:rPr>
            <w:rFonts w:ascii="Microsoft Sans Serif"/>
            <w:color w:val="0000FF"/>
            <w:w w:val="85"/>
            <w:sz w:val="18"/>
            <w:u w:val="single" w:color="0000FF"/>
          </w:rPr>
          <w:t>Partnership</w:t>
        </w:r>
        <w:r>
          <w:rPr>
            <w:rFonts w:ascii="Microsoft Sans Serif"/>
            <w:color w:val="0000FF"/>
            <w:spacing w:val="1"/>
            <w:w w:val="85"/>
            <w:sz w:val="18"/>
            <w:u w:val="single" w:color="0000FF"/>
          </w:rPr>
          <w:t> </w:t>
        </w:r>
        <w:r>
          <w:rPr>
            <w:rFonts w:ascii="Microsoft Sans Serif"/>
            <w:color w:val="0000FF"/>
            <w:w w:val="85"/>
            <w:sz w:val="18"/>
            <w:u w:val="single" w:color="0000FF"/>
          </w:rPr>
          <w:t>Meeting</w:t>
        </w:r>
      </w:hyperlink>
      <w:r>
        <w:rPr>
          <w:rFonts w:ascii="Microsoft Sans Serif"/>
          <w:color w:val="0000FF"/>
          <w:spacing w:val="1"/>
          <w:w w:val="85"/>
          <w:sz w:val="18"/>
        </w:rPr>
        <w:t> </w:t>
      </w:r>
      <w:hyperlink r:id="rId211">
        <w:r>
          <w:rPr>
            <w:rFonts w:ascii="Microsoft Sans Serif"/>
            <w:color w:val="0000FF"/>
            <w:w w:val="90"/>
            <w:position w:val="1"/>
            <w:sz w:val="18"/>
            <w:u w:val="single" w:color="0000FF"/>
          </w:rPr>
          <w:t>2017/Presentations/Session</w:t>
        </w:r>
        <w:r>
          <w:rPr>
            <w:rFonts w:ascii="Microsoft Sans Serif"/>
            <w:color w:val="0000FF"/>
            <w:spacing w:val="1"/>
            <w:w w:val="90"/>
            <w:position w:val="1"/>
            <w:sz w:val="18"/>
            <w:u w:val="single" w:color="0000FF"/>
          </w:rPr>
          <w:t> </w:t>
        </w:r>
        <w:r>
          <w:rPr>
            <w:rFonts w:ascii="Microsoft Sans Serif"/>
            <w:color w:val="0000FF"/>
            <w:w w:val="90"/>
            <w:position w:val="1"/>
            <w:sz w:val="18"/>
            <w:u w:val="single" w:color="0000FF"/>
          </w:rPr>
          <w:t>4/3TiinaTuulos.pdf</w:t>
        </w:r>
        <w:r>
          <w:rPr>
            <w:rFonts w:ascii="Microsoft Sans Serif"/>
            <w:w w:val="90"/>
            <w:position w:val="1"/>
            <w:sz w:val="18"/>
          </w:rPr>
          <w:t>;</w:t>
        </w:r>
      </w:hyperlink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University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of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Helsinki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(2020</w:t>
      </w:r>
      <w:r>
        <w:rPr>
          <w:rFonts w:ascii="Microsoft Sans Serif"/>
          <w:w w:val="90"/>
          <w:sz w:val="12"/>
        </w:rPr>
        <w:t>[52]</w:t>
      </w:r>
      <w:r>
        <w:rPr>
          <w:rFonts w:ascii="Microsoft Sans Serif"/>
          <w:w w:val="90"/>
          <w:position w:val="1"/>
          <w:sz w:val="18"/>
        </w:rPr>
        <w:t>),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color w:val="0000FF"/>
          <w:w w:val="90"/>
          <w:position w:val="1"/>
          <w:sz w:val="18"/>
          <w:u w:val="single" w:color="0000FF"/>
        </w:rPr>
        <w:t>A</w:t>
      </w:r>
      <w:r>
        <w:rPr>
          <w:rFonts w:ascii="Microsoft Sans Serif"/>
          <w:color w:val="0000FF"/>
          <w:spacing w:val="1"/>
          <w:w w:val="90"/>
          <w:position w:val="1"/>
          <w:sz w:val="18"/>
          <w:u w:val="single" w:color="0000FF"/>
        </w:rPr>
        <w:t> </w:t>
      </w:r>
      <w:r>
        <w:rPr>
          <w:rFonts w:ascii="Microsoft Sans Serif"/>
          <w:color w:val="0000FF"/>
          <w:w w:val="90"/>
          <w:position w:val="1"/>
          <w:sz w:val="18"/>
          <w:u w:val="single" w:color="0000FF"/>
        </w:rPr>
        <w:t>tailored</w:t>
      </w:r>
      <w:r>
        <w:rPr>
          <w:rFonts w:ascii="Microsoft Sans Serif"/>
          <w:color w:val="0000FF"/>
          <w:spacing w:val="1"/>
          <w:w w:val="90"/>
          <w:position w:val="1"/>
          <w:sz w:val="18"/>
          <w:u w:val="single" w:color="0000FF"/>
        </w:rPr>
        <w:t> </w:t>
      </w:r>
      <w:r>
        <w:rPr>
          <w:rFonts w:ascii="Microsoft Sans Serif"/>
          <w:color w:val="0000FF"/>
          <w:w w:val="90"/>
          <w:position w:val="1"/>
          <w:sz w:val="18"/>
          <w:u w:val="single" w:color="0000FF"/>
        </w:rPr>
        <w:t>career</w:t>
      </w:r>
      <w:r>
        <w:rPr>
          <w:rFonts w:ascii="Microsoft Sans Serif"/>
          <w:color w:val="0000FF"/>
          <w:spacing w:val="1"/>
          <w:w w:val="90"/>
          <w:position w:val="1"/>
          <w:sz w:val="18"/>
          <w:u w:val="single" w:color="0000FF"/>
        </w:rPr>
        <w:t> </w:t>
      </w:r>
      <w:r>
        <w:rPr>
          <w:rFonts w:ascii="Microsoft Sans Serif"/>
          <w:color w:val="0000FF"/>
          <w:w w:val="90"/>
          <w:position w:val="1"/>
          <w:sz w:val="18"/>
          <w:u w:val="single" w:color="0000FF"/>
        </w:rPr>
        <w:t>path</w:t>
      </w:r>
      <w:r>
        <w:rPr>
          <w:rFonts w:ascii="Microsoft Sans Serif"/>
          <w:color w:val="0000FF"/>
          <w:w w:val="90"/>
          <w:position w:val="1"/>
          <w:sz w:val="18"/>
        </w:rPr>
        <w:t>,</w:t>
      </w:r>
      <w:r>
        <w:rPr>
          <w:rFonts w:ascii="Microsoft Sans Serif"/>
          <w:color w:val="0000FF"/>
          <w:spacing w:val="1"/>
          <w:w w:val="90"/>
          <w:position w:val="1"/>
          <w:sz w:val="18"/>
        </w:rPr>
        <w:t> </w:t>
      </w:r>
      <w:hyperlink r:id="rId212">
        <w:r>
          <w:rPr>
            <w:rFonts w:ascii="Microsoft Sans Serif"/>
            <w:color w:val="0000FF"/>
            <w:w w:val="90"/>
            <w:sz w:val="18"/>
            <w:u w:val="single" w:color="0000FF"/>
          </w:rPr>
          <w:t>https://www.helsinki.fi/en/university/careers-at-the-university-of-helsinki/tenure-track/a-tailored-career-path</w:t>
        </w:r>
        <w:r>
          <w:rPr>
            <w:rFonts w:ascii="Microsoft Sans Serif"/>
            <w:color w:val="0000FF"/>
            <w:w w:val="90"/>
            <w:sz w:val="18"/>
          </w:rPr>
          <w:t>.</w:t>
        </w:r>
      </w:hyperlink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9"/>
        </w:rPr>
      </w:pPr>
    </w:p>
    <w:p>
      <w:pPr>
        <w:pStyle w:val="Heading8"/>
        <w:spacing w:before="93"/>
      </w:pPr>
      <w:r>
        <w:rPr/>
        <w:t>Institutional</w:t>
      </w:r>
      <w:r>
        <w:rPr>
          <w:spacing w:val="-8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changes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universities</w:t>
      </w:r>
    </w:p>
    <w:p>
      <w:pPr>
        <w:pStyle w:val="BodyText"/>
        <w:spacing w:line="271" w:lineRule="auto" w:before="152"/>
        <w:ind w:left="183" w:right="305"/>
        <w:jc w:val="both"/>
      </w:pPr>
      <w:r>
        <w:rPr/>
        <w:t>The Universities Act, 2009, also established additional provisions regarding institutional autonomy that</w:t>
      </w:r>
      <w:r>
        <w:rPr>
          <w:spacing w:val="1"/>
        </w:rPr>
        <w:t> </w:t>
      </w:r>
      <w:r>
        <w:rPr>
          <w:spacing w:val="-1"/>
        </w:rPr>
        <w:t>built</w:t>
      </w:r>
      <w:r>
        <w:rPr>
          <w:spacing w:val="-13"/>
        </w:rPr>
        <w:t> </w:t>
      </w:r>
      <w:r>
        <w:rPr>
          <w:spacing w:val="-1"/>
        </w:rPr>
        <w:t>upon</w:t>
      </w:r>
      <w:r>
        <w:rPr>
          <w:spacing w:val="-16"/>
        </w:rPr>
        <w:t> </w:t>
      </w:r>
      <w:r>
        <w:rPr>
          <w:spacing w:val="-1"/>
        </w:rPr>
        <w:t>steps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expand</w:t>
      </w:r>
      <w:r>
        <w:rPr>
          <w:spacing w:val="-13"/>
        </w:rPr>
        <w:t> </w:t>
      </w:r>
      <w:r>
        <w:rPr>
          <w:spacing w:val="-1"/>
        </w:rPr>
        <w:t>autonomy</w:t>
      </w:r>
      <w:r>
        <w:rPr>
          <w:spacing w:val="-19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late</w:t>
      </w:r>
      <w:r>
        <w:rPr>
          <w:spacing w:val="-14"/>
        </w:rPr>
        <w:t> </w:t>
      </w:r>
      <w:r>
        <w:rPr/>
        <w:t>1990s.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updated</w:t>
      </w:r>
      <w:r>
        <w:rPr>
          <w:spacing w:val="-13"/>
        </w:rPr>
        <w:t> </w:t>
      </w:r>
      <w:r>
        <w:rPr/>
        <w:t>act</w:t>
      </w:r>
      <w:r>
        <w:rPr>
          <w:spacing w:val="-15"/>
        </w:rPr>
        <w:t> </w:t>
      </w:r>
      <w:r>
        <w:rPr/>
        <w:t>refreshed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governance</w:t>
      </w:r>
      <w:r>
        <w:rPr>
          <w:spacing w:val="-13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 increased</w:t>
      </w:r>
      <w:r>
        <w:rPr>
          <w:spacing w:val="-2"/>
        </w:rPr>
        <w:t> </w:t>
      </w:r>
      <w:r>
        <w:rPr/>
        <w:t>autonomy</w:t>
      </w:r>
      <w:r>
        <w:rPr>
          <w:spacing w:val="-8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universities.</w:t>
      </w:r>
      <w:r>
        <w:rPr>
          <w:spacing w:val="-2"/>
        </w:rPr>
        <w:t> </w:t>
      </w:r>
      <w:r>
        <w:rPr/>
        <w:t>Under</w:t>
      </w:r>
      <w:r>
        <w:rPr>
          <w:spacing w:val="4"/>
        </w:rPr>
        <w:t> </w:t>
      </w:r>
      <w:r>
        <w:rPr/>
        <w:t>Chapter</w:t>
      </w:r>
      <w:r>
        <w:rPr>
          <w:spacing w:val="-2"/>
        </w:rPr>
        <w:t> </w:t>
      </w:r>
      <w:r>
        <w:rPr/>
        <w:t>1,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3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act: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spacing w:before="88"/>
        <w:ind w:left="862" w:right="988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1.635845pt;width:2.2pt;height:57.9pt;mso-position-horizontal-relative:page;mso-position-vertical-relative:paragraph;z-index:15769088" coordorigin="1832,33" coordsize="44,1158" path="m1875,552l1832,552,1832,782,1832,782,1832,1190,1875,1190,1875,782,1875,782,1875,552xm1875,33l1832,33,1832,321,1832,552,1875,552,1875,321,1875,33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0"/>
          <w:sz w:val="20"/>
        </w:rPr>
        <w:t>Universities</w:t>
      </w:r>
      <w:r>
        <w:rPr>
          <w:rFonts w:ascii="Arial"/>
          <w:i/>
          <w:spacing w:val="2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have</w:t>
      </w:r>
      <w:r>
        <w:rPr>
          <w:rFonts w:ascii="Arial"/>
          <w:i/>
          <w:spacing w:val="2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autonomy,</w:t>
      </w:r>
      <w:r>
        <w:rPr>
          <w:rFonts w:ascii="Arial"/>
          <w:i/>
          <w:spacing w:val="2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through</w:t>
      </w:r>
      <w:r>
        <w:rPr>
          <w:rFonts w:ascii="Arial"/>
          <w:i/>
          <w:spacing w:val="2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which</w:t>
      </w:r>
      <w:r>
        <w:rPr>
          <w:rFonts w:ascii="Arial"/>
          <w:i/>
          <w:spacing w:val="2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they</w:t>
      </w:r>
      <w:r>
        <w:rPr>
          <w:rFonts w:ascii="Arial"/>
          <w:i/>
          <w:spacing w:val="2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safeguard</w:t>
      </w:r>
      <w:r>
        <w:rPr>
          <w:rFonts w:ascii="Arial"/>
          <w:i/>
          <w:spacing w:val="2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scientific,</w:t>
      </w:r>
      <w:r>
        <w:rPr>
          <w:rFonts w:ascii="Arial"/>
          <w:i/>
          <w:spacing w:val="2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artistic</w:t>
      </w:r>
      <w:r>
        <w:rPr>
          <w:rFonts w:ascii="Arial"/>
          <w:i/>
          <w:spacing w:val="2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2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higher</w:t>
      </w:r>
      <w:r>
        <w:rPr>
          <w:rFonts w:ascii="Arial"/>
          <w:i/>
          <w:spacing w:val="2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education</w:t>
      </w:r>
      <w:r>
        <w:rPr>
          <w:rFonts w:ascii="Arial"/>
          <w:i/>
          <w:spacing w:val="2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freedom.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 autonomy entails the right of universities to make their own decisions in matters related to their internal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administration. When legislation is drafted concerning them, the universities shall be given the opportunity to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express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their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opinion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on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the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matter</w:t>
      </w:r>
      <w:r>
        <w:rPr>
          <w:rFonts w:ascii="Arial"/>
          <w:i/>
          <w:spacing w:val="7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(Ministry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of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Education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and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Culture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of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Finland,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2009</w:t>
      </w:r>
      <w:r>
        <w:rPr>
          <w:rFonts w:ascii="Arial"/>
          <w:i/>
          <w:w w:val="80"/>
          <w:sz w:val="13"/>
        </w:rPr>
        <w:t>[42]</w:t>
      </w:r>
      <w:r>
        <w:rPr>
          <w:rFonts w:ascii="Arial"/>
          <w:i/>
          <w:w w:val="80"/>
          <w:position w:val="1"/>
          <w:sz w:val="20"/>
        </w:rPr>
        <w:t>).</w:t>
      </w:r>
    </w:p>
    <w:p>
      <w:pPr>
        <w:pStyle w:val="BodyText"/>
        <w:spacing w:before="4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1"/>
        <w:jc w:val="both"/>
      </w:pPr>
      <w:r>
        <w:rPr/>
        <w:t>The act also set out a new structure for the governance bodies of the universities, including the university</w:t>
      </w:r>
      <w:r>
        <w:rPr>
          <w:spacing w:val="-53"/>
        </w:rPr>
        <w:t> </w:t>
      </w:r>
      <w:r>
        <w:rPr/>
        <w:t>collegium, the board and the rector (in foundation universities, these are the multi-member administrative</w:t>
      </w:r>
      <w:r>
        <w:rPr>
          <w:spacing w:val="-53"/>
        </w:rPr>
        <w:t> </w:t>
      </w:r>
      <w:r>
        <w:rPr/>
        <w:t>body, the board and president, respectively). The overall effect of institutional governance changes made</w:t>
      </w:r>
      <w:r>
        <w:rPr>
          <w:spacing w:val="-53"/>
        </w:rPr>
        <w:t> </w:t>
      </w:r>
      <w:r>
        <w:rPr/>
        <w:t>through the 2009 act was to reduce the size of governance bodies, increase external participation and</w:t>
      </w:r>
      <w:r>
        <w:rPr>
          <w:spacing w:val="1"/>
        </w:rPr>
        <w:t> </w:t>
      </w:r>
      <w:r>
        <w:rPr/>
        <w:t>streamline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selection.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empowered relative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 past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271" w:lineRule="auto" w:before="121"/>
        <w:ind w:left="183" w:right="299"/>
        <w:jc w:val="both"/>
      </w:pPr>
      <w:r>
        <w:rPr/>
        <w:t>Prior to the Universities Act (2009), universities were not distinct legal entities, but were organisations</w:t>
      </w:r>
      <w:r>
        <w:rPr>
          <w:spacing w:val="1"/>
        </w:rPr>
        <w:t> </w:t>
      </w:r>
      <w:r>
        <w:rPr/>
        <w:t>under the management and provision of the public sector, specifically the MEDC. A process of increasing</w:t>
      </w:r>
      <w:r>
        <w:rPr>
          <w:spacing w:val="-53"/>
        </w:rPr>
        <w:t> </w:t>
      </w:r>
      <w:r>
        <w:rPr/>
        <w:t>autonomy for universities was an ongoing policy project that met its first milestone with the passing of the</w:t>
      </w:r>
      <w:r>
        <w:rPr>
          <w:spacing w:val="-53"/>
        </w:rPr>
        <w:t> </w:t>
      </w:r>
      <w:r>
        <w:rPr>
          <w:spacing w:val="-1"/>
        </w:rPr>
        <w:t>Universities</w:t>
      </w:r>
      <w:r>
        <w:rPr>
          <w:spacing w:val="-11"/>
        </w:rPr>
        <w:t> </w:t>
      </w:r>
      <w:r>
        <w:rPr>
          <w:spacing w:val="-1"/>
        </w:rPr>
        <w:t>Act,</w:t>
      </w:r>
      <w:r>
        <w:rPr>
          <w:spacing w:val="-12"/>
        </w:rPr>
        <w:t> </w:t>
      </w:r>
      <w:r>
        <w:rPr>
          <w:spacing w:val="-1"/>
        </w:rPr>
        <w:t>1997.</w:t>
      </w:r>
      <w:r>
        <w:rPr>
          <w:spacing w:val="-12"/>
        </w:rPr>
        <w:t> </w:t>
      </w:r>
      <w:r>
        <w:rPr>
          <w:spacing w:val="-1"/>
        </w:rPr>
        <w:t>Alongside</w:t>
      </w:r>
      <w:r>
        <w:rPr>
          <w:spacing w:val="-12"/>
        </w:rPr>
        <w:t> </w:t>
      </w:r>
      <w:r>
        <w:rPr>
          <w:spacing w:val="-1"/>
        </w:rPr>
        <w:t>changes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structure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universities,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1997</w:t>
      </w:r>
      <w:r>
        <w:rPr>
          <w:spacing w:val="-9"/>
        </w:rPr>
        <w:t> </w:t>
      </w:r>
      <w:r>
        <w:rPr/>
        <w:t>act</w:t>
      </w:r>
      <w:r>
        <w:rPr>
          <w:spacing w:val="-14"/>
        </w:rPr>
        <w:t> </w:t>
      </w:r>
      <w:r>
        <w:rPr/>
        <w:t>allowed</w:t>
      </w:r>
      <w:r>
        <w:rPr>
          <w:spacing w:val="1"/>
        </w:rPr>
        <w:t> </w:t>
      </w:r>
      <w:r>
        <w:rPr/>
        <w:t>universities to decide upon the division of the university into faculties or other units, appoint professors,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accept</w:t>
      </w:r>
      <w:r>
        <w:rPr>
          <w:spacing w:val="-13"/>
        </w:rPr>
        <w:t> </w:t>
      </w:r>
      <w:r>
        <w:rPr>
          <w:spacing w:val="-1"/>
        </w:rPr>
        <w:t>donated</w:t>
      </w:r>
      <w:r>
        <w:rPr>
          <w:spacing w:val="-13"/>
        </w:rPr>
        <w:t> </w:t>
      </w:r>
      <w:r>
        <w:rPr>
          <w:spacing w:val="-1"/>
        </w:rPr>
        <w:t>funds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establish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university</w:t>
      </w:r>
      <w:r>
        <w:rPr>
          <w:spacing w:val="-16"/>
        </w:rPr>
        <w:t> </w:t>
      </w:r>
      <w:r>
        <w:rPr/>
        <w:t>fund</w:t>
      </w:r>
      <w:r>
        <w:rPr>
          <w:spacing w:val="-13"/>
        </w:rPr>
        <w:t> </w:t>
      </w:r>
      <w:r>
        <w:rPr/>
        <w:t>separate</w:t>
      </w:r>
      <w:r>
        <w:rPr>
          <w:spacing w:val="-13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state.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updated</w:t>
      </w:r>
      <w:r>
        <w:rPr>
          <w:spacing w:val="-14"/>
        </w:rPr>
        <w:t> </w:t>
      </w:r>
      <w:r>
        <w:rPr/>
        <w:t>Universities</w:t>
      </w:r>
      <w:r>
        <w:rPr>
          <w:spacing w:val="1"/>
        </w:rPr>
        <w:t> </w:t>
      </w:r>
      <w:r>
        <w:rPr>
          <w:spacing w:val="-1"/>
        </w:rPr>
        <w:t>Act</w:t>
      </w:r>
      <w:r>
        <w:rPr>
          <w:spacing w:val="-10"/>
        </w:rPr>
        <w:t> </w:t>
      </w:r>
      <w:r>
        <w:rPr>
          <w:spacing w:val="-1"/>
        </w:rPr>
        <w:t>(2009)</w:t>
      </w:r>
      <w:r>
        <w:rPr>
          <w:spacing w:val="-8"/>
        </w:rPr>
        <w:t> </w:t>
      </w:r>
      <w:r>
        <w:rPr>
          <w:spacing w:val="-1"/>
        </w:rPr>
        <w:t>built</w:t>
      </w:r>
      <w:r>
        <w:rPr>
          <w:spacing w:val="-8"/>
        </w:rPr>
        <w:t> </w:t>
      </w:r>
      <w:r>
        <w:rPr>
          <w:spacing w:val="-1"/>
        </w:rPr>
        <w:t>upon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/>
        <w:t>steps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greater</w:t>
      </w:r>
      <w:r>
        <w:rPr>
          <w:spacing w:val="-7"/>
        </w:rPr>
        <w:t> </w:t>
      </w:r>
      <w:r>
        <w:rPr/>
        <w:t>involvement</w:t>
      </w:r>
      <w:r>
        <w:rPr>
          <w:spacing w:val="-10"/>
        </w:rPr>
        <w:t> </w:t>
      </w:r>
      <w:r>
        <w:rPr/>
        <w:t>from</w:t>
      </w:r>
      <w:r>
        <w:rPr>
          <w:spacing w:val="-6"/>
        </w:rPr>
        <w:t> </w:t>
      </w:r>
      <w:r>
        <w:rPr/>
        <w:t>external</w:t>
      </w:r>
      <w:r>
        <w:rPr>
          <w:spacing w:val="-9"/>
        </w:rPr>
        <w:t> </w:t>
      </w:r>
      <w:r>
        <w:rPr/>
        <w:t>bodies</w:t>
      </w:r>
      <w:r>
        <w:rPr>
          <w:spacing w:val="-9"/>
        </w:rPr>
        <w:t> </w:t>
      </w:r>
      <w:r>
        <w:rPr/>
        <w:t>(particularly</w:t>
      </w:r>
      <w:r>
        <w:rPr>
          <w:spacing w:val="-14"/>
        </w:rPr>
        <w:t> </w:t>
      </w:r>
      <w:r>
        <w:rPr/>
        <w:t>for</w:t>
      </w:r>
      <w:r>
        <w:rPr>
          <w:spacing w:val="-10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universities), a clearer delineation of power-sharing between the different communities of the university</w:t>
      </w:r>
      <w:r>
        <w:rPr>
          <w:spacing w:val="1"/>
        </w:rPr>
        <w:t> </w:t>
      </w:r>
      <w:r>
        <w:rPr/>
        <w:t>and noted streamlining of governance. </w:t>
      </w:r>
      <w:hyperlink w:history="true" w:anchor="_bookmark69">
        <w:r>
          <w:rPr/>
          <w:t>Table A A.6</w:t>
        </w:r>
      </w:hyperlink>
      <w:r>
        <w:rPr/>
        <w:t> (also included in the main report as Table 3.7)</w:t>
      </w:r>
      <w:r>
        <w:rPr>
          <w:spacing w:val="1"/>
        </w:rPr>
        <w:t> </w:t>
      </w:r>
      <w:r>
        <w:rPr/>
        <w:t>highlights</w:t>
      </w:r>
      <w:r>
        <w:rPr>
          <w:spacing w:val="-1"/>
        </w:rPr>
        <w:t> </w:t>
      </w:r>
      <w:r>
        <w:rPr/>
        <w:t>how</w:t>
      </w:r>
      <w:r>
        <w:rPr>
          <w:spacing w:val="-5"/>
        </w:rPr>
        <w:t> </w:t>
      </w:r>
      <w:r>
        <w:rPr/>
        <w:t>these</w:t>
      </w:r>
      <w:r>
        <w:rPr>
          <w:spacing w:val="-3"/>
        </w:rPr>
        <w:t> </w:t>
      </w:r>
      <w:r>
        <w:rPr/>
        <w:t>changes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applied</w:t>
      </w:r>
      <w:r>
        <w:rPr>
          <w:spacing w:val="-3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 different</w:t>
      </w:r>
      <w:r>
        <w:rPr>
          <w:spacing w:val="-3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governance.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183" w:right="0" w:firstLine="0"/>
        <w:jc w:val="both"/>
        <w:rPr>
          <w:rFonts w:ascii="Arial"/>
          <w:b/>
          <w:sz w:val="24"/>
        </w:rPr>
      </w:pPr>
      <w:bookmarkStart w:name="_bookmark69" w:id="184"/>
      <w:bookmarkEnd w:id="184"/>
      <w:r>
        <w:rPr/>
      </w:r>
      <w:r>
        <w:rPr>
          <w:rFonts w:ascii="Arial"/>
          <w:b/>
          <w:color w:val="4E81BD"/>
          <w:w w:val="80"/>
          <w:sz w:val="24"/>
        </w:rPr>
        <w:t>Table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A.6.</w:t>
      </w:r>
      <w:r>
        <w:rPr>
          <w:rFonts w:ascii="Arial"/>
          <w:b/>
          <w:color w:val="4E81BD"/>
          <w:spacing w:val="18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University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governance</w:t>
      </w:r>
      <w:r>
        <w:rPr>
          <w:rFonts w:ascii="Arial"/>
          <w:b/>
          <w:color w:val="4E81BD"/>
          <w:spacing w:val="17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bodies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pre-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post-Universities</w:t>
      </w:r>
      <w:r>
        <w:rPr>
          <w:rFonts w:ascii="Arial"/>
          <w:b/>
          <w:color w:val="4E81BD"/>
          <w:spacing w:val="16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Act,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2009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162" w:type="dxa"/>
        <w:tblBorders>
          <w:top w:val="single" w:sz="12" w:space="0" w:color="4E81BD"/>
          <w:left w:val="single" w:sz="12" w:space="0" w:color="4E81BD"/>
          <w:bottom w:val="single" w:sz="12" w:space="0" w:color="4E81BD"/>
          <w:right w:val="single" w:sz="12" w:space="0" w:color="4E81BD"/>
          <w:insideH w:val="single" w:sz="12" w:space="0" w:color="4E81BD"/>
          <w:insideV w:val="single" w:sz="12" w:space="0" w:color="4E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4"/>
        <w:gridCol w:w="4650"/>
      </w:tblGrid>
      <w:tr>
        <w:trPr>
          <w:trHeight w:val="241" w:hRule="atLeast"/>
        </w:trPr>
        <w:tc>
          <w:tcPr>
            <w:tcW w:w="4664" w:type="dxa"/>
            <w:tcBorders>
              <w:left w:val="nil"/>
              <w:bottom w:val="single" w:sz="6" w:space="0" w:color="4E81BD"/>
              <w:right w:val="single" w:sz="6" w:space="0" w:color="D2D2D2"/>
            </w:tcBorders>
          </w:tcPr>
          <w:p>
            <w:pPr>
              <w:pStyle w:val="TableParagraph"/>
              <w:spacing w:line="189" w:lineRule="exact" w:before="32"/>
              <w:ind w:left="92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Pre-Universities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(Universities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Act,</w:t>
            </w:r>
            <w:r>
              <w:rPr>
                <w:rFonts w:ascii="Microsoft Sans Serif"/>
                <w:spacing w:val="14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1997)</w:t>
            </w:r>
          </w:p>
        </w:tc>
        <w:tc>
          <w:tcPr>
            <w:tcW w:w="4650" w:type="dxa"/>
            <w:tcBorders>
              <w:left w:val="single" w:sz="6" w:space="0" w:color="D2D2D2"/>
              <w:bottom w:val="single" w:sz="6" w:space="0" w:color="4E81BD"/>
              <w:right w:val="nil"/>
            </w:tcBorders>
          </w:tcPr>
          <w:p>
            <w:pPr>
              <w:pStyle w:val="TableParagraph"/>
              <w:spacing w:line="189" w:lineRule="exact" w:before="32"/>
              <w:ind w:left="142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Post-Universities</w:t>
            </w:r>
            <w:r>
              <w:rPr>
                <w:rFonts w:ascii="Microsoft Sans Serif"/>
                <w:spacing w:val="10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Act,</w:t>
            </w:r>
            <w:r>
              <w:rPr>
                <w:rFonts w:ascii="Microsoft Sans Serif"/>
                <w:spacing w:val="11"/>
                <w:w w:val="80"/>
                <w:sz w:val="18"/>
              </w:rPr>
              <w:t> </w:t>
            </w:r>
            <w:r>
              <w:rPr>
                <w:rFonts w:ascii="Microsoft Sans Serif"/>
                <w:w w:val="80"/>
                <w:sz w:val="18"/>
              </w:rPr>
              <w:t>2009</w:t>
            </w:r>
          </w:p>
        </w:tc>
      </w:tr>
      <w:tr>
        <w:trPr>
          <w:trHeight w:val="1830" w:hRule="atLeast"/>
        </w:trPr>
        <w:tc>
          <w:tcPr>
            <w:tcW w:w="4664" w:type="dxa"/>
            <w:tcBorders>
              <w:top w:val="single" w:sz="6" w:space="0" w:color="4E81BD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/>
              <w:ind w:left="136" w:right="86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University Senate: The size is determined by the standing orders of the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university, but must contain representatives from the faculty, other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 and research staff and the student body. The senate is the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supreme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executive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body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university.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senate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is</w:t>
            </w:r>
            <w:r>
              <w:rPr>
                <w:rFonts w:ascii="Microsoft Sans Serif"/>
                <w:spacing w:val="-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presided</w:t>
            </w:r>
            <w:r>
              <w:rPr>
                <w:rFonts w:ascii="Microsoft Sans Serif"/>
                <w:spacing w:val="-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over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by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the</w:t>
            </w:r>
            <w:r>
              <w:rPr>
                <w:rFonts w:ascii="Microsoft Sans Serif"/>
                <w:spacing w:val="-2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rector.</w:t>
            </w:r>
          </w:p>
        </w:tc>
        <w:tc>
          <w:tcPr>
            <w:tcW w:w="4650" w:type="dxa"/>
            <w:tcBorders>
              <w:top w:val="single" w:sz="6" w:space="0" w:color="4E81BD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91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pacing w:val="-2"/>
                <w:w w:val="85"/>
                <w:sz w:val="17"/>
              </w:rPr>
              <w:t>University</w:t>
            </w:r>
            <w:r>
              <w:rPr>
                <w:rFonts w:ascii="Microsoft Sans Serif"/>
                <w:spacing w:val="-1"/>
                <w:w w:val="85"/>
                <w:sz w:val="17"/>
              </w:rPr>
              <w:t> Board: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7 members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for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foundation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universities,</w:t>
            </w:r>
            <w:r>
              <w:rPr>
                <w:rFonts w:ascii="Microsoft Sans Serif"/>
                <w:spacing w:val="29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and</w:t>
            </w:r>
            <w:r>
              <w:rPr>
                <w:rFonts w:ascii="Microsoft Sans Serif"/>
                <w:spacing w:val="30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7</w:t>
            </w:r>
            <w:r>
              <w:rPr>
                <w:rFonts w:ascii="Microsoft Sans Serif"/>
                <w:spacing w:val="29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or</w:t>
            </w:r>
            <w:r>
              <w:rPr>
                <w:rFonts w:ascii="Microsoft Sans Serif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9-14 members for public universities. Boards in foundation universities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spacing w:val="-1"/>
                <w:w w:val="90"/>
                <w:sz w:val="17"/>
              </w:rPr>
              <w:t>are elected by the multi-member administrative body. </w:t>
            </w:r>
            <w:r>
              <w:rPr>
                <w:rFonts w:ascii="Microsoft Sans Serif"/>
                <w:w w:val="90"/>
                <w:sz w:val="17"/>
              </w:rPr>
              <w:t>In public</w:t>
            </w:r>
            <w:r>
              <w:rPr>
                <w:rFonts w:ascii="Microsoft Sans Serif"/>
                <w:spacing w:val="1"/>
                <w:w w:val="9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universities,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board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is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selected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by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combination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university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community groups and the university collegium. Foundation universities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 a board whose members are 100% external to the university. Public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 boards are 40%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external (the remaining 60%</w:t>
            </w:r>
            <w:r>
              <w:rPr>
                <w:rFonts w:ascii="Microsoft Sans Serif"/>
                <w:spacing w:val="27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 members are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combination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representatives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from</w:t>
            </w:r>
            <w:r>
              <w:rPr>
                <w:rFonts w:ascii="Microsoft Sans Serif"/>
                <w:spacing w:val="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faculty,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other</w:t>
            </w:r>
            <w:r>
              <w:rPr>
                <w:rFonts w:asci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teaching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and</w:t>
            </w:r>
          </w:p>
          <w:p>
            <w:pPr>
              <w:pStyle w:val="TableParagraph"/>
              <w:spacing w:before="1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staff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body).</w:t>
            </w:r>
          </w:p>
        </w:tc>
      </w:tr>
      <w:tr>
        <w:trPr>
          <w:trHeight w:val="428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5"/>
              <w:ind w:left="136" w:right="8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pacing w:val="-1"/>
                <w:w w:val="85"/>
                <w:sz w:val="17"/>
              </w:rPr>
              <w:t>Multi-member</w:t>
            </w:r>
            <w:r>
              <w:rPr>
                <w:rFonts w:asci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administrative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spacing w:val="-1"/>
                <w:w w:val="85"/>
                <w:sz w:val="17"/>
              </w:rPr>
              <w:t>bodies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represent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individual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faculties.</w:t>
            </w:r>
            <w:r>
              <w:rPr>
                <w:rFonts w:asci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senate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division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faculties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other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departments.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Multi-member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bodies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represent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individual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faculties.</w:t>
            </w:r>
          </w:p>
        </w:tc>
      </w:tr>
      <w:tr>
        <w:trPr>
          <w:trHeight w:val="429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00" w:lineRule="atLeast" w:before="8"/>
              <w:ind w:left="136" w:right="85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Universities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chancellor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if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they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wish,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with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their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tasks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laid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in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university</w:t>
            </w:r>
            <w:r>
              <w:rPr>
                <w:rFonts w:ascii="Microsoft Sans Serif"/>
                <w:spacing w:val="-5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acts</w:t>
            </w:r>
            <w:r>
              <w:rPr>
                <w:rFonts w:asci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and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decrees.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00" w:lineRule="atLeast" w:before="8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Universities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chancellor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if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wish;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their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tasks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are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laid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out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university</w:t>
            </w:r>
            <w:r>
              <w:rPr>
                <w:rFonts w:asci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acts</w:t>
            </w:r>
            <w:r>
              <w:rPr>
                <w:rFonts w:ascii="Microsoft Sans Serif"/>
                <w:spacing w:val="-3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and</w:t>
            </w:r>
            <w:r>
              <w:rPr>
                <w:rFonts w:ascii="Microsoft Sans Serif"/>
                <w:spacing w:val="-4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decrees.</w:t>
            </w:r>
          </w:p>
        </w:tc>
      </w:tr>
      <w:tr>
        <w:trPr>
          <w:trHeight w:val="630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electoral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college;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universities</w:t>
            </w:r>
            <w:r>
              <w:rPr>
                <w:rFonts w:asci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may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have</w:t>
            </w:r>
            <w:r>
              <w:rPr>
                <w:rFonts w:asci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one</w:t>
            </w:r>
            <w:r>
              <w:rPr>
                <w:rFonts w:ascii="Microsoft Sans Serif"/>
                <w:spacing w:val="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more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vice-rectors,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decided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senate.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9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Rector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selected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board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both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foundation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public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universities.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Foundation</w:t>
            </w:r>
            <w:r>
              <w:rPr>
                <w:rFonts w:ascii="Microsoft Sans Serif"/>
                <w:spacing w:val="2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universities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may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replace</w:t>
            </w:r>
            <w:r>
              <w:rPr>
                <w:rFonts w:ascii="Microsoft Sans Serif"/>
                <w:spacing w:val="26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rector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with</w:t>
            </w:r>
            <w:r>
              <w:rPr>
                <w:rFonts w:ascii="Microsoft Sans Serif"/>
                <w:spacing w:val="2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the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position</w:t>
            </w:r>
            <w:r>
              <w:rPr>
                <w:rFonts w:ascii="Microsoft Sans Serif"/>
                <w:spacing w:val="2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of</w:t>
            </w:r>
          </w:p>
          <w:p>
            <w:pPr>
              <w:pStyle w:val="TableParagraph"/>
              <w:spacing w:before="1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president.</w:t>
            </w:r>
          </w:p>
        </w:tc>
      </w:tr>
      <w:tr>
        <w:trPr>
          <w:trHeight w:val="1430" w:hRule="atLeast"/>
        </w:trPr>
        <w:tc>
          <w:tcPr>
            <w:tcW w:w="4664" w:type="dxa"/>
            <w:tcBorders>
              <w:top w:val="single" w:sz="6" w:space="0" w:color="D2D2D2"/>
              <w:left w:val="nil"/>
              <w:bottom w:val="single" w:sz="6" w:space="0" w:color="D2D2D2"/>
              <w:right w:val="single" w:sz="6" w:space="0" w:color="D2D2D2"/>
            </w:tcBorders>
          </w:tcPr>
          <w:p>
            <w:pPr>
              <w:pStyle w:val="TableParagraph"/>
              <w:spacing w:line="249" w:lineRule="auto"/>
              <w:ind w:left="136" w:right="86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5"/>
                <w:sz w:val="17"/>
              </w:rPr>
              <w:t>The electoral college must be composed of representatives of the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professors, teaching and research staff, other </w:t>
            </w:r>
            <w:r>
              <w:rPr>
                <w:rFonts w:ascii="Microsoft Sans Serif" w:hAnsi="Microsoft Sans Serif"/>
                <w:w w:val="85"/>
                <w:sz w:val="17"/>
              </w:rPr>
              <w:t>personnel and students.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Provisions pertaining to the membership and election of the electoral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college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is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laid</w:t>
            </w:r>
            <w:r>
              <w:rPr>
                <w:rFonts w:ascii="Microsoft Sans Serif" w:hAnsi="Microsoft Sans Serif"/>
                <w:spacing w:val="3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out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in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university’s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standing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orders.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 w:right="92"/>
              <w:jc w:val="both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For public universities, the university collegium consists of 50 members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representing both the faculty, other teaching and research staff and the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student body – no one group may represent more than half the total.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spacing w:val="-1"/>
                <w:w w:val="85"/>
                <w:sz w:val="17"/>
              </w:rPr>
              <w:t>Foundation universities have a joint multi-member </w:t>
            </w:r>
            <w:r>
              <w:rPr>
                <w:rFonts w:ascii="Microsoft Sans Serif" w:hAnsi="Microsoft Sans Serif"/>
                <w:w w:val="85"/>
                <w:sz w:val="17"/>
              </w:rPr>
              <w:t>administrative body</w:t>
            </w:r>
            <w:r>
              <w:rPr>
                <w:rFonts w:ascii="Microsoft Sans Serif" w:hAnsi="Microsoft Sans Serif"/>
                <w:spacing w:val="-36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with a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maximum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 50 members,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representing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both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the faculty,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other</w:t>
            </w:r>
            <w:r>
              <w:rPr>
                <w:rFonts w:ascii="Microsoft Sans Serif" w:hAnsi="Microsoft Sans Serif"/>
                <w:spacing w:val="1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teaching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research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staff</w:t>
            </w:r>
            <w:r>
              <w:rPr>
                <w:rFonts w:ascii="Microsoft Sans Serif" w:hAns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and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the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student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body</w:t>
            </w:r>
            <w:r>
              <w:rPr>
                <w:rFonts w:ascii="Microsoft Sans Serif" w:hAns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–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no</w:t>
            </w:r>
            <w:r>
              <w:rPr>
                <w:rFonts w:ascii="Microsoft Sans Serif" w:hAnsi="Microsoft Sans Serif"/>
                <w:spacing w:val="2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one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group</w:t>
            </w:r>
            <w:r>
              <w:rPr>
                <w:rFonts w:ascii="Microsoft Sans Serif" w:hAnsi="Microsoft Sans Serif"/>
                <w:spacing w:val="1"/>
                <w:w w:val="85"/>
                <w:sz w:val="17"/>
              </w:rPr>
              <w:t> </w:t>
            </w:r>
            <w:r>
              <w:rPr>
                <w:rFonts w:ascii="Microsoft Sans Serif" w:hAnsi="Microsoft Sans Serif"/>
                <w:w w:val="85"/>
                <w:sz w:val="17"/>
              </w:rPr>
              <w:t>may</w:t>
            </w:r>
          </w:p>
          <w:p>
            <w:pPr>
              <w:pStyle w:val="TableParagraph"/>
              <w:spacing w:line="192" w:lineRule="exact" w:before="3"/>
              <w:ind w:left="114"/>
              <w:jc w:val="both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represent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more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than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half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total.</w:t>
            </w:r>
          </w:p>
        </w:tc>
      </w:tr>
      <w:tr>
        <w:trPr>
          <w:trHeight w:val="630" w:hRule="atLeast"/>
        </w:trPr>
        <w:tc>
          <w:tcPr>
            <w:tcW w:w="4664" w:type="dxa"/>
            <w:tcBorders>
              <w:top w:val="single" w:sz="6" w:space="0" w:color="D2D2D2"/>
              <w:left w:val="nil"/>
              <w:right w:val="single" w:sz="6" w:space="0" w:color="D2D2D2"/>
            </w:tcBorders>
          </w:tcPr>
          <w:p>
            <w:pPr>
              <w:pStyle w:val="TableParagraph"/>
              <w:spacing w:line="252" w:lineRule="auto"/>
              <w:ind w:left="136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5"/>
                <w:sz w:val="17"/>
              </w:rPr>
              <w:t>Faculties</w:t>
            </w:r>
            <w:r>
              <w:rPr>
                <w:rFonts w:ascii="Microsoft Sans Serif"/>
                <w:spacing w:val="3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are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directed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by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dean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or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other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director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along</w:t>
            </w:r>
            <w:r>
              <w:rPr>
                <w:rFonts w:ascii="Microsoft Sans Serif"/>
                <w:spacing w:val="4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with</w:t>
            </w:r>
            <w:r>
              <w:rPr>
                <w:rFonts w:ascii="Microsoft Sans Serif"/>
                <w:spacing w:val="5"/>
                <w:w w:val="85"/>
                <w:sz w:val="17"/>
              </w:rPr>
              <w:t> </w:t>
            </w:r>
            <w:r>
              <w:rPr>
                <w:rFonts w:ascii="Microsoft Sans Serif"/>
                <w:w w:val="85"/>
                <w:sz w:val="17"/>
              </w:rPr>
              <w:t>collegial</w:t>
            </w:r>
            <w:r>
              <w:rPr>
                <w:rFonts w:ascii="Microsoft Sans Serif"/>
                <w:spacing w:val="-35"/>
                <w:w w:val="85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governance</w:t>
            </w:r>
            <w:r>
              <w:rPr>
                <w:rFonts w:ascii="Microsoft Sans Serif"/>
                <w:spacing w:val="-6"/>
                <w:w w:val="90"/>
                <w:sz w:val="17"/>
              </w:rPr>
              <w:t> </w:t>
            </w:r>
            <w:r>
              <w:rPr>
                <w:rFonts w:ascii="Microsoft Sans Serif"/>
                <w:w w:val="90"/>
                <w:sz w:val="17"/>
              </w:rPr>
              <w:t>practices.</w:t>
            </w:r>
          </w:p>
        </w:tc>
        <w:tc>
          <w:tcPr>
            <w:tcW w:w="4650" w:type="dxa"/>
            <w:tcBorders>
              <w:top w:val="single" w:sz="6" w:space="0" w:color="D2D2D2"/>
              <w:left w:val="single" w:sz="6" w:space="0" w:color="D2D2D2"/>
              <w:right w:val="nil"/>
            </w:tcBorders>
          </w:tcPr>
          <w:p>
            <w:pPr>
              <w:pStyle w:val="TableParagraph"/>
              <w:spacing w:line="249" w:lineRule="auto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faculty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corresponding</w:t>
            </w:r>
            <w:r>
              <w:rPr>
                <w:rFonts w:ascii="Microsoft Sans Serif"/>
                <w:spacing w:val="1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unit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has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multi-member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14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</w:t>
            </w:r>
            <w:r>
              <w:rPr>
                <w:rFonts w:ascii="Microsoft Sans Serif"/>
                <w:spacing w:val="-3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chaired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director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unit.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administrative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body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must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include</w:t>
            </w:r>
          </w:p>
          <w:p>
            <w:pPr>
              <w:pStyle w:val="TableParagraph"/>
              <w:spacing w:before="1"/>
              <w:ind w:left="114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representation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from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community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groups.</w:t>
            </w:r>
          </w:p>
        </w:tc>
      </w:tr>
    </w:tbl>
    <w:p>
      <w:pPr>
        <w:spacing w:line="256" w:lineRule="auto" w:before="128"/>
        <w:ind w:left="183" w:right="300" w:firstLine="0"/>
        <w:jc w:val="both"/>
        <w:rPr>
          <w:rFonts w:ascii="Microsoft Sans Serif"/>
          <w:sz w:val="18"/>
        </w:rPr>
      </w:pPr>
      <w:r>
        <w:rPr>
          <w:rFonts w:ascii="Microsoft Sans Serif"/>
          <w:w w:val="90"/>
          <w:position w:val="1"/>
          <w:sz w:val="18"/>
        </w:rPr>
        <w:t>Sources: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Ministry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of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Education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and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Culture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of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Finland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Microsoft Sans Serif"/>
          <w:w w:val="90"/>
          <w:position w:val="1"/>
          <w:sz w:val="18"/>
        </w:rPr>
        <w:t>(1997</w:t>
      </w:r>
      <w:r>
        <w:rPr>
          <w:rFonts w:ascii="Microsoft Sans Serif"/>
          <w:w w:val="90"/>
          <w:sz w:val="12"/>
        </w:rPr>
        <w:t>[53]</w:t>
      </w:r>
      <w:r>
        <w:rPr>
          <w:rFonts w:ascii="Microsoft Sans Serif"/>
          <w:w w:val="90"/>
          <w:position w:val="1"/>
          <w:sz w:val="18"/>
        </w:rPr>
        <w:t>)),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Universities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Act</w:t>
      </w:r>
      <w:r>
        <w:rPr>
          <w:rFonts w:ascii="Arial"/>
          <w:i/>
          <w:spacing w:val="1"/>
          <w:w w:val="90"/>
          <w:position w:val="1"/>
          <w:sz w:val="18"/>
        </w:rPr>
        <w:t> </w:t>
      </w:r>
      <w:r>
        <w:rPr>
          <w:rFonts w:ascii="Arial"/>
          <w:i/>
          <w:w w:val="90"/>
          <w:position w:val="1"/>
          <w:sz w:val="18"/>
        </w:rPr>
        <w:t>645/199</w:t>
      </w:r>
      <w:r>
        <w:rPr>
          <w:rFonts w:ascii="Microsoft Sans Serif"/>
          <w:w w:val="90"/>
          <w:position w:val="1"/>
          <w:sz w:val="18"/>
        </w:rPr>
        <w:t>,</w:t>
      </w:r>
      <w:r>
        <w:rPr>
          <w:rFonts w:ascii="Microsoft Sans Serif"/>
          <w:spacing w:val="1"/>
          <w:w w:val="90"/>
          <w:position w:val="1"/>
          <w:sz w:val="18"/>
        </w:rPr>
        <w:t> </w:t>
      </w:r>
      <w:hyperlink r:id="rId155">
        <w:r>
          <w:rPr>
            <w:rFonts w:ascii="Microsoft Sans Serif"/>
            <w:color w:val="0000FF"/>
            <w:spacing w:val="-1"/>
            <w:w w:val="85"/>
            <w:position w:val="1"/>
            <w:sz w:val="18"/>
            <w:u w:val="single" w:color="0000FF"/>
          </w:rPr>
          <w:t>https://finlex.fi/fi/laki/kaannokset/1997/en19970645_20061453.pdf</w:t>
        </w:r>
        <w:r>
          <w:rPr>
            <w:rFonts w:ascii="Microsoft Sans Serif"/>
            <w:color w:val="0000FF"/>
            <w:spacing w:val="-1"/>
            <w:w w:val="85"/>
            <w:position w:val="1"/>
            <w:sz w:val="18"/>
          </w:rPr>
          <w:t>;</w:t>
        </w:r>
      </w:hyperlink>
      <w:r>
        <w:rPr>
          <w:rFonts w:ascii="Microsoft Sans Serif"/>
          <w:color w:val="0000FF"/>
          <w:spacing w:val="-1"/>
          <w:w w:val="85"/>
          <w:position w:val="1"/>
          <w:sz w:val="18"/>
        </w:rPr>
        <w:t> </w:t>
      </w:r>
      <w:r>
        <w:rPr>
          <w:rFonts w:ascii="Microsoft Sans Serif"/>
          <w:spacing w:val="-1"/>
          <w:w w:val="85"/>
          <w:position w:val="1"/>
          <w:sz w:val="18"/>
        </w:rPr>
        <w:t>Ministry of Education </w:t>
      </w:r>
      <w:r>
        <w:rPr>
          <w:rFonts w:ascii="Microsoft Sans Serif"/>
          <w:w w:val="85"/>
          <w:position w:val="1"/>
          <w:sz w:val="18"/>
        </w:rPr>
        <w:t>and Culture of Finland (2009</w:t>
      </w:r>
      <w:r>
        <w:rPr>
          <w:rFonts w:ascii="Microsoft Sans Serif"/>
          <w:w w:val="85"/>
          <w:sz w:val="12"/>
        </w:rPr>
        <w:t>[42]</w:t>
      </w:r>
      <w:r>
        <w:rPr>
          <w:rFonts w:ascii="Microsoft Sans Serif"/>
          <w:w w:val="85"/>
          <w:position w:val="1"/>
          <w:sz w:val="18"/>
        </w:rPr>
        <w:t>), </w:t>
      </w:r>
      <w:r>
        <w:rPr>
          <w:rFonts w:ascii="Arial"/>
          <w:i/>
          <w:w w:val="85"/>
          <w:position w:val="1"/>
          <w:sz w:val="18"/>
        </w:rPr>
        <w:t>Universities Act</w:t>
      </w:r>
      <w:r>
        <w:rPr>
          <w:rFonts w:ascii="Arial"/>
          <w:i/>
          <w:spacing w:val="1"/>
          <w:w w:val="85"/>
          <w:position w:val="1"/>
          <w:sz w:val="18"/>
        </w:rPr>
        <w:t> </w:t>
      </w:r>
      <w:r>
        <w:rPr>
          <w:rFonts w:ascii="Arial"/>
          <w:i/>
          <w:w w:val="90"/>
          <w:sz w:val="18"/>
        </w:rPr>
        <w:t>558/2009</w:t>
      </w:r>
      <w:r>
        <w:rPr>
          <w:rFonts w:ascii="Microsoft Sans Serif"/>
          <w:w w:val="90"/>
          <w:sz w:val="18"/>
        </w:rPr>
        <w:t>,</w:t>
      </w:r>
      <w:r>
        <w:rPr>
          <w:rFonts w:ascii="Microsoft Sans Serif"/>
          <w:spacing w:val="-8"/>
          <w:w w:val="90"/>
          <w:sz w:val="18"/>
        </w:rPr>
        <w:t> </w:t>
      </w:r>
      <w:hyperlink r:id="rId156">
        <w:r>
          <w:rPr>
            <w:rFonts w:ascii="Microsoft Sans Serif"/>
            <w:color w:val="0000FF"/>
            <w:w w:val="90"/>
            <w:sz w:val="18"/>
            <w:u w:val="single" w:color="0000FF"/>
          </w:rPr>
          <w:t>https://www.finlex.fi/en/laki/kaannokset/2009/en20090558.pdf</w:t>
        </w:r>
        <w:r>
          <w:rPr>
            <w:rFonts w:ascii="Microsoft Sans Serif"/>
            <w:w w:val="90"/>
            <w:sz w:val="18"/>
          </w:rPr>
          <w:t>.</w:t>
        </w:r>
      </w:hyperlink>
    </w:p>
    <w:p>
      <w:pPr>
        <w:spacing w:after="0" w:line="256" w:lineRule="auto"/>
        <w:jc w:val="both"/>
        <w:rPr>
          <w:rFonts w:ascii="Microsoft Sans Serif"/>
          <w:sz w:val="18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1"/>
        <w:jc w:val="both"/>
      </w:pPr>
      <w:r>
        <w:rPr/>
        <w:t>These structural changes to Finnish universities represented one-half of the higher education sector</w:t>
      </w:r>
      <w:r>
        <w:rPr>
          <w:spacing w:val="1"/>
        </w:rPr>
        <w:t> </w:t>
      </w:r>
      <w:r>
        <w:rPr/>
        <w:t>reform. The polytechnic institutions, which represent the other half of Finland’s binary higher education</w:t>
      </w:r>
      <w:r>
        <w:rPr>
          <w:spacing w:val="1"/>
        </w:rPr>
        <w:t> </w:t>
      </w:r>
      <w:r>
        <w:rPr/>
        <w:t>sector, also underwent their own corresponding reform beginning in 2011. Similar to the reform process</w:t>
      </w:r>
      <w:r>
        <w:rPr>
          <w:spacing w:val="1"/>
        </w:rPr>
        <w:t> </w:t>
      </w:r>
      <w:r>
        <w:rPr/>
        <w:t>for the universities, the MEDC began with a series</w:t>
      </w:r>
      <w:r>
        <w:rPr>
          <w:spacing w:val="1"/>
        </w:rPr>
        <w:t> </w:t>
      </w:r>
      <w:r>
        <w:rPr/>
        <w:t>of discussion</w:t>
      </w:r>
      <w:r>
        <w:rPr>
          <w:spacing w:val="1"/>
        </w:rPr>
        <w:t> </w:t>
      </w:r>
      <w:r>
        <w:rPr/>
        <w:t>papers and external stakeholder</w:t>
      </w:r>
      <w:r>
        <w:rPr>
          <w:spacing w:val="1"/>
        </w:rPr>
        <w:t> </w:t>
      </w:r>
      <w:r>
        <w:rPr/>
        <w:t>engagement. This led to a proposed new act that was circulated for stakeholder feedback in 2013</w:t>
      </w:r>
      <w:r>
        <w:rPr>
          <w:spacing w:val="1"/>
        </w:rPr>
        <w:t> </w:t>
      </w:r>
      <w:r>
        <w:rPr>
          <w:position w:val="1"/>
        </w:rPr>
        <w:t>(ReferNet Finland, 2014</w:t>
      </w:r>
      <w:r>
        <w:rPr>
          <w:sz w:val="13"/>
        </w:rPr>
        <w:t>[54]</w:t>
      </w:r>
      <w:r>
        <w:rPr>
          <w:position w:val="1"/>
        </w:rPr>
        <w:t>) which resulted in the passing of the Universities of Applied Sciences Act</w:t>
      </w:r>
      <w:r>
        <w:rPr>
          <w:spacing w:val="1"/>
          <w:position w:val="1"/>
        </w:rPr>
        <w:t> </w:t>
      </w:r>
      <w:r>
        <w:rPr/>
        <w:t>(2014). The act re-defined the polytechnics as Universities of Applied Sciences (UAS), and adapted their</w:t>
      </w:r>
      <w:r>
        <w:rPr>
          <w:spacing w:val="1"/>
        </w:rPr>
        <w:t> </w:t>
      </w:r>
      <w:r>
        <w:rPr/>
        <w:t>purpose and</w:t>
      </w:r>
      <w:r>
        <w:rPr>
          <w:spacing w:val="1"/>
        </w:rPr>
        <w:t> </w:t>
      </w:r>
      <w:r>
        <w:rPr/>
        <w:t>remit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1, Section</w:t>
      </w:r>
      <w:r>
        <w:rPr>
          <w:spacing w:val="-2"/>
        </w:rPr>
        <w:t> </w:t>
      </w:r>
      <w:r>
        <w:rPr/>
        <w:t>4:</w:t>
      </w:r>
    </w:p>
    <w:p>
      <w:pPr>
        <w:spacing w:before="148"/>
        <w:ind w:left="862" w:right="984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540872pt;width:2.2pt;height:92.45pt;mso-position-horizontal-relative:page;mso-position-vertical-relative:paragraph;z-index:15769600" coordorigin="1832,91" coordsize="44,1849" path="m1875,1301l1832,1301,1832,1529,1832,1529,1832,1939,1875,1939,1875,1529,1875,1529,1875,1301xm1875,840l1832,840,1832,1070,1832,1070,1832,1300,1875,1300,1875,1070,1875,1070,1875,840xm1875,91l1832,91,1832,381,1832,612,1832,612,1832,840,1875,840,1875,612,1875,612,1875,381,1875,91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0"/>
          <w:sz w:val="20"/>
        </w:rPr>
        <w:t>The mission of universities of applied sciences is to provide higher education for professional expert jobs based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on the requirements of working life and its development and on the premises of academic research and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academic and artistic education and to support the professional growth of students. They shall also carry out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applied research, development and innovation activities and artistic activities that serve education in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spacing w:val="-1"/>
          <w:w w:val="85"/>
          <w:sz w:val="20"/>
        </w:rPr>
        <w:t>universities of applied sciences, </w:t>
      </w:r>
      <w:r>
        <w:rPr>
          <w:rFonts w:ascii="Arial"/>
          <w:i/>
          <w:w w:val="85"/>
          <w:sz w:val="20"/>
        </w:rPr>
        <w:t>promote industry, business and regional development and regenerate the</w:t>
      </w:r>
      <w:r>
        <w:rPr>
          <w:rFonts w:ascii="Arial"/>
          <w:i/>
          <w:spacing w:val="-45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industrial structure of the region. In carrying out their mission, universities of applied sciences shall promote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lifelong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learning.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(Ministry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of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Education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and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Culture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of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Finland,</w:t>
      </w:r>
      <w:r>
        <w:rPr>
          <w:rFonts w:ascii="Arial"/>
          <w:i/>
          <w:spacing w:val="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2014</w:t>
      </w:r>
      <w:r>
        <w:rPr>
          <w:rFonts w:ascii="Arial"/>
          <w:i/>
          <w:w w:val="80"/>
          <w:sz w:val="13"/>
        </w:rPr>
        <w:t>[55]</w:t>
      </w:r>
      <w:r>
        <w:rPr>
          <w:rFonts w:ascii="Arial"/>
          <w:i/>
          <w:w w:val="80"/>
          <w:position w:val="1"/>
          <w:sz w:val="20"/>
        </w:rPr>
        <w:t>)</w:t>
      </w:r>
    </w:p>
    <w:p>
      <w:pPr>
        <w:pStyle w:val="BodyText"/>
        <w:spacing w:before="3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6"/>
        <w:jc w:val="both"/>
      </w:pPr>
      <w:r>
        <w:rPr/>
        <w:t>The act also defined a new, more streamlined, governance structure which includes a board (which must</w:t>
      </w:r>
      <w:r>
        <w:rPr>
          <w:spacing w:val="-53"/>
        </w:rPr>
        <w:t> </w:t>
      </w:r>
      <w:r>
        <w:rPr/>
        <w:t>have representation from the teaching staff and students) and responsibility for the overall running of the</w:t>
      </w:r>
      <w:r>
        <w:rPr>
          <w:spacing w:val="1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assigned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rector.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point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differentiation</w:t>
      </w:r>
      <w:r>
        <w:rPr>
          <w:spacing w:val="-8"/>
        </w:rPr>
        <w:t> </w:t>
      </w:r>
      <w:r>
        <w:rPr/>
        <w:t>from</w:t>
      </w:r>
      <w:r>
        <w:rPr>
          <w:spacing w:val="-3"/>
        </w:rPr>
        <w:t> </w:t>
      </w:r>
      <w:r>
        <w:rPr/>
        <w:t>universities,</w:t>
      </w:r>
      <w:r>
        <w:rPr>
          <w:spacing w:val="-7"/>
        </w:rPr>
        <w:t> </w:t>
      </w:r>
      <w:r>
        <w:rPr/>
        <w:t>UAS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defined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private</w:t>
      </w:r>
      <w:r>
        <w:rPr>
          <w:spacing w:val="1"/>
        </w:rPr>
        <w:t> </w:t>
      </w:r>
      <w:r>
        <w:rPr/>
        <w:t>limited companies and ownership is commonly divided between municipalities, regions and the private</w:t>
      </w:r>
      <w:r>
        <w:rPr>
          <w:spacing w:val="1"/>
        </w:rPr>
        <w:t> </w:t>
      </w:r>
      <w:r>
        <w:rPr>
          <w:spacing w:val="-1"/>
          <w:position w:val="1"/>
        </w:rPr>
        <w:t>sector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(OECD,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2017</w:t>
      </w:r>
      <w:r>
        <w:rPr>
          <w:spacing w:val="-1"/>
          <w:sz w:val="13"/>
        </w:rPr>
        <w:t>[29]</w:t>
      </w:r>
      <w:r>
        <w:rPr>
          <w:spacing w:val="-1"/>
          <w:position w:val="1"/>
        </w:rPr>
        <w:t>).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UAS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have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an</w:t>
      </w:r>
      <w:r>
        <w:rPr>
          <w:spacing w:val="-11"/>
          <w:position w:val="1"/>
        </w:rPr>
        <w:t> </w:t>
      </w:r>
      <w:r>
        <w:rPr>
          <w:position w:val="1"/>
        </w:rPr>
        <w:t>explicit</w:t>
      </w:r>
      <w:r>
        <w:rPr>
          <w:spacing w:val="-10"/>
          <w:position w:val="1"/>
        </w:rPr>
        <w:t> </w:t>
      </w:r>
      <w:r>
        <w:rPr>
          <w:position w:val="1"/>
        </w:rPr>
        <w:t>responsibility</w:t>
      </w:r>
      <w:r>
        <w:rPr>
          <w:spacing w:val="-14"/>
          <w:position w:val="1"/>
        </w:rPr>
        <w:t> </w:t>
      </w:r>
      <w:r>
        <w:rPr>
          <w:position w:val="1"/>
        </w:rPr>
        <w:t>to</w:t>
      </w:r>
      <w:r>
        <w:rPr>
          <w:spacing w:val="-11"/>
          <w:position w:val="1"/>
        </w:rPr>
        <w:t> </w:t>
      </w:r>
      <w:r>
        <w:rPr>
          <w:position w:val="1"/>
        </w:rPr>
        <w:t>provide</w:t>
      </w:r>
      <w:r>
        <w:rPr>
          <w:spacing w:val="-10"/>
          <w:position w:val="1"/>
        </w:rPr>
        <w:t> </w:t>
      </w:r>
      <w:r>
        <w:rPr>
          <w:position w:val="1"/>
        </w:rPr>
        <w:t>education</w:t>
      </w:r>
      <w:r>
        <w:rPr>
          <w:spacing w:val="-11"/>
          <w:position w:val="1"/>
        </w:rPr>
        <w:t> </w:t>
      </w:r>
      <w:r>
        <w:rPr>
          <w:position w:val="1"/>
        </w:rPr>
        <w:t>and</w:t>
      </w:r>
      <w:r>
        <w:rPr>
          <w:spacing w:val="-13"/>
          <w:position w:val="1"/>
        </w:rPr>
        <w:t> </w:t>
      </w:r>
      <w:r>
        <w:rPr>
          <w:position w:val="1"/>
        </w:rPr>
        <w:t>training</w:t>
      </w:r>
      <w:r>
        <w:rPr>
          <w:spacing w:val="-11"/>
          <w:position w:val="1"/>
        </w:rPr>
        <w:t> </w:t>
      </w:r>
      <w:r>
        <w:rPr>
          <w:position w:val="1"/>
        </w:rPr>
        <w:t>opportunities</w:t>
      </w:r>
      <w:r>
        <w:rPr>
          <w:spacing w:val="1"/>
          <w:position w:val="1"/>
        </w:rPr>
        <w:t> </w:t>
      </w:r>
      <w:r>
        <w:rPr/>
        <w:t>to their local market – as such, they are a common thread maintained throughout the higher education</w:t>
      </w:r>
      <w:r>
        <w:rPr>
          <w:spacing w:val="1"/>
        </w:rPr>
        <w:t> </w:t>
      </w:r>
      <w:r>
        <w:rPr/>
        <w:t>reform that ensures that elements of the “local provision” model of higher education are maintained.</w:t>
      </w:r>
      <w:r>
        <w:rPr>
          <w:spacing w:val="1"/>
        </w:rPr>
        <w:t> </w:t>
      </w:r>
      <w:r>
        <w:rPr/>
        <w:t>Despite the quasi-private ownership of UAS, they still receive the vast majority of funding from central</w:t>
      </w:r>
      <w:r>
        <w:rPr>
          <w:spacing w:val="1"/>
        </w:rPr>
        <w:t> </w:t>
      </w:r>
      <w:r>
        <w:rPr>
          <w:position w:val="1"/>
        </w:rPr>
        <w:t>government</w:t>
      </w:r>
      <w:r>
        <w:rPr>
          <w:spacing w:val="-1"/>
          <w:position w:val="1"/>
        </w:rPr>
        <w:t> </w:t>
      </w:r>
      <w:r>
        <w:rPr>
          <w:position w:val="1"/>
        </w:rPr>
        <w:t>through</w:t>
      </w:r>
      <w:r>
        <w:rPr>
          <w:spacing w:val="-3"/>
          <w:position w:val="1"/>
        </w:rPr>
        <w:t> </w:t>
      </w:r>
      <w:r>
        <w:rPr>
          <w:position w:val="1"/>
        </w:rPr>
        <w:t>MEDC,</w:t>
      </w:r>
      <w:r>
        <w:rPr>
          <w:spacing w:val="-2"/>
          <w:position w:val="1"/>
        </w:rPr>
        <w:t> </w:t>
      </w:r>
      <w:r>
        <w:rPr>
          <w:position w:val="1"/>
        </w:rPr>
        <w:t>estimated</w:t>
      </w:r>
      <w:r>
        <w:rPr>
          <w:spacing w:val="-2"/>
          <w:position w:val="1"/>
        </w:rPr>
        <w:t> </w:t>
      </w:r>
      <w:r>
        <w:rPr>
          <w:position w:val="1"/>
        </w:rPr>
        <w:t>at around</w:t>
      </w:r>
      <w:r>
        <w:rPr>
          <w:spacing w:val="-3"/>
          <w:position w:val="1"/>
        </w:rPr>
        <w:t> </w:t>
      </w:r>
      <w:r>
        <w:rPr>
          <w:position w:val="1"/>
        </w:rPr>
        <w:t>88% of total</w:t>
      </w:r>
      <w:r>
        <w:rPr>
          <w:spacing w:val="-1"/>
          <w:position w:val="1"/>
        </w:rPr>
        <w:t> </w:t>
      </w:r>
      <w:r>
        <w:rPr>
          <w:position w:val="1"/>
        </w:rPr>
        <w:t>income</w:t>
      </w:r>
      <w:r>
        <w:rPr>
          <w:spacing w:val="2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[29]</w:t>
      </w:r>
      <w:r>
        <w:rPr>
          <w:position w:val="1"/>
        </w:rPr>
        <w:t>).</w:t>
      </w:r>
    </w:p>
    <w:p>
      <w:pPr>
        <w:pStyle w:val="BodyText"/>
        <w:spacing w:line="271" w:lineRule="auto" w:before="121"/>
        <w:ind w:left="183" w:right="306"/>
        <w:jc w:val="both"/>
      </w:pPr>
      <w:r>
        <w:rPr/>
        <w:t>The funding formula for UAS (see </w:t>
      </w:r>
      <w:hyperlink w:history="true" w:anchor="_bookmark66">
        <w:r>
          <w:rPr/>
          <w:t>Table A A.4 </w:t>
        </w:r>
      </w:hyperlink>
      <w:r>
        <w:rPr/>
        <w:t>for full details) determining funds delivered by MEDC also</w:t>
      </w:r>
      <w:r>
        <w:rPr>
          <w:spacing w:val="1"/>
        </w:rPr>
        <w:t> </w:t>
      </w:r>
      <w:r>
        <w:rPr/>
        <w:t>reinforces the notion that UAS are primary teaching establishments with a focus on supporting regional</w:t>
      </w:r>
      <w:r>
        <w:rPr>
          <w:spacing w:val="1"/>
        </w:rPr>
        <w:t> </w:t>
      </w:r>
      <w:r>
        <w:rPr/>
        <w:t>labour</w:t>
      </w:r>
      <w:r>
        <w:rPr>
          <w:spacing w:val="-7"/>
        </w:rPr>
        <w:t> </w:t>
      </w:r>
      <w:r>
        <w:rPr/>
        <w:t>markets.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noted,</w:t>
      </w:r>
      <w:r>
        <w:rPr>
          <w:spacing w:val="-5"/>
        </w:rPr>
        <w:t> </w:t>
      </w:r>
      <w:r>
        <w:rPr/>
        <w:t>much</w:t>
      </w:r>
      <w:r>
        <w:rPr>
          <w:spacing w:val="-4"/>
        </w:rPr>
        <w:t> </w:t>
      </w:r>
      <w:r>
        <w:rPr/>
        <w:t>like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universities,</w:t>
      </w:r>
      <w:r>
        <w:rPr>
          <w:spacing w:val="-6"/>
        </w:rPr>
        <w:t> </w:t>
      </w:r>
      <w:r>
        <w:rPr/>
        <w:t>funding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heavily</w:t>
      </w:r>
      <w:r>
        <w:rPr>
          <w:spacing w:val="-10"/>
        </w:rPr>
        <w:t> </w:t>
      </w:r>
      <w:r>
        <w:rPr/>
        <w:t>tied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outcomes</w:t>
      </w:r>
      <w:r>
        <w:rPr>
          <w:spacing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[29]</w:t>
      </w:r>
      <w:r>
        <w:rPr>
          <w:position w:val="1"/>
        </w:rPr>
        <w:t>).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</w:pPr>
      <w:r>
        <w:rPr>
          <w:color w:val="616161"/>
        </w:rPr>
        <w:t>Policy</w:t>
      </w:r>
      <w:r>
        <w:rPr>
          <w:color w:val="616161"/>
          <w:spacing w:val="-4"/>
        </w:rPr>
        <w:t> </w:t>
      </w:r>
      <w:r>
        <w:rPr>
          <w:color w:val="616161"/>
        </w:rPr>
        <w:t>process:</w:t>
      </w:r>
      <w:r>
        <w:rPr>
          <w:color w:val="616161"/>
          <w:spacing w:val="-5"/>
        </w:rPr>
        <w:t> </w:t>
      </w:r>
      <w:r>
        <w:rPr>
          <w:color w:val="616161"/>
        </w:rPr>
        <w:t>Implementation</w:t>
      </w:r>
      <w:r>
        <w:rPr>
          <w:color w:val="616161"/>
          <w:spacing w:val="-6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outcomes</w:t>
      </w: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pStyle w:val="BodyText"/>
        <w:spacing w:line="271" w:lineRule="auto"/>
        <w:ind w:left="183" w:right="302"/>
        <w:jc w:val="both"/>
      </w:pPr>
      <w:r>
        <w:rPr/>
        <w:t>Given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relatively</w:t>
      </w:r>
      <w:r>
        <w:rPr>
          <w:spacing w:val="-11"/>
        </w:rPr>
        <w:t> </w:t>
      </w:r>
      <w:r>
        <w:rPr/>
        <w:t>recent</w:t>
      </w:r>
      <w:r>
        <w:rPr>
          <w:spacing w:val="-7"/>
        </w:rPr>
        <w:t> </w:t>
      </w:r>
      <w:r>
        <w:rPr/>
        <w:t>timeline,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rapid</w:t>
      </w:r>
      <w:r>
        <w:rPr>
          <w:spacing w:val="-7"/>
        </w:rPr>
        <w:t> </w:t>
      </w:r>
      <w:r>
        <w:rPr/>
        <w:t>execution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reform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Finland,</w:t>
      </w:r>
      <w:r>
        <w:rPr>
          <w:spacing w:val="-8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for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analysis of impact and success measured against the policy aims of the government is</w:t>
      </w:r>
      <w:r>
        <w:rPr>
          <w:spacing w:val="1"/>
        </w:rPr>
        <w:t> </w:t>
      </w:r>
      <w:r>
        <w:rPr/>
        <w:t>somewhat</w:t>
      </w:r>
      <w:r>
        <w:rPr>
          <w:spacing w:val="-12"/>
        </w:rPr>
        <w:t> </w:t>
      </w:r>
      <w:r>
        <w:rPr/>
        <w:t>limited.</w:t>
      </w:r>
      <w:r>
        <w:rPr>
          <w:spacing w:val="-11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there</w:t>
      </w:r>
      <w:r>
        <w:rPr>
          <w:spacing w:val="-13"/>
        </w:rPr>
        <w:t> </w:t>
      </w:r>
      <w:r>
        <w:rPr/>
        <w:t>have</w:t>
      </w:r>
      <w:r>
        <w:rPr>
          <w:spacing w:val="-12"/>
        </w:rPr>
        <w:t> </w:t>
      </w:r>
      <w:r>
        <w:rPr/>
        <w:t>been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reports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sought</w:t>
      </w:r>
      <w:r>
        <w:rPr>
          <w:spacing w:val="-9"/>
        </w:rPr>
        <w:t> </w:t>
      </w:r>
      <w:r>
        <w:rPr/>
        <w:t>to</w:t>
      </w:r>
      <w:r>
        <w:rPr>
          <w:spacing w:val="-14"/>
        </w:rPr>
        <w:t> </w:t>
      </w:r>
      <w:r>
        <w:rPr/>
        <w:t>examine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unintended</w:t>
      </w:r>
      <w:r>
        <w:rPr>
          <w:spacing w:val="1"/>
        </w:rPr>
        <w:t> </w:t>
      </w:r>
      <w:r>
        <w:rPr/>
        <w:t>consequences,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effects</w:t>
      </w:r>
      <w:r>
        <w:rPr>
          <w:spacing w:val="55"/>
        </w:rPr>
        <w:t> </w:t>
      </w:r>
      <w:r>
        <w:rPr/>
        <w:t>on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actors</w:t>
      </w:r>
      <w:r>
        <w:rPr>
          <w:spacing w:val="56"/>
        </w:rPr>
        <w:t> </w:t>
      </w:r>
      <w:r>
        <w:rPr/>
        <w:t>involved.</w:t>
      </w:r>
      <w:r>
        <w:rPr>
          <w:spacing w:val="-53"/>
        </w:rPr>
        <w:t> </w:t>
      </w:r>
      <w:hyperlink w:history="true" w:anchor="_bookmark70">
        <w:r>
          <w:rPr/>
          <w:t>Figure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A.2</w:t>
        </w:r>
        <w:r>
          <w:rPr>
            <w:spacing w:val="-5"/>
          </w:rPr>
          <w:t> </w:t>
        </w:r>
      </w:hyperlink>
      <w:r>
        <w:rPr/>
        <w:t>presents</w:t>
      </w:r>
      <w:r>
        <w:rPr>
          <w:spacing w:val="-6"/>
        </w:rPr>
        <w:t> </w:t>
      </w:r>
      <w:r>
        <w:rPr/>
        <w:t>illustrative</w:t>
      </w:r>
      <w:r>
        <w:rPr>
          <w:spacing w:val="-5"/>
        </w:rPr>
        <w:t> </w:t>
      </w:r>
      <w:r>
        <w:rPr/>
        <w:t>goals,</w:t>
      </w:r>
      <w:r>
        <w:rPr>
          <w:spacing w:val="-4"/>
        </w:rPr>
        <w:t> </w:t>
      </w:r>
      <w:r>
        <w:rPr/>
        <w:t>outputs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outcome</w:t>
      </w:r>
      <w:r>
        <w:rPr>
          <w:spacing w:val="-7"/>
        </w:rPr>
        <w:t> </w:t>
      </w:r>
      <w:r>
        <w:rPr/>
        <w:t>indicators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reforms</w:t>
      </w:r>
      <w:r>
        <w:rPr>
          <w:spacing w:val="-8"/>
        </w:rPr>
        <w:t> </w:t>
      </w:r>
      <w:r>
        <w:rPr/>
        <w:t>advanced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reforms.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The European Commission’s 2016 review of the structural reform of the Finnish higher education system</w:t>
      </w:r>
      <w:r>
        <w:rPr>
          <w:spacing w:val="1"/>
        </w:rPr>
        <w:t> </w:t>
      </w:r>
      <w:r>
        <w:rPr/>
        <w:t>summarised the status of reform implementation regarding both operational shifts and its effectiveness in</w:t>
      </w:r>
      <w:r>
        <w:rPr>
          <w:spacing w:val="-53"/>
        </w:rPr>
        <w:t> </w:t>
      </w:r>
      <w:r>
        <w:rPr/>
        <w:t>achieving desired outcomes (increased international recognition of Finnish HEIs, a streamlining of the</w:t>
      </w:r>
      <w:r>
        <w:rPr>
          <w:spacing w:val="1"/>
        </w:rPr>
        <w:t> </w:t>
      </w:r>
      <w:r>
        <w:rPr/>
        <w:t>higher</w:t>
      </w:r>
      <w:r>
        <w:rPr>
          <w:spacing w:val="-9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system,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role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development</w:t>
      </w:r>
      <w:r>
        <w:rPr>
          <w:spacing w:val="1"/>
        </w:rPr>
        <w:t> </w:t>
      </w:r>
      <w:r>
        <w:rPr>
          <w:position w:val="1"/>
        </w:rPr>
        <w:t>ambitions of the country) (Nokkala, Välimaa and Westerheijden, 2016</w:t>
      </w:r>
      <w:r>
        <w:rPr>
          <w:sz w:val="13"/>
        </w:rPr>
        <w:t>[39]</w:t>
      </w:r>
      <w:r>
        <w:rPr>
          <w:position w:val="1"/>
        </w:rPr>
        <w:t>). The review argued that the</w:t>
      </w:r>
      <w:r>
        <w:rPr>
          <w:spacing w:val="1"/>
          <w:position w:val="1"/>
        </w:rPr>
        <w:t> </w:t>
      </w:r>
      <w:r>
        <w:rPr/>
        <w:t>operational goals of the structural reform have been achieved, though some of the wider outcomes (such</w:t>
      </w:r>
      <w:r>
        <w:rPr>
          <w:spacing w:val="-53"/>
        </w:rPr>
        <w:t> </w:t>
      </w:r>
      <w:r>
        <w:rPr/>
        <w:t>as</w:t>
      </w:r>
      <w:r>
        <w:rPr>
          <w:spacing w:val="-9"/>
        </w:rPr>
        <w:t> </w:t>
      </w:r>
      <w:r>
        <w:rPr/>
        <w:t>large-scale</w:t>
      </w:r>
      <w:r>
        <w:rPr>
          <w:spacing w:val="-10"/>
        </w:rPr>
        <w:t> </w:t>
      </w:r>
      <w:r>
        <w:rPr/>
        <w:t>increases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institutional</w:t>
      </w:r>
      <w:r>
        <w:rPr>
          <w:spacing w:val="-11"/>
        </w:rPr>
        <w:t> </w:t>
      </w:r>
      <w:r>
        <w:rPr/>
        <w:t>specialisation,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wider</w:t>
      </w:r>
      <w:r>
        <w:rPr>
          <w:spacing w:val="-7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rankings</w:t>
      </w:r>
      <w:r>
        <w:rPr>
          <w:spacing w:val="-9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institutions)</w:t>
      </w:r>
      <w:r>
        <w:rPr>
          <w:spacing w:val="-1"/>
        </w:rPr>
        <w:t> </w:t>
      </w:r>
      <w:r>
        <w:rPr/>
        <w:t>remain</w:t>
      </w:r>
      <w:r>
        <w:rPr>
          <w:spacing w:val="-2"/>
        </w:rPr>
        <w:t> </w:t>
      </w:r>
      <w:r>
        <w:rPr/>
        <w:t>areas for</w:t>
      </w:r>
      <w:r>
        <w:rPr>
          <w:spacing w:val="-2"/>
        </w:rPr>
        <w:t> </w:t>
      </w:r>
      <w:r>
        <w:rPr/>
        <w:t>ongoing</w:t>
      </w:r>
      <w:r>
        <w:rPr>
          <w:spacing w:val="-2"/>
        </w:rPr>
        <w:t> </w:t>
      </w:r>
      <w:r>
        <w:rPr/>
        <w:t>policy</w:t>
      </w:r>
      <w:r>
        <w:rPr>
          <w:spacing w:val="-2"/>
        </w:rPr>
        <w:t> </w:t>
      </w:r>
      <w:r>
        <w:rPr/>
        <w:t>adaptation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improvement.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spacing w:line="244" w:lineRule="auto" w:before="92"/>
        <w:ind w:left="183" w:right="0" w:firstLine="0"/>
        <w:jc w:val="left"/>
        <w:rPr>
          <w:rFonts w:ascii="Arial"/>
          <w:b/>
          <w:sz w:val="24"/>
        </w:rPr>
      </w:pPr>
      <w:bookmarkStart w:name="_bookmark70" w:id="185"/>
      <w:bookmarkEnd w:id="185"/>
      <w:r>
        <w:rPr/>
      </w:r>
      <w:r>
        <w:rPr>
          <w:rFonts w:ascii="Arial"/>
          <w:b/>
          <w:color w:val="4E81BD"/>
          <w:w w:val="80"/>
          <w:sz w:val="24"/>
        </w:rPr>
        <w:t>Figure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A.2.</w:t>
      </w:r>
      <w:r>
        <w:rPr>
          <w:rFonts w:ascii="Arial"/>
          <w:b/>
          <w:color w:val="4E81BD"/>
          <w:spacing w:val="11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Illustrative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goals,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outputs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and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outcomes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of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the</w:t>
      </w:r>
      <w:r>
        <w:rPr>
          <w:rFonts w:ascii="Arial"/>
          <w:b/>
          <w:color w:val="4E81BD"/>
          <w:spacing w:val="14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HEI</w:t>
      </w:r>
      <w:r>
        <w:rPr>
          <w:rFonts w:ascii="Arial"/>
          <w:b/>
          <w:color w:val="4E81BD"/>
          <w:spacing w:val="19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network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rationalisation</w:t>
      </w:r>
      <w:r>
        <w:rPr>
          <w:rFonts w:ascii="Arial"/>
          <w:b/>
          <w:color w:val="4E81BD"/>
          <w:spacing w:val="15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reform</w:t>
      </w:r>
      <w:r>
        <w:rPr>
          <w:rFonts w:ascii="Arial"/>
          <w:b/>
          <w:color w:val="4E81BD"/>
          <w:spacing w:val="13"/>
          <w:w w:val="80"/>
          <w:sz w:val="24"/>
        </w:rPr>
        <w:t> </w:t>
      </w:r>
      <w:r>
        <w:rPr>
          <w:rFonts w:ascii="Arial"/>
          <w:b/>
          <w:color w:val="4E81BD"/>
          <w:w w:val="80"/>
          <w:sz w:val="24"/>
        </w:rPr>
        <w:t>in</w:t>
      </w:r>
      <w:r>
        <w:rPr>
          <w:rFonts w:ascii="Arial"/>
          <w:b/>
          <w:color w:val="4E81BD"/>
          <w:spacing w:val="-50"/>
          <w:w w:val="80"/>
          <w:sz w:val="24"/>
        </w:rPr>
        <w:t> </w:t>
      </w:r>
      <w:r>
        <w:rPr>
          <w:rFonts w:ascii="Arial"/>
          <w:b/>
          <w:color w:val="4E81BD"/>
          <w:w w:val="90"/>
          <w:sz w:val="24"/>
        </w:rPr>
        <w:t>Finland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1000064</wp:posOffset>
            </wp:positionH>
            <wp:positionV relativeFrom="paragraph">
              <wp:posOffset>108901</wp:posOffset>
            </wp:positionV>
            <wp:extent cx="5630053" cy="2350007"/>
            <wp:effectExtent l="0" t="0" r="0" b="0"/>
            <wp:wrapTopAndBottom/>
            <wp:docPr id="2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6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053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Heading8"/>
        <w:jc w:val="left"/>
      </w:pPr>
      <w:r>
        <w:rPr/>
        <w:t>Institutional</w:t>
      </w:r>
      <w:r>
        <w:rPr>
          <w:spacing w:val="-6"/>
        </w:rPr>
        <w:t> </w:t>
      </w:r>
      <w:r>
        <w:rPr/>
        <w:t>mergers</w:t>
      </w:r>
    </w:p>
    <w:p>
      <w:pPr>
        <w:pStyle w:val="BodyText"/>
        <w:spacing w:line="271" w:lineRule="auto" w:before="154"/>
        <w:ind w:left="183" w:right="303"/>
        <w:jc w:val="both"/>
      </w:pPr>
      <w:r>
        <w:rPr/>
        <w:t>The aim of streamlining the HE sector through a series of institutional mergers and restructuring has</w:t>
      </w:r>
      <w:r>
        <w:rPr>
          <w:spacing w:val="1"/>
        </w:rPr>
        <w:t> </w:t>
      </w:r>
      <w:r>
        <w:rPr/>
        <w:t>undoubtedly been successful. The initial aim of the reform policy was to reduce the number of HEIs in</w:t>
      </w:r>
      <w:r>
        <w:rPr>
          <w:spacing w:val="1"/>
        </w:rPr>
        <w:t> </w:t>
      </w:r>
      <w:r>
        <w:rPr>
          <w:position w:val="1"/>
        </w:rPr>
        <w:t>Finland from 20 to 15; currently there are 13 universities in Finland (Eurydice, 2019</w:t>
      </w:r>
      <w:r>
        <w:rPr>
          <w:sz w:val="13"/>
        </w:rPr>
        <w:t>[56]</w:t>
      </w:r>
      <w:r>
        <w:rPr>
          <w:position w:val="1"/>
        </w:rPr>
        <w:t>). This process took</w:t>
      </w:r>
      <w:r>
        <w:rPr>
          <w:spacing w:val="-53"/>
          <w:position w:val="1"/>
        </w:rPr>
        <w:t> </w:t>
      </w:r>
      <w:r>
        <w:rPr>
          <w:spacing w:val="-1"/>
        </w:rPr>
        <w:t>place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relative</w:t>
      </w:r>
      <w:r>
        <w:rPr>
          <w:spacing w:val="-12"/>
        </w:rPr>
        <w:t> </w:t>
      </w:r>
      <w:r>
        <w:rPr>
          <w:spacing w:val="-1"/>
        </w:rPr>
        <w:t>speed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without</w:t>
      </w:r>
      <w:r>
        <w:rPr>
          <w:spacing w:val="-12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>
          <w:spacing w:val="-1"/>
        </w:rPr>
        <w:t>issues,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result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can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part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attributed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softer,</w:t>
      </w:r>
      <w:r>
        <w:rPr>
          <w:spacing w:val="1"/>
        </w:rPr>
        <w:t> </w:t>
      </w:r>
      <w:r>
        <w:rPr/>
        <w:t>institution-driven</w:t>
      </w:r>
      <w:r>
        <w:rPr>
          <w:spacing w:val="-7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taken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MEDC,</w:t>
      </w:r>
      <w:r>
        <w:rPr>
          <w:spacing w:val="-6"/>
        </w:rPr>
        <w:t> </w:t>
      </w:r>
      <w:r>
        <w:rPr/>
        <w:t>backed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investments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smooth</w:t>
      </w:r>
      <w:r>
        <w:rPr>
          <w:spacing w:val="-9"/>
        </w:rPr>
        <w:t> </w:t>
      </w:r>
      <w:r>
        <w:rPr/>
        <w:t>transitions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manage</w:t>
      </w:r>
      <w:r>
        <w:rPr>
          <w:spacing w:val="1"/>
        </w:rPr>
        <w:t> </w:t>
      </w:r>
      <w:r>
        <w:rPr/>
        <w:t>change,</w:t>
      </w:r>
      <w:r>
        <w:rPr>
          <w:spacing w:val="-2"/>
        </w:rPr>
        <w:t> </w:t>
      </w:r>
      <w:r>
        <w:rPr/>
        <w:t>as opposed</w:t>
      </w:r>
      <w:r>
        <w:rPr>
          <w:spacing w:val="-1"/>
        </w:rPr>
        <w:t> </w:t>
      </w:r>
      <w:r>
        <w:rPr/>
        <w:t>to top-down</w:t>
      </w:r>
      <w:r>
        <w:rPr>
          <w:spacing w:val="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271" w:lineRule="auto" w:before="122"/>
        <w:ind w:left="183" w:right="303"/>
        <w:jc w:val="both"/>
      </w:pPr>
      <w:r>
        <w:rPr/>
        <w:t>The achievement of wider aims of increasing the international competitiveness of Finnish HEIs is less</w:t>
      </w:r>
      <w:r>
        <w:rPr>
          <w:spacing w:val="1"/>
        </w:rPr>
        <w:t> </w:t>
      </w:r>
      <w:r>
        <w:rPr/>
        <w:t>clear. A key goal of reform in Finland held by government actors has been to achieve higher standing in</w:t>
      </w:r>
      <w:r>
        <w:rPr>
          <w:spacing w:val="1"/>
        </w:rPr>
        <w:t> </w:t>
      </w:r>
      <w:r>
        <w:rPr/>
        <w:t>international rankings. Depending on the ranking institution (Shanghai and Times Higher Education) and</w:t>
      </w:r>
      <w:r>
        <w:rPr>
          <w:spacing w:val="1"/>
        </w:rPr>
        <w:t> </w:t>
      </w:r>
      <w:r>
        <w:rPr/>
        <w:t>the HEIs, institutions have both risen and fallen in rankings over the reform period, which can be defined</w:t>
      </w:r>
      <w:r>
        <w:rPr>
          <w:spacing w:val="1"/>
        </w:rPr>
        <w:t> </w:t>
      </w:r>
      <w:r>
        <w:rPr/>
        <w:t>as taking place between 2004 and 2010 (although it can be argued that due to the continued shifts to</w:t>
      </w:r>
      <w:r>
        <w:rPr>
          <w:spacing w:val="1"/>
        </w:rPr>
        <w:t> </w:t>
      </w:r>
      <w:r>
        <w:rPr/>
        <w:t>funding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other</w:t>
      </w:r>
      <w:r>
        <w:rPr>
          <w:spacing w:val="26"/>
        </w:rPr>
        <w:t> </w:t>
      </w:r>
      <w:r>
        <w:rPr/>
        <w:t>areas,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reform</w:t>
      </w:r>
      <w:r>
        <w:rPr>
          <w:spacing w:val="30"/>
        </w:rPr>
        <w:t> </w:t>
      </w:r>
      <w:r>
        <w:rPr/>
        <w:t>period</w:t>
      </w:r>
      <w:r>
        <w:rPr>
          <w:spacing w:val="25"/>
        </w:rPr>
        <w:t> </w:t>
      </w:r>
      <w:r>
        <w:rPr/>
        <w:t>remains</w:t>
      </w:r>
      <w:r>
        <w:rPr>
          <w:spacing w:val="27"/>
        </w:rPr>
        <w:t> </w:t>
      </w:r>
      <w:r>
        <w:rPr/>
        <w:t>ongoing).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University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/>
        <w:t>Helsinki,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example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71" w:lineRule="auto" w:before="0" w:after="0"/>
        <w:ind w:left="183" w:right="300" w:firstLine="0"/>
        <w:jc w:val="both"/>
        <w:rPr>
          <w:sz w:val="20"/>
        </w:rPr>
      </w:pPr>
      <w:r>
        <w:rPr>
          <w:sz w:val="20"/>
        </w:rPr>
        <w:t>Finland’s highest ranking university and which did not undergo a merger process – has seen modest</w:t>
      </w:r>
      <w:r>
        <w:rPr>
          <w:spacing w:val="1"/>
          <w:sz w:val="20"/>
        </w:rPr>
        <w:t> </w:t>
      </w:r>
      <w:r>
        <w:rPr>
          <w:sz w:val="20"/>
        </w:rPr>
        <w:t>declines in its ranking overall. Aalto University, by comparison, began far lower in rankings but, as noted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case</w:t>
      </w:r>
      <w:r>
        <w:rPr>
          <w:spacing w:val="-12"/>
          <w:sz w:val="20"/>
        </w:rPr>
        <w:t> </w:t>
      </w:r>
      <w:r>
        <w:rPr>
          <w:sz w:val="20"/>
        </w:rPr>
        <w:t>study,</w:t>
      </w:r>
      <w:r>
        <w:rPr>
          <w:spacing w:val="-9"/>
          <w:sz w:val="20"/>
        </w:rPr>
        <w:t> </w:t>
      </w:r>
      <w:r>
        <w:rPr>
          <w:sz w:val="20"/>
        </w:rPr>
        <w:t>has</w:t>
      </w:r>
      <w:r>
        <w:rPr>
          <w:spacing w:val="-10"/>
          <w:sz w:val="20"/>
        </w:rPr>
        <w:t> </w:t>
      </w:r>
      <w:r>
        <w:rPr>
          <w:sz w:val="20"/>
        </w:rPr>
        <w:t>seen</w:t>
      </w:r>
      <w:r>
        <w:rPr>
          <w:spacing w:val="-9"/>
          <w:sz w:val="20"/>
        </w:rPr>
        <w:t> </w:t>
      </w:r>
      <w:r>
        <w:rPr>
          <w:sz w:val="20"/>
        </w:rPr>
        <w:t>more</w:t>
      </w:r>
      <w:r>
        <w:rPr>
          <w:spacing w:val="-11"/>
          <w:sz w:val="20"/>
        </w:rPr>
        <w:t> </w:t>
      </w:r>
      <w:r>
        <w:rPr>
          <w:sz w:val="20"/>
        </w:rPr>
        <w:t>success</w:t>
      </w:r>
      <w:r>
        <w:rPr>
          <w:spacing w:val="-10"/>
          <w:sz w:val="20"/>
        </w:rPr>
        <w:t> </w:t>
      </w:r>
      <w:r>
        <w:rPr>
          <w:sz w:val="20"/>
        </w:rPr>
        <w:t>when</w:t>
      </w:r>
      <w:r>
        <w:rPr>
          <w:spacing w:val="-11"/>
          <w:sz w:val="20"/>
        </w:rPr>
        <w:t> </w:t>
      </w:r>
      <w:r>
        <w:rPr>
          <w:sz w:val="20"/>
        </w:rPr>
        <w:t>compared</w:t>
      </w:r>
      <w:r>
        <w:rPr>
          <w:spacing w:val="-9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other young</w:t>
      </w:r>
      <w:r>
        <w:rPr>
          <w:spacing w:val="-10"/>
          <w:sz w:val="20"/>
        </w:rPr>
        <w:t> </w:t>
      </w:r>
      <w:r>
        <w:rPr>
          <w:sz w:val="20"/>
        </w:rPr>
        <w:t>institutions</w:t>
      </w:r>
      <w:r>
        <w:rPr>
          <w:spacing w:val="-8"/>
          <w:sz w:val="20"/>
        </w:rPr>
        <w:t> </w:t>
      </w:r>
      <w:r>
        <w:rPr>
          <w:sz w:val="20"/>
        </w:rPr>
        <w:t>(Nokkala,</w:t>
      </w:r>
      <w:r>
        <w:rPr>
          <w:spacing w:val="-12"/>
          <w:sz w:val="20"/>
        </w:rPr>
        <w:t> </w:t>
      </w:r>
      <w:r>
        <w:rPr>
          <w:sz w:val="20"/>
        </w:rPr>
        <w:t>Välimaa</w:t>
      </w:r>
      <w:r>
        <w:rPr>
          <w:spacing w:val="-53"/>
          <w:sz w:val="20"/>
        </w:rPr>
        <w:t> </w:t>
      </w:r>
      <w:r>
        <w:rPr>
          <w:position w:val="1"/>
          <w:sz w:val="20"/>
        </w:rPr>
        <w:t>and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Westerheijden,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2016</w:t>
      </w:r>
      <w:r>
        <w:rPr>
          <w:sz w:val="13"/>
        </w:rPr>
        <w:t>[39]</w:t>
      </w:r>
      <w:r>
        <w:rPr>
          <w:position w:val="1"/>
          <w:sz w:val="20"/>
        </w:rPr>
        <w:t>).</w:t>
      </w:r>
    </w:p>
    <w:p>
      <w:pPr>
        <w:pStyle w:val="BodyText"/>
        <w:spacing w:line="271" w:lineRule="auto" w:before="120"/>
        <w:ind w:left="183" w:right="301"/>
        <w:jc w:val="both"/>
      </w:pPr>
      <w:r>
        <w:rPr/>
        <w:t>When it comes to some of the more nuanced areas of reform specific to certain institutions, such as the</w:t>
      </w:r>
      <w:r>
        <w:rPr>
          <w:spacing w:val="1"/>
        </w:rPr>
        <w:t> </w:t>
      </w:r>
      <w:r>
        <w:rPr/>
        <w:t>foundation universities, there are other points of success. For example, one of the major objectives in the</w:t>
      </w:r>
      <w:r>
        <w:rPr>
          <w:spacing w:val="-53"/>
        </w:rPr>
        <w:t> </w:t>
      </w:r>
      <w:r>
        <w:rPr>
          <w:spacing w:val="-1"/>
        </w:rPr>
        <w:t>Aalto</w:t>
      </w:r>
      <w:r>
        <w:rPr>
          <w:spacing w:val="-11"/>
        </w:rPr>
        <w:t> </w:t>
      </w:r>
      <w:r>
        <w:rPr>
          <w:spacing w:val="-1"/>
        </w:rPr>
        <w:t>merger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create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university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9"/>
        </w:rPr>
        <w:t> </w:t>
      </w:r>
      <w:r>
        <w:rPr>
          <w:spacing w:val="-1"/>
        </w:rPr>
        <w:t>adopt</w:t>
      </w:r>
      <w:r>
        <w:rPr>
          <w:spacing w:val="-10"/>
        </w:rPr>
        <w:t> </w:t>
      </w:r>
      <w:r>
        <w:rPr>
          <w:spacing w:val="-1"/>
        </w:rPr>
        <w:t>organisational</w:t>
      </w:r>
      <w:r>
        <w:rPr>
          <w:spacing w:val="-9"/>
        </w:rPr>
        <w:t> </w:t>
      </w:r>
      <w:r>
        <w:rPr/>
        <w:t>practices</w:t>
      </w:r>
      <w:r>
        <w:rPr>
          <w:spacing w:val="-9"/>
        </w:rPr>
        <w:t> </w:t>
      </w:r>
      <w:r>
        <w:rPr/>
        <w:t>resembling</w:t>
      </w:r>
      <w:r>
        <w:rPr>
          <w:spacing w:val="-5"/>
        </w:rPr>
        <w:t> </w:t>
      </w:r>
      <w:r>
        <w:rPr/>
        <w:t>HEI</w:t>
      </w:r>
      <w:r>
        <w:rPr>
          <w:spacing w:val="-10"/>
        </w:rPr>
        <w:t> </w:t>
      </w:r>
      <w:r>
        <w:rPr/>
        <w:t>traditions</w:t>
      </w:r>
      <w:r>
        <w:rPr>
          <w:spacing w:val="1"/>
        </w:rPr>
        <w:t> </w:t>
      </w:r>
      <w:r>
        <w:rPr/>
        <w:t>found</w:t>
      </w:r>
      <w:r>
        <w:rPr>
          <w:spacing w:val="-14"/>
        </w:rPr>
        <w:t> </w:t>
      </w:r>
      <w:r>
        <w:rPr/>
        <w:t>in</w:t>
      </w:r>
      <w:r>
        <w:rPr>
          <w:spacing w:val="-10"/>
        </w:rPr>
        <w:t> </w:t>
      </w:r>
      <w:r>
        <w:rPr/>
        <w:t>English-speaking</w:t>
      </w:r>
      <w:r>
        <w:rPr>
          <w:spacing w:val="-13"/>
        </w:rPr>
        <w:t> </w:t>
      </w:r>
      <w:r>
        <w:rPr/>
        <w:t>countries,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aim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increasing</w:t>
      </w:r>
      <w:r>
        <w:rPr>
          <w:spacing w:val="-7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attractiveness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and</w:t>
      </w:r>
      <w:r>
        <w:rPr>
          <w:spacing w:val="1"/>
        </w:rPr>
        <w:t> </w:t>
      </w:r>
      <w:r>
        <w:rPr/>
        <w:t>staff. Aalto University was the first Finnish university to adopt the tenure track practice of progressive,</w:t>
      </w:r>
      <w:r>
        <w:rPr>
          <w:spacing w:val="1"/>
        </w:rPr>
        <w:t> </w:t>
      </w:r>
      <w:r>
        <w:rPr/>
        <w:t>merit-based</w:t>
      </w:r>
      <w:r>
        <w:rPr>
          <w:spacing w:val="-14"/>
        </w:rPr>
        <w:t> </w:t>
      </w:r>
      <w:r>
        <w:rPr/>
        <w:t>promotion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sole</w:t>
      </w:r>
      <w:r>
        <w:rPr>
          <w:spacing w:val="-13"/>
        </w:rPr>
        <w:t> </w:t>
      </w:r>
      <w:r>
        <w:rPr/>
        <w:t>recruitment</w:t>
      </w:r>
      <w:r>
        <w:rPr>
          <w:spacing w:val="-12"/>
        </w:rPr>
        <w:t> </w:t>
      </w:r>
      <w:r>
        <w:rPr/>
        <w:t>procedure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entering</w:t>
      </w:r>
      <w:r>
        <w:rPr>
          <w:spacing w:val="-13"/>
        </w:rPr>
        <w:t> </w:t>
      </w:r>
      <w:r>
        <w:rPr/>
        <w:t>professorial</w:t>
      </w:r>
      <w:r>
        <w:rPr>
          <w:spacing w:val="-13"/>
        </w:rPr>
        <w:t> </w:t>
      </w:r>
      <w:r>
        <w:rPr/>
        <w:t>positions.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1"/>
        </w:rPr>
        <w:t> </w:t>
      </w:r>
      <w:r>
        <w:rPr/>
        <w:t>strongly linked to the significant increases in international staffing at the university (Nokkala, Välimaa and</w:t>
      </w:r>
      <w:r>
        <w:rPr>
          <w:spacing w:val="-53"/>
        </w:rPr>
        <w:t> </w:t>
      </w:r>
      <w:r>
        <w:rPr>
          <w:position w:val="1"/>
        </w:rPr>
        <w:t>Westerheijden,</w:t>
      </w:r>
      <w:r>
        <w:rPr>
          <w:spacing w:val="-3"/>
          <w:position w:val="1"/>
        </w:rPr>
        <w:t> </w:t>
      </w:r>
      <w:r>
        <w:rPr>
          <w:position w:val="1"/>
        </w:rPr>
        <w:t>2016</w:t>
      </w:r>
      <w:r>
        <w:rPr>
          <w:sz w:val="13"/>
        </w:rPr>
        <w:t>[39]</w:t>
      </w:r>
      <w:r>
        <w:rPr>
          <w:position w:val="1"/>
        </w:rPr>
        <w:t>).</w:t>
      </w:r>
    </w:p>
    <w:p>
      <w:pPr>
        <w:pStyle w:val="Heading8"/>
        <w:spacing w:before="120"/>
      </w:pPr>
      <w:r>
        <w:rPr/>
        <w:t>Institutional</w:t>
      </w:r>
      <w:r>
        <w:rPr>
          <w:spacing w:val="-9"/>
        </w:rPr>
        <w:t> </w:t>
      </w:r>
      <w:r>
        <w:rPr/>
        <w:t>specialisation</w:t>
      </w:r>
    </w:p>
    <w:p>
      <w:pPr>
        <w:pStyle w:val="BodyText"/>
        <w:spacing w:line="271" w:lineRule="auto" w:before="152"/>
        <w:ind w:left="183" w:right="315"/>
        <w:jc w:val="both"/>
      </w:pPr>
      <w:r>
        <w:rPr/>
        <w:t>When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comes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specialisation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differentiation,</w:t>
      </w:r>
      <w:r>
        <w:rPr>
          <w:spacing w:val="-7"/>
        </w:rPr>
        <w:t> </w:t>
      </w:r>
      <w:r>
        <w:rPr/>
        <w:t>success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6"/>
        </w:rPr>
        <w:t> </w:t>
      </w:r>
      <w:r>
        <w:rPr/>
        <w:t>difficult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achieve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-2"/>
        </w:rPr>
        <w:t> </w:t>
      </w:r>
      <w:r>
        <w:rPr/>
        <w:t>sector.</w:t>
      </w:r>
      <w:r>
        <w:rPr>
          <w:spacing w:val="2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Commission's analysis: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spacing w:before="88"/>
        <w:ind w:left="862" w:right="990" w:firstLine="0"/>
        <w:jc w:val="both"/>
        <w:rPr>
          <w:rFonts w:ascii="Arial" w:hAnsi="Arial"/>
          <w:i/>
          <w:sz w:val="20"/>
        </w:rPr>
      </w:pPr>
      <w:r>
        <w:rPr/>
        <w:pict>
          <v:shape style="position:absolute;margin-left:91.583008pt;margin-top:1.635845pt;width:2.2pt;height:57.9pt;mso-position-horizontal-relative:page;mso-position-vertical-relative:paragraph;z-index:15770624" coordorigin="1832,33" coordsize="44,1158" path="m1875,552l1832,552,1832,782,1832,782,1832,1190,1875,1190,1875,782,1875,782,1875,552xm1875,33l1832,33,1832,321,1832,552,1875,552,1875,321,1875,33xe" filled="true" fillcolor="#9f9f9f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w w:val="80"/>
          <w:sz w:val="20"/>
        </w:rPr>
        <w:t>The main problem for effective profiling is that universities tend to imitate successful universities rather than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seek a strategy or niche different from others. Additionally, in research terms, “unproductive </w:t>
      </w:r>
      <w:r>
        <w:rPr>
          <w:rFonts w:ascii="Arial" w:hAnsi="Arial"/>
          <w:i/>
          <w:w w:val="85"/>
          <w:sz w:val="20"/>
        </w:rPr>
        <w:t>disciplines” (at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least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as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they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are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measured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by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global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league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tables)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are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often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needed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to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complete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teaching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provision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5"/>
          <w:position w:val="1"/>
          <w:sz w:val="20"/>
        </w:rPr>
        <w:t>of</w:t>
      </w:r>
      <w:r>
        <w:rPr>
          <w:rFonts w:ascii="Arial" w:hAnsi="Arial"/>
          <w:i/>
          <w:spacing w:val="-5"/>
          <w:w w:val="85"/>
          <w:position w:val="1"/>
          <w:sz w:val="20"/>
        </w:rPr>
        <w:t> </w:t>
      </w:r>
      <w:r>
        <w:rPr>
          <w:rFonts w:ascii="Arial" w:hAnsi="Arial"/>
          <w:i/>
          <w:w w:val="85"/>
          <w:position w:val="1"/>
          <w:sz w:val="20"/>
        </w:rPr>
        <w:t>universities</w:t>
      </w:r>
      <w:r>
        <w:rPr>
          <w:rFonts w:ascii="Arial" w:hAnsi="Arial"/>
          <w:i/>
          <w:spacing w:val="-4"/>
          <w:w w:val="85"/>
          <w:position w:val="1"/>
          <w:sz w:val="20"/>
        </w:rPr>
        <w:t> </w:t>
      </w:r>
      <w:r>
        <w:rPr>
          <w:rFonts w:ascii="Arial" w:hAnsi="Arial"/>
          <w:i/>
          <w:w w:val="85"/>
          <w:position w:val="1"/>
          <w:sz w:val="20"/>
        </w:rPr>
        <w:t>(Nokkala,</w:t>
      </w:r>
      <w:r>
        <w:rPr>
          <w:rFonts w:ascii="Arial" w:hAnsi="Arial"/>
          <w:i/>
          <w:spacing w:val="-5"/>
          <w:w w:val="85"/>
          <w:position w:val="1"/>
          <w:sz w:val="20"/>
        </w:rPr>
        <w:t> </w:t>
      </w:r>
      <w:r>
        <w:rPr>
          <w:rFonts w:ascii="Arial" w:hAnsi="Arial"/>
          <w:i/>
          <w:w w:val="85"/>
          <w:position w:val="1"/>
          <w:sz w:val="20"/>
        </w:rPr>
        <w:t>Välimaa</w:t>
      </w:r>
      <w:r>
        <w:rPr>
          <w:rFonts w:ascii="Arial" w:hAnsi="Arial"/>
          <w:i/>
          <w:spacing w:val="-2"/>
          <w:w w:val="85"/>
          <w:position w:val="1"/>
          <w:sz w:val="20"/>
        </w:rPr>
        <w:t> </w:t>
      </w:r>
      <w:r>
        <w:rPr>
          <w:rFonts w:ascii="Arial" w:hAnsi="Arial"/>
          <w:i/>
          <w:w w:val="85"/>
          <w:position w:val="1"/>
          <w:sz w:val="20"/>
        </w:rPr>
        <w:t>and</w:t>
      </w:r>
      <w:r>
        <w:rPr>
          <w:rFonts w:ascii="Arial" w:hAnsi="Arial"/>
          <w:i/>
          <w:spacing w:val="-5"/>
          <w:w w:val="85"/>
          <w:position w:val="1"/>
          <w:sz w:val="20"/>
        </w:rPr>
        <w:t> </w:t>
      </w:r>
      <w:r>
        <w:rPr>
          <w:rFonts w:ascii="Arial" w:hAnsi="Arial"/>
          <w:i/>
          <w:w w:val="85"/>
          <w:position w:val="1"/>
          <w:sz w:val="20"/>
        </w:rPr>
        <w:t>Westerheijden,</w:t>
      </w:r>
      <w:r>
        <w:rPr>
          <w:rFonts w:ascii="Arial" w:hAnsi="Arial"/>
          <w:i/>
          <w:spacing w:val="-4"/>
          <w:w w:val="85"/>
          <w:position w:val="1"/>
          <w:sz w:val="20"/>
        </w:rPr>
        <w:t> </w:t>
      </w:r>
      <w:r>
        <w:rPr>
          <w:rFonts w:ascii="Arial" w:hAnsi="Arial"/>
          <w:i/>
          <w:w w:val="85"/>
          <w:position w:val="1"/>
          <w:sz w:val="20"/>
        </w:rPr>
        <w:t>2016</w:t>
      </w:r>
      <w:r>
        <w:rPr>
          <w:rFonts w:ascii="Arial" w:hAnsi="Arial"/>
          <w:i/>
          <w:w w:val="85"/>
          <w:sz w:val="13"/>
        </w:rPr>
        <w:t>[39]</w:t>
      </w:r>
      <w:r>
        <w:rPr>
          <w:rFonts w:ascii="Arial" w:hAnsi="Arial"/>
          <w:i/>
          <w:w w:val="85"/>
          <w:position w:val="1"/>
          <w:sz w:val="20"/>
        </w:rPr>
        <w:t>).</w:t>
      </w:r>
    </w:p>
    <w:p>
      <w:pPr>
        <w:pStyle w:val="BodyText"/>
        <w:spacing w:before="4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3"/>
        <w:jc w:val="both"/>
      </w:pPr>
      <w:r>
        <w:rPr/>
        <w:t>HEIs striving for comprehensive status, in addition to incentives to maintain a wide programme range to</w:t>
      </w:r>
      <w:r>
        <w:rPr>
          <w:spacing w:val="1"/>
        </w:rPr>
        <w:t> </w:t>
      </w:r>
      <w:r>
        <w:rPr/>
        <w:t>serve students, has challenged specialisation executed through programme or faculty reductions. To the</w:t>
      </w:r>
      <w:r>
        <w:rPr>
          <w:spacing w:val="1"/>
        </w:rPr>
        <w:t> </w:t>
      </w:r>
      <w:r>
        <w:rPr/>
        <w:t>degree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specialisation</w:t>
      </w:r>
      <w:r>
        <w:rPr>
          <w:spacing w:val="-10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9"/>
        </w:rPr>
        <w:t> </w:t>
      </w:r>
      <w:r>
        <w:rPr/>
        <w:t>achieved,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3"/>
        </w:rPr>
        <w:t> </w:t>
      </w:r>
      <w:r>
        <w:rPr/>
        <w:t>more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delivery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funding and through a joining of forces through mergers. As highlighted above, slower than anticipated</w:t>
      </w:r>
      <w:r>
        <w:rPr>
          <w:spacing w:val="1"/>
        </w:rPr>
        <w:t> </w:t>
      </w:r>
      <w:r>
        <w:rPr/>
        <w:t>movement</w:t>
      </w:r>
      <w:r>
        <w:rPr>
          <w:spacing w:val="-4"/>
        </w:rPr>
        <w:t> </w:t>
      </w:r>
      <w:r>
        <w:rPr/>
        <w:t>toward</w:t>
      </w:r>
      <w:r>
        <w:rPr>
          <w:spacing w:val="-4"/>
        </w:rPr>
        <w:t> </w:t>
      </w:r>
      <w:r>
        <w:rPr/>
        <w:t>specialisation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weakness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recognised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MEDC,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area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focus for ongoing policy adaptation, with the inclusion of new measures (including increased funding</w:t>
      </w:r>
      <w:r>
        <w:rPr>
          <w:spacing w:val="1"/>
        </w:rPr>
        <w:t> </w:t>
      </w:r>
      <w:r>
        <w:rPr/>
        <w:t>opportunities)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specialisation has been more successful in the case of universities such as Aalto, which has sought to</w:t>
      </w:r>
      <w:r>
        <w:rPr>
          <w:spacing w:val="1"/>
        </w:rPr>
        <w:t> </w:t>
      </w:r>
      <w:r>
        <w:rPr/>
        <w:t>leverage the specific structure that the mergers created – faculties from previously disparate institutions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supported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explore potential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inter-disciplinary</w:t>
      </w:r>
      <w:r>
        <w:rPr>
          <w:spacing w:val="-5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expertise.</w:t>
      </w:r>
    </w:p>
    <w:p>
      <w:pPr>
        <w:pStyle w:val="BodyText"/>
        <w:spacing w:line="271" w:lineRule="auto" w:before="123"/>
        <w:ind w:left="183" w:right="298"/>
        <w:jc w:val="both"/>
      </w:pPr>
      <w:r>
        <w:rPr/>
        <w:t>Specialisation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9"/>
        </w:rPr>
        <w:t> </w:t>
      </w:r>
      <w:r>
        <w:rPr/>
        <w:t>strongly</w:t>
      </w:r>
      <w:r>
        <w:rPr>
          <w:spacing w:val="-11"/>
        </w:rPr>
        <w:t> </w:t>
      </w:r>
      <w:r>
        <w:rPr/>
        <w:t>linked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R&amp;D</w:t>
      </w:r>
      <w:r>
        <w:rPr>
          <w:spacing w:val="-7"/>
        </w:rPr>
        <w:t> </w:t>
      </w:r>
      <w:r>
        <w:rPr/>
        <w:t>developments,</w:t>
      </w:r>
      <w:r>
        <w:rPr>
          <w:spacing w:val="-8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partnerships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in Finland, and the internationalisation of the research sector. Analysis by the OECD in 2017 found that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-11"/>
        </w:rPr>
        <w:t> </w:t>
      </w:r>
      <w:r>
        <w:rPr>
          <w:spacing w:val="-1"/>
        </w:rPr>
        <w:t>comes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positioning</w:t>
      </w:r>
      <w:r>
        <w:rPr>
          <w:spacing w:val="-11"/>
        </w:rPr>
        <w:t> </w:t>
      </w:r>
      <w:r>
        <w:rPr>
          <w:spacing w:val="-1"/>
        </w:rPr>
        <w:t>universities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key</w:t>
      </w:r>
      <w:r>
        <w:rPr>
          <w:spacing w:val="-13"/>
        </w:rPr>
        <w:t> </w:t>
      </w:r>
      <w:r>
        <w:rPr>
          <w:spacing w:val="-1"/>
        </w:rPr>
        <w:t>actors</w:t>
      </w:r>
      <w:r>
        <w:rPr>
          <w:spacing w:val="-9"/>
        </w:rPr>
        <w:t> </w:t>
      </w:r>
      <w:r>
        <w:rPr>
          <w:spacing w:val="-1"/>
        </w:rPr>
        <w:t>within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broader</w:t>
      </w:r>
      <w:r>
        <w:rPr>
          <w:spacing w:val="-8"/>
        </w:rPr>
        <w:t> </w:t>
      </w:r>
      <w:r>
        <w:rPr/>
        <w:t>industrial</w:t>
      </w:r>
      <w:r>
        <w:rPr>
          <w:spacing w:val="-10"/>
        </w:rPr>
        <w:t> </w:t>
      </w:r>
      <w:r>
        <w:rPr/>
        <w:t>strategy,</w:t>
      </w:r>
      <w:r>
        <w:rPr>
          <w:spacing w:val="-11"/>
        </w:rPr>
        <w:t> </w:t>
      </w:r>
      <w:r>
        <w:rPr/>
        <w:t>driving</w:t>
      </w:r>
      <w:r>
        <w:rPr>
          <w:spacing w:val="-1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co-operation,</w:t>
      </w:r>
      <w:r>
        <w:rPr>
          <w:spacing w:val="1"/>
        </w:rPr>
        <w:t> </w:t>
      </w:r>
      <w:r>
        <w:rPr/>
        <w:t>Finland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internationalisation,</w:t>
      </w:r>
      <w:r>
        <w:rPr>
          <w:spacing w:val="-4"/>
        </w:rPr>
        <w:t> </w:t>
      </w:r>
      <w:r>
        <w:rPr/>
        <w:t>Finland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seen</w:t>
      </w:r>
      <w:r>
        <w:rPr>
          <w:spacing w:val="-2"/>
        </w:rPr>
        <w:t> </w:t>
      </w:r>
      <w:r>
        <w:rPr/>
        <w:t>notable</w:t>
      </w:r>
      <w:r>
        <w:rPr>
          <w:spacing w:val="-2"/>
        </w:rPr>
        <w:t> </w:t>
      </w:r>
      <w:r>
        <w:rPr/>
        <w:t>improvements,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still</w:t>
      </w:r>
      <w:r>
        <w:rPr>
          <w:spacing w:val="-3"/>
        </w:rPr>
        <w:t> </w:t>
      </w:r>
      <w:r>
        <w:rPr/>
        <w:t>lags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Nordic</w:t>
      </w:r>
      <w:r>
        <w:rPr>
          <w:spacing w:val="-3"/>
        </w:rPr>
        <w:t> </w:t>
      </w:r>
      <w:r>
        <w:rPr/>
        <w:t>countries:</w:t>
      </w:r>
    </w:p>
    <w:p>
      <w:pPr>
        <w:spacing w:before="148"/>
        <w:ind w:left="862" w:right="980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539867pt;width:2.2pt;height:69.4pt;mso-position-horizontal-relative:page;mso-position-vertical-relative:paragraph;z-index:15771136" coordorigin="1832,91" coordsize="44,1388" path="m1875,381l1832,381,1832,612,1832,840,1832,840,1832,1070,1832,1478,1875,1478,1875,1070,1875,840,1875,840,1875,612,1875,381xm1875,91l1832,91,1832,381,1875,381,1875,91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0"/>
          <w:sz w:val="20"/>
        </w:rPr>
        <w:t>In regard to international co-operation in research as reflected in the number of international co-publications,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Finland has been improving significantly, moving from 42.2% of publications (involving co-authors located in a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foreign country in total publications) in 2003 to 52.3% in 2012, which is above the OECD average. Yet most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5"/>
          <w:sz w:val="20"/>
        </w:rPr>
        <w:t>OECD</w:t>
      </w:r>
      <w:r>
        <w:rPr>
          <w:rFonts w:ascii="Arial"/>
          <w:i/>
          <w:spacing w:val="21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countries,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including</w:t>
      </w:r>
      <w:r>
        <w:rPr>
          <w:rFonts w:ascii="Arial"/>
          <w:i/>
          <w:spacing w:val="2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Nordic</w:t>
      </w:r>
      <w:r>
        <w:rPr>
          <w:rFonts w:ascii="Arial"/>
          <w:i/>
          <w:spacing w:val="21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ones,</w:t>
      </w:r>
      <w:r>
        <w:rPr>
          <w:rFonts w:ascii="Arial"/>
          <w:i/>
          <w:spacing w:val="2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have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also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increased</w:t>
      </w:r>
      <w:r>
        <w:rPr>
          <w:rFonts w:ascii="Arial"/>
          <w:i/>
          <w:spacing w:val="23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this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ratio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significantly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over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the</w:t>
      </w:r>
      <w:r>
        <w:rPr>
          <w:rFonts w:ascii="Arial"/>
          <w:i/>
          <w:spacing w:val="22"/>
          <w:w w:val="85"/>
          <w:sz w:val="20"/>
        </w:rPr>
        <w:t> </w:t>
      </w:r>
      <w:r>
        <w:rPr>
          <w:rFonts w:ascii="Arial"/>
          <w:i/>
          <w:w w:val="85"/>
          <w:sz w:val="20"/>
        </w:rPr>
        <w:t>years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(e.g.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Demark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from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47%</w:t>
      </w:r>
      <w:r>
        <w:rPr>
          <w:rFonts w:ascii="Arial"/>
          <w:i/>
          <w:spacing w:val="-4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to</w:t>
      </w:r>
      <w:r>
        <w:rPr>
          <w:rFonts w:ascii="Arial"/>
          <w:i/>
          <w:spacing w:val="4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55%</w:t>
      </w:r>
      <w:r>
        <w:rPr>
          <w:rFonts w:ascii="Arial"/>
          <w:i/>
          <w:spacing w:val="-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and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Sweden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from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45%</w:t>
      </w:r>
      <w:r>
        <w:rPr>
          <w:rFonts w:ascii="Arial"/>
          <w:i/>
          <w:spacing w:val="-1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to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56%)</w:t>
      </w:r>
      <w:r>
        <w:rPr>
          <w:rFonts w:ascii="Arial"/>
          <w:i/>
          <w:spacing w:val="7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(OECD,</w:t>
      </w:r>
      <w:r>
        <w:rPr>
          <w:rFonts w:ascii="Arial"/>
          <w:i/>
          <w:spacing w:val="2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2017,</w:t>
      </w:r>
      <w:r>
        <w:rPr>
          <w:rFonts w:ascii="Arial"/>
          <w:i/>
          <w:spacing w:val="3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p.</w:t>
      </w:r>
      <w:r>
        <w:rPr>
          <w:rFonts w:ascii="Arial"/>
          <w:i/>
          <w:spacing w:val="5"/>
          <w:w w:val="80"/>
          <w:position w:val="1"/>
          <w:sz w:val="20"/>
        </w:rPr>
        <w:t> </w:t>
      </w:r>
      <w:r>
        <w:rPr>
          <w:rFonts w:ascii="Arial"/>
          <w:i/>
          <w:w w:val="80"/>
          <w:position w:val="1"/>
          <w:sz w:val="20"/>
        </w:rPr>
        <w:t>81</w:t>
      </w:r>
      <w:r>
        <w:rPr>
          <w:rFonts w:ascii="Arial"/>
          <w:i/>
          <w:w w:val="80"/>
          <w:sz w:val="13"/>
        </w:rPr>
        <w:t>[29]</w:t>
      </w:r>
      <w:r>
        <w:rPr>
          <w:rFonts w:ascii="Arial"/>
          <w:i/>
          <w:w w:val="80"/>
          <w:position w:val="1"/>
          <w:sz w:val="20"/>
        </w:rPr>
        <w:t>)</w:t>
      </w:r>
    </w:p>
    <w:p>
      <w:pPr>
        <w:pStyle w:val="BodyText"/>
        <w:spacing w:before="11"/>
        <w:rPr>
          <w:rFonts w:ascii="Arial"/>
          <w:i/>
          <w:sz w:val="17"/>
        </w:rPr>
      </w:pPr>
    </w:p>
    <w:p>
      <w:pPr>
        <w:pStyle w:val="BodyText"/>
        <w:spacing w:line="271" w:lineRule="auto"/>
        <w:ind w:left="183" w:right="304"/>
        <w:jc w:val="both"/>
      </w:pPr>
      <w:r>
        <w:rPr/>
        <w:t>Turning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national</w:t>
      </w:r>
      <w:r>
        <w:rPr>
          <w:spacing w:val="-11"/>
        </w:rPr>
        <w:t> </w:t>
      </w:r>
      <w:r>
        <w:rPr/>
        <w:t>collaboration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industry,</w:t>
      </w:r>
      <w:r>
        <w:rPr>
          <w:spacing w:val="-11"/>
        </w:rPr>
        <w:t> </w:t>
      </w:r>
      <w:r>
        <w:rPr/>
        <w:t>outcomes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less</w:t>
      </w:r>
      <w:r>
        <w:rPr>
          <w:spacing w:val="-9"/>
        </w:rPr>
        <w:t> </w:t>
      </w:r>
      <w:r>
        <w:rPr/>
        <w:t>positive.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12"/>
        </w:rPr>
        <w:t> </w:t>
      </w:r>
      <w:r>
        <w:rPr/>
        <w:t>OECD</w:t>
      </w:r>
      <w:r>
        <w:rPr>
          <w:spacing w:val="-9"/>
        </w:rPr>
        <w:t> </w:t>
      </w:r>
      <w:r>
        <w:rPr/>
        <w:t>report,</w:t>
      </w:r>
      <w:r>
        <w:rPr>
          <w:spacing w:val="-5"/>
        </w:rPr>
        <w:t> </w:t>
      </w:r>
      <w:r>
        <w:rPr>
          <w:rFonts w:ascii="Arial"/>
          <w:i/>
        </w:rPr>
        <w:t>OECD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Reviews of Innovation Policy: Finland, </w:t>
      </w:r>
      <w:r>
        <w:rPr/>
        <w:t>found that industry financed higher</w:t>
      </w:r>
      <w:r>
        <w:rPr>
          <w:spacing w:val="1"/>
        </w:rPr>
        <w:t> </w:t>
      </w:r>
      <w:r>
        <w:rPr/>
        <w:t>education research and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-13"/>
        </w:rPr>
        <w:t> </w:t>
      </w:r>
      <w:r>
        <w:rPr>
          <w:spacing w:val="-1"/>
        </w:rPr>
        <w:t>had</w:t>
      </w:r>
      <w:r>
        <w:rPr>
          <w:spacing w:val="-13"/>
        </w:rPr>
        <w:t> </w:t>
      </w:r>
      <w:r>
        <w:rPr>
          <w:spacing w:val="-1"/>
        </w:rPr>
        <w:t>seen</w:t>
      </w:r>
      <w:r>
        <w:rPr>
          <w:spacing w:val="-12"/>
        </w:rPr>
        <w:t> </w:t>
      </w:r>
      <w:r>
        <w:rPr>
          <w:spacing w:val="-1"/>
        </w:rPr>
        <w:t>significant</w:t>
      </w:r>
      <w:r>
        <w:rPr>
          <w:spacing w:val="-13"/>
        </w:rPr>
        <w:t> </w:t>
      </w:r>
      <w:r>
        <w:rPr>
          <w:spacing w:val="-1"/>
        </w:rPr>
        <w:t>decline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years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core</w:t>
      </w:r>
      <w:r>
        <w:rPr>
          <w:spacing w:val="-11"/>
        </w:rPr>
        <w:t> </w:t>
      </w:r>
      <w:r>
        <w:rPr/>
        <w:t>reform</w:t>
      </w:r>
      <w:r>
        <w:rPr>
          <w:spacing w:val="-11"/>
        </w:rPr>
        <w:t> </w:t>
      </w:r>
      <w:r>
        <w:rPr/>
        <w:t>period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beyond: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2008</w:t>
      </w:r>
      <w:r>
        <w:rPr>
          <w:spacing w:val="1"/>
        </w:rPr>
        <w:t> </w:t>
      </w:r>
      <w:r>
        <w:rPr>
          <w:position w:val="1"/>
        </w:rPr>
        <w:t>and</w:t>
      </w:r>
      <w:r>
        <w:rPr>
          <w:spacing w:val="-7"/>
          <w:position w:val="1"/>
        </w:rPr>
        <w:t> </w:t>
      </w:r>
      <w:r>
        <w:rPr>
          <w:position w:val="1"/>
        </w:rPr>
        <w:t>2015,</w:t>
      </w:r>
      <w:r>
        <w:rPr>
          <w:spacing w:val="-7"/>
          <w:position w:val="1"/>
        </w:rPr>
        <w:t> </w:t>
      </w:r>
      <w:r>
        <w:rPr>
          <w:position w:val="1"/>
        </w:rPr>
        <w:t>a</w:t>
      </w:r>
      <w:r>
        <w:rPr>
          <w:spacing w:val="-9"/>
          <w:position w:val="1"/>
        </w:rPr>
        <w:t> </w:t>
      </w:r>
      <w:r>
        <w:rPr>
          <w:position w:val="1"/>
        </w:rPr>
        <w:t>funding</w:t>
      </w:r>
      <w:r>
        <w:rPr>
          <w:spacing w:val="-7"/>
          <w:position w:val="1"/>
        </w:rPr>
        <w:t> </w:t>
      </w:r>
      <w:r>
        <w:rPr>
          <w:position w:val="1"/>
        </w:rPr>
        <w:t>drop</w:t>
      </w:r>
      <w:r>
        <w:rPr>
          <w:spacing w:val="-7"/>
          <w:position w:val="1"/>
        </w:rPr>
        <w:t> </w:t>
      </w:r>
      <w:r>
        <w:rPr>
          <w:position w:val="1"/>
        </w:rPr>
        <w:t>from</w:t>
      </w:r>
      <w:r>
        <w:rPr>
          <w:spacing w:val="-5"/>
          <w:position w:val="1"/>
        </w:rPr>
        <w:t> </w:t>
      </w:r>
      <w:r>
        <w:rPr>
          <w:position w:val="1"/>
        </w:rPr>
        <w:t>EUR</w:t>
      </w:r>
      <w:r>
        <w:rPr>
          <w:spacing w:val="-1"/>
          <w:position w:val="1"/>
        </w:rPr>
        <w:t> </w:t>
      </w:r>
      <w:r>
        <w:rPr>
          <w:position w:val="1"/>
        </w:rPr>
        <w:t>81</w:t>
      </w:r>
      <w:r>
        <w:rPr>
          <w:spacing w:val="-4"/>
          <w:position w:val="1"/>
        </w:rPr>
        <w:t> </w:t>
      </w:r>
      <w:r>
        <w:rPr>
          <w:position w:val="1"/>
        </w:rPr>
        <w:t>million</w:t>
      </w:r>
      <w:r>
        <w:rPr>
          <w:spacing w:val="-7"/>
          <w:position w:val="1"/>
        </w:rPr>
        <w:t> </w:t>
      </w:r>
      <w:r>
        <w:rPr>
          <w:position w:val="1"/>
        </w:rPr>
        <w:t>to</w:t>
      </w:r>
      <w:r>
        <w:rPr>
          <w:spacing w:val="-7"/>
          <w:position w:val="1"/>
        </w:rPr>
        <w:t> </w:t>
      </w:r>
      <w:r>
        <w:rPr>
          <w:position w:val="1"/>
        </w:rPr>
        <w:t>EUR 56</w:t>
      </w:r>
      <w:r>
        <w:rPr>
          <w:spacing w:val="-4"/>
          <w:position w:val="1"/>
        </w:rPr>
        <w:t> </w:t>
      </w:r>
      <w:r>
        <w:rPr>
          <w:position w:val="1"/>
        </w:rPr>
        <w:t>million</w:t>
      </w:r>
      <w:r>
        <w:rPr>
          <w:spacing w:val="-6"/>
          <w:position w:val="1"/>
        </w:rPr>
        <w:t> </w:t>
      </w:r>
      <w:r>
        <w:rPr>
          <w:position w:val="1"/>
        </w:rPr>
        <w:t>was</w:t>
      </w:r>
      <w:r>
        <w:rPr>
          <w:spacing w:val="-6"/>
          <w:position w:val="1"/>
        </w:rPr>
        <w:t> </w:t>
      </w:r>
      <w:r>
        <w:rPr>
          <w:position w:val="1"/>
        </w:rPr>
        <w:t>observed</w:t>
      </w:r>
      <w:r>
        <w:rPr>
          <w:spacing w:val="-7"/>
          <w:position w:val="1"/>
        </w:rPr>
        <w:t> </w:t>
      </w:r>
      <w:r>
        <w:rPr>
          <w:position w:val="1"/>
        </w:rPr>
        <w:t>(OECD,</w:t>
      </w:r>
      <w:r>
        <w:rPr>
          <w:spacing w:val="-7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[29]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It</w:t>
      </w:r>
      <w:r>
        <w:rPr>
          <w:spacing w:val="-8"/>
          <w:position w:val="1"/>
        </w:rPr>
        <w:t> </w:t>
      </w:r>
      <w:r>
        <w:rPr>
          <w:position w:val="1"/>
        </w:rPr>
        <w:t>should</w:t>
      </w:r>
      <w:r>
        <w:rPr>
          <w:spacing w:val="-54"/>
          <w:position w:val="1"/>
        </w:rPr>
        <w:t> </w:t>
      </w:r>
      <w:r>
        <w:rPr/>
        <w:t>be noted that the post-2008 recession may have played a significant factor here. The report also</w:t>
      </w:r>
      <w:r>
        <w:rPr>
          <w:spacing w:val="1"/>
        </w:rPr>
        <w:t> </w:t>
      </w:r>
      <w:r>
        <w:rPr/>
        <w:t>highlighted stakeholder concerns that current strategic funding models did not provide the levers needed</w:t>
      </w:r>
      <w:r>
        <w:rPr>
          <w:spacing w:val="1"/>
        </w:rPr>
        <w:t> </w:t>
      </w:r>
      <w:r>
        <w:rPr/>
        <w:t>for government to more directly influence specialisation, and that while mergers had been successful in</w:t>
      </w:r>
      <w:r>
        <w:rPr>
          <w:spacing w:val="1"/>
        </w:rPr>
        <w:t> </w:t>
      </w:r>
      <w:r>
        <w:rPr/>
        <w:t>reducing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overall</w:t>
      </w:r>
      <w:r>
        <w:rPr>
          <w:spacing w:val="-7"/>
        </w:rPr>
        <w:t> </w:t>
      </w:r>
      <w:r>
        <w:rPr/>
        <w:t>universities,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remains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issue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large</w:t>
      </w:r>
      <w:r>
        <w:rPr>
          <w:spacing w:val="-7"/>
        </w:rPr>
        <w:t> </w:t>
      </w:r>
      <w:r>
        <w:rPr/>
        <w:t>numbers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small</w:t>
      </w:r>
      <w:r>
        <w:rPr>
          <w:spacing w:val="-10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within universities and a lack of institutional focus: in 2016, more than one-third of university disciplines</w:t>
      </w:r>
      <w:r>
        <w:rPr>
          <w:spacing w:val="1"/>
        </w:rPr>
        <w:t> </w:t>
      </w:r>
      <w:r>
        <w:rPr>
          <w:position w:val="1"/>
        </w:rPr>
        <w:t>employed three</w:t>
      </w:r>
      <w:r>
        <w:rPr>
          <w:spacing w:val="1"/>
          <w:position w:val="1"/>
        </w:rPr>
        <w:t> </w:t>
      </w:r>
      <w:r>
        <w:rPr>
          <w:position w:val="1"/>
        </w:rPr>
        <w:t>professors or</w:t>
      </w:r>
      <w:r>
        <w:rPr>
          <w:spacing w:val="-1"/>
          <w:position w:val="1"/>
        </w:rPr>
        <w:t> </w:t>
      </w:r>
      <w:r>
        <w:rPr>
          <w:position w:val="1"/>
        </w:rPr>
        <w:t>less</w:t>
      </w:r>
      <w:r>
        <w:rPr>
          <w:spacing w:val="3"/>
          <w:position w:val="1"/>
        </w:rPr>
        <w:t> </w:t>
      </w:r>
      <w:r>
        <w:rPr>
          <w:position w:val="1"/>
        </w:rPr>
        <w:t>(OECD, 2017</w:t>
      </w:r>
      <w:r>
        <w:rPr>
          <w:sz w:val="13"/>
        </w:rPr>
        <w:t>[29]</w:t>
      </w:r>
      <w:r>
        <w:rPr>
          <w:position w:val="1"/>
        </w:rPr>
        <w:t>).</w:t>
      </w:r>
    </w:p>
    <w:p>
      <w:pPr>
        <w:pStyle w:val="BodyText"/>
        <w:spacing w:line="271" w:lineRule="auto" w:before="125"/>
        <w:ind w:left="183" w:right="313"/>
        <w:jc w:val="both"/>
      </w:pPr>
      <w:r>
        <w:rPr/>
        <w:t>Foundation universities have also seen more success in developing partnerships, facilitated by their</w:t>
      </w:r>
      <w:r>
        <w:rPr>
          <w:spacing w:val="1"/>
        </w:rPr>
        <w:t> </w:t>
      </w:r>
      <w:r>
        <w:rPr/>
        <w:t>increased fiscal autonomy. In 2016, the universities of Aalto and Tampere received 45% of total funding</w:t>
      </w:r>
      <w:r>
        <w:rPr>
          <w:spacing w:val="1"/>
        </w:rPr>
        <w:t> </w:t>
      </w:r>
      <w:r>
        <w:rPr>
          <w:position w:val="1"/>
        </w:rPr>
        <w:t>from</w:t>
      </w:r>
      <w:r>
        <w:rPr>
          <w:spacing w:val="3"/>
          <w:position w:val="1"/>
        </w:rPr>
        <w:t> </w:t>
      </w:r>
      <w:r>
        <w:rPr>
          <w:position w:val="1"/>
        </w:rPr>
        <w:t>domestic companies</w:t>
      </w:r>
      <w:r>
        <w:rPr>
          <w:spacing w:val="2"/>
          <w:position w:val="1"/>
        </w:rPr>
        <w:t> </w:t>
      </w:r>
      <w:r>
        <w:rPr>
          <w:position w:val="1"/>
        </w:rPr>
        <w:t>(OECD,</w:t>
      </w:r>
      <w:r>
        <w:rPr>
          <w:spacing w:val="-2"/>
          <w:position w:val="1"/>
        </w:rPr>
        <w:t> </w:t>
      </w:r>
      <w:r>
        <w:rPr>
          <w:position w:val="1"/>
        </w:rPr>
        <w:t>2017</w:t>
      </w:r>
      <w:r>
        <w:rPr>
          <w:sz w:val="13"/>
        </w:rPr>
        <w:t>[29]</w:t>
      </w:r>
      <w:r>
        <w:rPr>
          <w:position w:val="1"/>
        </w:rPr>
        <w:t>).</w:t>
      </w:r>
    </w:p>
    <w:p>
      <w:pPr>
        <w:pStyle w:val="Heading8"/>
        <w:spacing w:before="118"/>
      </w:pPr>
      <w:r>
        <w:rPr/>
        <w:t>Institutional</w:t>
      </w:r>
      <w:r>
        <w:rPr>
          <w:spacing w:val="-8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reform</w:t>
      </w:r>
    </w:p>
    <w:p>
      <w:pPr>
        <w:pStyle w:val="BodyText"/>
        <w:spacing w:line="271" w:lineRule="auto" w:before="153"/>
        <w:ind w:left="183" w:right="306"/>
        <w:jc w:val="both"/>
      </w:pPr>
      <w:r>
        <w:rPr/>
        <w:t>Perhaps the most contentious area of reform can be found in the area of HEI governance reform and the</w:t>
      </w:r>
      <w:r>
        <w:rPr>
          <w:spacing w:val="1"/>
        </w:rPr>
        <w:t> </w:t>
      </w:r>
      <w:r>
        <w:rPr/>
        <w:t>increased role for institutional managers. There have been a variety of still-unfolding effects viewed as</w:t>
      </w:r>
      <w:r>
        <w:rPr>
          <w:spacing w:val="1"/>
        </w:rPr>
        <w:t> </w:t>
      </w:r>
      <w:r>
        <w:rPr>
          <w:spacing w:val="-1"/>
        </w:rPr>
        <w:t>positive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negative</w:t>
      </w:r>
      <w:r>
        <w:rPr>
          <w:spacing w:val="-16"/>
        </w:rPr>
        <w:t> </w:t>
      </w:r>
      <w:r>
        <w:rPr>
          <w:spacing w:val="-1"/>
        </w:rPr>
        <w:t>by</w:t>
      </w:r>
      <w:r>
        <w:rPr>
          <w:spacing w:val="-19"/>
        </w:rPr>
        <w:t> </w:t>
      </w:r>
      <w:r>
        <w:rPr>
          <w:spacing w:val="-1"/>
        </w:rPr>
        <w:t>system</w:t>
      </w:r>
      <w:r>
        <w:rPr>
          <w:spacing w:val="-11"/>
        </w:rPr>
        <w:t> </w:t>
      </w:r>
      <w:r>
        <w:rPr>
          <w:spacing w:val="-1"/>
        </w:rPr>
        <w:t>actors.</w:t>
      </w:r>
      <w:r>
        <w:rPr>
          <w:spacing w:val="-15"/>
        </w:rPr>
        <w:t> </w:t>
      </w:r>
      <w:r>
        <w:rPr>
          <w:spacing w:val="-1"/>
        </w:rPr>
        <w:t>According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one</w:t>
      </w:r>
      <w:r>
        <w:rPr>
          <w:spacing w:val="-16"/>
        </w:rPr>
        <w:t> </w:t>
      </w:r>
      <w:r>
        <w:rPr/>
        <w:t>recent</w:t>
      </w:r>
      <w:r>
        <w:rPr>
          <w:spacing w:val="-13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reform,</w:t>
      </w:r>
      <w:r>
        <w:rPr>
          <w:spacing w:val="-15"/>
        </w:rPr>
        <w:t> </w:t>
      </w:r>
      <w:r>
        <w:rPr/>
        <w:t>“Finnish</w:t>
      </w:r>
      <w:r>
        <w:rPr>
          <w:spacing w:val="-16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undergoing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major</w:t>
      </w:r>
      <w:r>
        <w:rPr>
          <w:spacing w:val="-4"/>
        </w:rPr>
        <w:t> </w:t>
      </w:r>
      <w:r>
        <w:rPr/>
        <w:t>cultural</w:t>
      </w:r>
      <w:r>
        <w:rPr>
          <w:spacing w:val="-6"/>
        </w:rPr>
        <w:t> </w:t>
      </w:r>
      <w:r>
        <w:rPr/>
        <w:t>change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reform;</w:t>
      </w:r>
      <w:r>
        <w:rPr>
          <w:spacing w:val="-5"/>
        </w:rPr>
        <w:t> </w:t>
      </w:r>
      <w:r>
        <w:rPr/>
        <w:t>whose</w:t>
      </w:r>
      <w:r>
        <w:rPr>
          <w:spacing w:val="-3"/>
        </w:rPr>
        <w:t> </w:t>
      </w:r>
      <w:r>
        <w:rPr/>
        <w:t>wider</w:t>
      </w:r>
      <w:r>
        <w:rPr>
          <w:spacing w:val="-3"/>
        </w:rPr>
        <w:t> </w:t>
      </w:r>
      <w:r>
        <w:rPr/>
        <w:t>impacts</w:t>
      </w:r>
      <w:r>
        <w:rPr>
          <w:spacing w:val="-4"/>
        </w:rPr>
        <w:t> </w:t>
      </w:r>
      <w:r>
        <w:rPr/>
        <w:t>remain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seen”</w:t>
      </w:r>
      <w:r>
        <w:rPr>
          <w:spacing w:val="1"/>
        </w:rPr>
        <w:t> </w:t>
      </w:r>
      <w:r>
        <w:rPr>
          <w:position w:val="1"/>
        </w:rPr>
        <w:t>(Kohtamäki</w:t>
      </w:r>
      <w:r>
        <w:rPr>
          <w:spacing w:val="-7"/>
          <w:position w:val="1"/>
        </w:rPr>
        <w:t> </w:t>
      </w:r>
      <w:r>
        <w:rPr>
          <w:position w:val="1"/>
        </w:rPr>
        <w:t>and</w:t>
      </w:r>
      <w:r>
        <w:rPr>
          <w:spacing w:val="-4"/>
          <w:position w:val="1"/>
        </w:rPr>
        <w:t> </w:t>
      </w:r>
      <w:r>
        <w:rPr>
          <w:position w:val="1"/>
        </w:rPr>
        <w:t>Balbachevsk,</w:t>
      </w:r>
      <w:r>
        <w:rPr>
          <w:spacing w:val="-5"/>
          <w:position w:val="1"/>
        </w:rPr>
        <w:t> </w:t>
      </w:r>
      <w:r>
        <w:rPr>
          <w:position w:val="1"/>
        </w:rPr>
        <w:t>2018</w:t>
      </w:r>
      <w:r>
        <w:rPr>
          <w:sz w:val="13"/>
        </w:rPr>
        <w:t>[57]</w:t>
      </w:r>
      <w:r>
        <w:rPr>
          <w:position w:val="1"/>
        </w:rPr>
        <w:t>).</w:t>
      </w:r>
      <w:r>
        <w:rPr>
          <w:spacing w:val="-6"/>
          <w:position w:val="1"/>
        </w:rPr>
        <w:t> </w:t>
      </w:r>
      <w:r>
        <w:rPr>
          <w:position w:val="1"/>
        </w:rPr>
        <w:t>In</w:t>
      </w:r>
      <w:r>
        <w:rPr>
          <w:spacing w:val="-7"/>
          <w:position w:val="1"/>
        </w:rPr>
        <w:t> </w:t>
      </w:r>
      <w:r>
        <w:rPr>
          <w:position w:val="1"/>
        </w:rPr>
        <w:t>a</w:t>
      </w:r>
      <w:r>
        <w:rPr>
          <w:spacing w:val="-4"/>
          <w:position w:val="1"/>
        </w:rPr>
        <w:t> </w:t>
      </w:r>
      <w:r>
        <w:rPr>
          <w:position w:val="1"/>
        </w:rPr>
        <w:t>more</w:t>
      </w:r>
      <w:r>
        <w:rPr>
          <w:spacing w:val="-6"/>
          <w:position w:val="1"/>
        </w:rPr>
        <w:t> </w:t>
      </w:r>
      <w:r>
        <w:rPr>
          <w:position w:val="1"/>
        </w:rPr>
        <w:t>critical</w:t>
      </w:r>
      <w:r>
        <w:rPr>
          <w:spacing w:val="-8"/>
          <w:position w:val="1"/>
        </w:rPr>
        <w:t> </w:t>
      </w:r>
      <w:r>
        <w:rPr>
          <w:position w:val="1"/>
        </w:rPr>
        <w:t>review</w:t>
      </w:r>
      <w:r>
        <w:rPr>
          <w:spacing w:val="-5"/>
          <w:position w:val="1"/>
        </w:rPr>
        <w:t> </w:t>
      </w:r>
      <w:r>
        <w:rPr>
          <w:position w:val="1"/>
        </w:rPr>
        <w:t>undertaken</w:t>
      </w:r>
      <w:r>
        <w:rPr>
          <w:spacing w:val="-7"/>
          <w:position w:val="1"/>
        </w:rPr>
        <w:t> </w:t>
      </w:r>
      <w:r>
        <w:rPr>
          <w:position w:val="1"/>
        </w:rPr>
        <w:t>by</w:t>
      </w:r>
      <w:r>
        <w:rPr>
          <w:spacing w:val="-6"/>
          <w:position w:val="1"/>
        </w:rPr>
        <w:t> </w:t>
      </w:r>
      <w:r>
        <w:rPr>
          <w:position w:val="1"/>
        </w:rPr>
        <w:t>the</w:t>
      </w:r>
      <w:r>
        <w:rPr>
          <w:spacing w:val="-5"/>
          <w:position w:val="1"/>
        </w:rPr>
        <w:t> </w:t>
      </w:r>
      <w:r>
        <w:rPr>
          <w:position w:val="1"/>
        </w:rPr>
        <w:t>Finnish</w:t>
      </w:r>
      <w:r>
        <w:rPr>
          <w:spacing w:val="-5"/>
          <w:position w:val="1"/>
        </w:rPr>
        <w:t> </w:t>
      </w:r>
      <w:r>
        <w:rPr>
          <w:position w:val="1"/>
        </w:rPr>
        <w:t>Department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2015,</w:t>
      </w:r>
      <w:r>
        <w:rPr>
          <w:spacing w:val="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that:</w:t>
      </w:r>
    </w:p>
    <w:p>
      <w:pPr>
        <w:spacing w:before="149"/>
        <w:ind w:left="862" w:right="981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590879pt;width:2.2pt;height:37.450pt;mso-position-horizontal-relative:page;mso-position-vertical-relative:paragraph;z-index:15771648" coordorigin="1832,92" coordsize="44,749" path="m1875,92l1832,92,1832,382,1832,610,1832,841,1875,841,1875,610,1875,382,1875,92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5"/>
          <w:sz w:val="20"/>
        </w:rPr>
        <w:t>The new emphasis given to research management [created] a division between teaching and research</w:t>
      </w:r>
      <w:r>
        <w:rPr>
          <w:rFonts w:ascii="Arial"/>
          <w:i/>
          <w:spacing w:val="1"/>
          <w:w w:val="85"/>
          <w:sz w:val="20"/>
        </w:rPr>
        <w:t> </w:t>
      </w:r>
      <w:r>
        <w:rPr>
          <w:rFonts w:ascii="Arial"/>
          <w:i/>
          <w:w w:val="80"/>
          <w:sz w:val="20"/>
        </w:rPr>
        <w:t>activities. After the reform, university staff (both academic and administrative) had fewer opportunities to take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part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decision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making.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Decision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making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concentrated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hands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individual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managers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(the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rector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</w:p>
    <w:p>
      <w:pPr>
        <w:spacing w:after="0"/>
        <w:jc w:val="both"/>
        <w:rPr>
          <w:rFonts w:ascii="Arial"/>
          <w:sz w:val="20"/>
        </w:rPr>
        <w:sectPr>
          <w:pgSz w:w="11910" w:h="15880"/>
          <w:pgMar w:header="734" w:footer="731" w:top="1200" w:bottom="920" w:left="1120" w:right="1000"/>
        </w:sectPr>
      </w:pPr>
    </w:p>
    <w:p>
      <w:pPr>
        <w:spacing w:before="88"/>
        <w:ind w:left="862" w:right="983" w:firstLine="0"/>
        <w:jc w:val="both"/>
        <w:rPr>
          <w:rFonts w:ascii="Arial"/>
          <w:i/>
          <w:sz w:val="20"/>
        </w:rPr>
      </w:pPr>
      <w:r>
        <w:rPr/>
        <w:pict>
          <v:shape style="position:absolute;margin-left:91.583008pt;margin-top:4.659845pt;width:2.2pt;height:43.45pt;mso-position-horizontal-relative:page;mso-position-vertical-relative:paragraph;z-index:15772160" coordorigin="1832,93" coordsize="44,869" path="m1875,552l1832,552,1832,962,1875,962,1875,552xm1875,93l1832,93,1832,321,1832,552,1875,552,1875,321,1875,93xe" filled="true" fillcolor="#9f9f9f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80"/>
          <w:sz w:val="20"/>
        </w:rPr>
        <w:t>deans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as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2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most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powerful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actors),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who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are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dominating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because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composition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2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new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governing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boards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has changed radically. From the perspective of staff members, there are informal ways to influence the new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governance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structures</w:t>
      </w:r>
      <w:r>
        <w:rPr>
          <w:rFonts w:ascii="Arial"/>
          <w:i/>
          <w:spacing w:val="-6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(MEDC,</w:t>
      </w:r>
      <w:r>
        <w:rPr>
          <w:rFonts w:ascii="Arial"/>
          <w:i/>
          <w:spacing w:val="-8"/>
          <w:w w:val="90"/>
          <w:position w:val="1"/>
          <w:sz w:val="20"/>
        </w:rPr>
        <w:t> </w:t>
      </w:r>
      <w:r>
        <w:rPr>
          <w:rFonts w:ascii="Arial"/>
          <w:i/>
          <w:w w:val="90"/>
          <w:position w:val="1"/>
          <w:sz w:val="20"/>
        </w:rPr>
        <w:t>2015</w:t>
      </w:r>
      <w:r>
        <w:rPr>
          <w:rFonts w:ascii="Arial"/>
          <w:i/>
          <w:w w:val="90"/>
          <w:sz w:val="13"/>
        </w:rPr>
        <w:t>[58]</w:t>
      </w:r>
      <w:r>
        <w:rPr>
          <w:rFonts w:ascii="Arial"/>
          <w:i/>
          <w:w w:val="90"/>
          <w:position w:val="1"/>
          <w:sz w:val="20"/>
        </w:rPr>
        <w:t>).</w:t>
      </w:r>
    </w:p>
    <w:p>
      <w:pPr>
        <w:pStyle w:val="BodyText"/>
        <w:spacing w:before="6"/>
        <w:rPr>
          <w:rFonts w:ascii="Arial"/>
          <w:i/>
          <w:sz w:val="18"/>
        </w:rPr>
      </w:pPr>
    </w:p>
    <w:p>
      <w:pPr>
        <w:pStyle w:val="BodyText"/>
        <w:spacing w:line="271" w:lineRule="auto"/>
        <w:ind w:left="183" w:right="305"/>
        <w:jc w:val="both"/>
      </w:pPr>
      <w:r>
        <w:rPr/>
        <w:t>A 2016 external evaluation commissioned by MEDC interviewed a number of academic staff across</w:t>
      </w:r>
      <w:r>
        <w:rPr>
          <w:spacing w:val="1"/>
        </w:rPr>
        <w:t> </w:t>
      </w:r>
      <w:r>
        <w:rPr/>
        <w:t>universities on their views of the management reform. It highlighted dissatisfaction felt by a significant</w:t>
      </w:r>
      <w:r>
        <w:rPr>
          <w:spacing w:val="1"/>
        </w:rPr>
        <w:t> </w:t>
      </w:r>
      <w:r>
        <w:rPr/>
        <w:t>proportion of the staff regarding university strategic decision making, and a sense of alienation from 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worked,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“…changes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criticised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employees as severely undermining the collegiate’s role and influence in decision making.” The reforms,</w:t>
      </w:r>
      <w:r>
        <w:rPr>
          <w:spacing w:val="1"/>
        </w:rPr>
        <w:t> </w:t>
      </w:r>
      <w:r>
        <w:rPr/>
        <w:t>combined with significant budget cuts, have, according to the evaluation, led to a sense of alienation and</w:t>
      </w:r>
      <w:r>
        <w:rPr>
          <w:spacing w:val="1"/>
        </w:rPr>
        <w:t> </w:t>
      </w:r>
      <w:r>
        <w:rPr>
          <w:position w:val="1"/>
        </w:rPr>
        <w:t>dissatisfaction</w:t>
      </w:r>
      <w:r>
        <w:rPr>
          <w:spacing w:val="-1"/>
          <w:position w:val="1"/>
        </w:rPr>
        <w:t> </w:t>
      </w:r>
      <w:r>
        <w:rPr>
          <w:position w:val="1"/>
        </w:rPr>
        <w:t>among</w:t>
      </w:r>
      <w:r>
        <w:rPr>
          <w:spacing w:val="-2"/>
          <w:position w:val="1"/>
        </w:rPr>
        <w:t> </w:t>
      </w:r>
      <w:r>
        <w:rPr>
          <w:position w:val="1"/>
        </w:rPr>
        <w:t>a</w:t>
      </w:r>
      <w:r>
        <w:rPr>
          <w:spacing w:val="-3"/>
          <w:position w:val="1"/>
        </w:rPr>
        <w:t> </w:t>
      </w:r>
      <w:r>
        <w:rPr>
          <w:position w:val="1"/>
        </w:rPr>
        <w:t>significant proportion</w:t>
      </w:r>
      <w:r>
        <w:rPr>
          <w:spacing w:val="-1"/>
          <w:position w:val="1"/>
        </w:rPr>
        <w:t> </w:t>
      </w:r>
      <w:r>
        <w:rPr>
          <w:position w:val="1"/>
        </w:rPr>
        <w:t>of university</w:t>
      </w:r>
      <w:r>
        <w:rPr>
          <w:spacing w:val="-5"/>
          <w:position w:val="1"/>
        </w:rPr>
        <w:t> </w:t>
      </w:r>
      <w:r>
        <w:rPr>
          <w:position w:val="1"/>
        </w:rPr>
        <w:t>staff</w:t>
      </w:r>
      <w:r>
        <w:rPr>
          <w:spacing w:val="6"/>
          <w:position w:val="1"/>
        </w:rPr>
        <w:t> </w:t>
      </w:r>
      <w:r>
        <w:rPr>
          <w:position w:val="1"/>
        </w:rPr>
        <w:t>(Owal</w:t>
      </w:r>
      <w:r>
        <w:rPr>
          <w:spacing w:val="-2"/>
          <w:position w:val="1"/>
        </w:rPr>
        <w:t> </w:t>
      </w:r>
      <w:r>
        <w:rPr>
          <w:position w:val="1"/>
        </w:rPr>
        <w:t>Group, 2016</w:t>
      </w:r>
      <w:r>
        <w:rPr>
          <w:sz w:val="13"/>
        </w:rPr>
        <w:t>[59]</w:t>
      </w:r>
      <w:r>
        <w:rPr>
          <w:position w:val="1"/>
        </w:rPr>
        <w:t>).</w:t>
      </w:r>
    </w:p>
    <w:p>
      <w:pPr>
        <w:pStyle w:val="BodyText"/>
        <w:spacing w:line="271" w:lineRule="auto" w:before="120"/>
        <w:ind w:left="183" w:right="303"/>
        <w:jc w:val="both"/>
      </w:pPr>
      <w:r>
        <w:rPr/>
        <w:t>Overall, the HEI institutional network rationalisation process and related policy reforms can be seen as a</w:t>
      </w:r>
      <w:r>
        <w:rPr>
          <w:spacing w:val="1"/>
        </w:rPr>
        <w:t> </w:t>
      </w:r>
      <w:r>
        <w:rPr>
          <w:spacing w:val="-1"/>
        </w:rPr>
        <w:t>success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Finland.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true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outputs,</w:t>
      </w:r>
      <w:r>
        <w:rPr>
          <w:spacing w:val="-8"/>
        </w:rPr>
        <w:t> </w:t>
      </w:r>
      <w:r>
        <w:rPr>
          <w:spacing w:val="-1"/>
        </w:rPr>
        <w:t>even</w:t>
      </w:r>
      <w:r>
        <w:rPr>
          <w:spacing w:val="-9"/>
        </w:rPr>
        <w:t> </w:t>
      </w:r>
      <w:r>
        <w:rPr>
          <w:spacing w:val="-1"/>
        </w:rPr>
        <w:t>if</w:t>
      </w:r>
      <w:r>
        <w:rPr>
          <w:spacing w:val="-7"/>
        </w:rPr>
        <w:t> </w:t>
      </w:r>
      <w:r>
        <w:rPr>
          <w:spacing w:val="-1"/>
        </w:rPr>
        <w:t>achieving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desired</w:t>
      </w:r>
      <w:r>
        <w:rPr>
          <w:spacing w:val="-9"/>
        </w:rPr>
        <w:t> </w:t>
      </w:r>
      <w:r>
        <w:rPr/>
        <w:t>outcomes</w:t>
      </w:r>
      <w:r>
        <w:rPr>
          <w:spacing w:val="-10"/>
        </w:rPr>
        <w:t> </w:t>
      </w:r>
      <w:r>
        <w:rPr/>
        <w:t>may</w:t>
      </w:r>
      <w:r>
        <w:rPr>
          <w:spacing w:val="-14"/>
        </w:rPr>
        <w:t> </w:t>
      </w:r>
      <w:r>
        <w:rPr/>
        <w:t>continue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additional policy iteration. A clear reduction in university numbers, expanded autonomy and governance</w:t>
      </w:r>
      <w:r>
        <w:rPr>
          <w:spacing w:val="1"/>
        </w:rPr>
        <w:t> </w:t>
      </w:r>
      <w:r>
        <w:rPr/>
        <w:t>restructuring have been achieved, while ambitions for Finland’s international presence and creating</w:t>
      </w:r>
      <w:r>
        <w:rPr>
          <w:spacing w:val="1"/>
        </w:rPr>
        <w:t> </w:t>
      </w:r>
      <w:r>
        <w:rPr/>
        <w:t>centres of public private niche innovation remain longer-term goals. At the core of this success has been</w:t>
      </w:r>
      <w:r>
        <w:rPr>
          <w:spacing w:val="1"/>
        </w:rPr>
        <w:t> </w:t>
      </w:r>
      <w:r>
        <w:rPr/>
        <w:t>ministry engagement and financial support, and a lengthy process of stakeholder engagement and buy-in</w:t>
      </w:r>
      <w:r>
        <w:rPr>
          <w:spacing w:val="-53"/>
        </w:rPr>
        <w:t> </w:t>
      </w:r>
      <w:r>
        <w:rPr/>
        <w:t>for sector reform (although the institution-led merger process certainly did not always result in bringing all</w:t>
      </w:r>
      <w:r>
        <w:rPr>
          <w:spacing w:val="-53"/>
        </w:rPr>
        <w:t> </w:t>
      </w:r>
      <w:r>
        <w:rPr/>
        <w:t>HEI community partners on side for change). Still, relevant actors in the system drove the process,</w:t>
      </w:r>
      <w:r>
        <w:rPr>
          <w:spacing w:val="1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respect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mergers,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guidance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support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government.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has faced, and that remain to some degree (e.g. contention regarding HEI governance), can be</w:t>
      </w:r>
      <w:r>
        <w:rPr>
          <w:spacing w:val="1"/>
        </w:rPr>
        <w:t> </w:t>
      </w:r>
      <w:r>
        <w:rPr>
          <w:spacing w:val="-1"/>
        </w:rPr>
        <w:t>understood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light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long-standing</w:t>
      </w:r>
      <w:r>
        <w:rPr>
          <w:spacing w:val="-14"/>
        </w:rPr>
        <w:t> </w:t>
      </w:r>
      <w:r>
        <w:rPr>
          <w:spacing w:val="-1"/>
        </w:rPr>
        <w:t>traditions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universities.</w:t>
      </w:r>
      <w:r>
        <w:rPr>
          <w:spacing w:val="-13"/>
        </w:rPr>
        <w:t> </w:t>
      </w:r>
      <w:r>
        <w:rPr/>
        <w:t>Change,</w:t>
      </w:r>
      <w:r>
        <w:rPr>
          <w:spacing w:val="-13"/>
        </w:rPr>
        <w:t> </w:t>
      </w:r>
      <w:r>
        <w:rPr/>
        <w:t>even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substantial</w:t>
      </w:r>
      <w:r>
        <w:rPr>
          <w:spacing w:val="-14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adaptation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address issues as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arise.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</w:pPr>
      <w:bookmarkStart w:name="_bookmark71" w:id="186"/>
      <w:bookmarkEnd w:id="186"/>
      <w:r>
        <w:rPr>
          <w:b w:val="0"/>
        </w:rPr>
      </w:r>
      <w:r>
        <w:rPr>
          <w:color w:val="4E81BD"/>
        </w:rPr>
        <w:t>Conclusions</w:t>
      </w:r>
      <w:r>
        <w:rPr>
          <w:color w:val="4E81BD"/>
          <w:spacing w:val="-2"/>
        </w:rPr>
        <w:t> </w:t>
      </w:r>
      <w:r>
        <w:rPr>
          <w:color w:val="4E81BD"/>
        </w:rPr>
        <w:t>and</w:t>
      </w:r>
      <w:r>
        <w:rPr>
          <w:color w:val="4E81BD"/>
          <w:spacing w:val="-5"/>
        </w:rPr>
        <w:t> </w:t>
      </w:r>
      <w:r>
        <w:rPr>
          <w:color w:val="4E81BD"/>
        </w:rPr>
        <w:t>relevance</w:t>
      </w:r>
      <w:r>
        <w:rPr>
          <w:color w:val="4E81BD"/>
          <w:spacing w:val="-2"/>
        </w:rPr>
        <w:t> </w:t>
      </w:r>
      <w:r>
        <w:rPr>
          <w:color w:val="4E81BD"/>
        </w:rPr>
        <w:t>to</w:t>
      </w:r>
      <w:r>
        <w:rPr>
          <w:color w:val="4E81BD"/>
          <w:spacing w:val="-2"/>
        </w:rPr>
        <w:t> </w:t>
      </w:r>
      <w:r>
        <w:rPr>
          <w:color w:val="4E81BD"/>
        </w:rPr>
        <w:t>higher</w:t>
      </w:r>
      <w:r>
        <w:rPr>
          <w:color w:val="4E81BD"/>
          <w:spacing w:val="-3"/>
        </w:rPr>
        <w:t> </w:t>
      </w:r>
      <w:r>
        <w:rPr>
          <w:color w:val="4E81BD"/>
        </w:rPr>
        <w:t>education</w:t>
      </w:r>
      <w:r>
        <w:rPr>
          <w:color w:val="4E81BD"/>
          <w:spacing w:val="-2"/>
        </w:rPr>
        <w:t> </w:t>
      </w:r>
      <w:r>
        <w:rPr>
          <w:color w:val="4E81BD"/>
        </w:rPr>
        <w:t>in</w:t>
      </w:r>
      <w:r>
        <w:rPr>
          <w:color w:val="4E81BD"/>
          <w:spacing w:val="-2"/>
        </w:rPr>
        <w:t> </w:t>
      </w:r>
      <w:r>
        <w:rPr>
          <w:color w:val="4E81BD"/>
        </w:rPr>
        <w:t>the</w:t>
      </w:r>
      <w:r>
        <w:rPr>
          <w:color w:val="4E81BD"/>
          <w:spacing w:val="-2"/>
        </w:rPr>
        <w:t> </w:t>
      </w:r>
      <w:r>
        <w:rPr>
          <w:color w:val="4E81BD"/>
        </w:rPr>
        <w:t>Slovak</w:t>
      </w:r>
      <w:r>
        <w:rPr>
          <w:color w:val="4E81BD"/>
          <w:spacing w:val="2"/>
        </w:rPr>
        <w:t> </w:t>
      </w:r>
      <w:r>
        <w:rPr>
          <w:color w:val="4E81BD"/>
        </w:rPr>
        <w:t>Republic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271" w:lineRule="auto"/>
        <w:ind w:left="183" w:right="307"/>
        <w:jc w:val="both"/>
      </w:pPr>
      <w:r>
        <w:rPr/>
        <w:t>Having explored key factors involved in higher education reform efforts in Portugal and Finland, and the</w:t>
      </w:r>
      <w:r>
        <w:rPr>
          <w:spacing w:val="1"/>
        </w:rPr>
        <w:t> </w:t>
      </w:r>
      <w:r>
        <w:rPr/>
        <w:t>outcomes such as they are currently measurable, this concluding section explores lessons learned from</w:t>
      </w:r>
      <w:r>
        <w:rPr>
          <w:spacing w:val="1"/>
        </w:rPr>
        <w:t> </w:t>
      </w:r>
      <w:r>
        <w:rPr/>
        <w:t>the case studies relevant to the Slovak Republic’s higher education system, first considering similarities</w:t>
      </w:r>
      <w:r>
        <w:rPr>
          <w:spacing w:val="1"/>
        </w:rPr>
        <w:t> </w:t>
      </w:r>
      <w:r>
        <w:rPr/>
        <w:t>and differences across specific dimensions of the cases – HEI governance reform in Portugal and HEI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rationalisation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Finland – followed by</w:t>
      </w:r>
      <w:r>
        <w:rPr>
          <w:spacing w:val="-4"/>
        </w:rPr>
        <w:t> </w:t>
      </w:r>
      <w:r>
        <w:rPr/>
        <w:t>country-specific</w:t>
      </w:r>
      <w:r>
        <w:rPr>
          <w:spacing w:val="-2"/>
        </w:rPr>
        <w:t> </w:t>
      </w:r>
      <w:r>
        <w:rPr/>
        <w:t>learnings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each.</w:t>
      </w:r>
    </w:p>
    <w:p>
      <w:pPr>
        <w:pStyle w:val="BodyText"/>
        <w:spacing w:before="4"/>
        <w:rPr>
          <w:sz w:val="23"/>
        </w:rPr>
      </w:pPr>
    </w:p>
    <w:p>
      <w:pPr>
        <w:pStyle w:val="Heading5"/>
        <w:jc w:val="left"/>
      </w:pPr>
      <w:r>
        <w:rPr>
          <w:color w:val="616161"/>
        </w:rPr>
        <w:t>Top-down</w:t>
      </w:r>
      <w:r>
        <w:rPr>
          <w:color w:val="616161"/>
          <w:spacing w:val="-4"/>
        </w:rPr>
        <w:t> </w:t>
      </w:r>
      <w:r>
        <w:rPr>
          <w:color w:val="616161"/>
        </w:rPr>
        <w:t>and</w:t>
      </w:r>
      <w:r>
        <w:rPr>
          <w:color w:val="616161"/>
          <w:spacing w:val="-2"/>
        </w:rPr>
        <w:t> </w:t>
      </w:r>
      <w:r>
        <w:rPr>
          <w:color w:val="616161"/>
        </w:rPr>
        <w:t>bottom-up</w:t>
      </w:r>
      <w:r>
        <w:rPr>
          <w:color w:val="616161"/>
          <w:spacing w:val="-3"/>
        </w:rPr>
        <w:t> </w:t>
      </w:r>
      <w:r>
        <w:rPr>
          <w:color w:val="616161"/>
        </w:rPr>
        <w:t>approaches</w:t>
      </w:r>
      <w:r>
        <w:rPr>
          <w:color w:val="616161"/>
          <w:spacing w:val="-3"/>
        </w:rPr>
        <w:t> </w:t>
      </w:r>
      <w:r>
        <w:rPr>
          <w:color w:val="616161"/>
        </w:rPr>
        <w:t>to</w:t>
      </w:r>
      <w:r>
        <w:rPr>
          <w:color w:val="616161"/>
          <w:spacing w:val="-4"/>
        </w:rPr>
        <w:t> </w:t>
      </w:r>
      <w:r>
        <w:rPr>
          <w:color w:val="616161"/>
        </w:rPr>
        <w:t>institutional</w:t>
      </w:r>
      <w:r>
        <w:rPr>
          <w:color w:val="616161"/>
          <w:spacing w:val="-1"/>
        </w:rPr>
        <w:t> </w:t>
      </w:r>
      <w:r>
        <w:rPr>
          <w:color w:val="616161"/>
        </w:rPr>
        <w:t>reform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Heading8"/>
        <w:spacing w:line="271" w:lineRule="auto"/>
        <w:ind w:right="303"/>
        <w:jc w:val="left"/>
      </w:pPr>
      <w:r>
        <w:rPr/>
        <w:t>Institutional</w:t>
      </w:r>
      <w:r>
        <w:rPr>
          <w:spacing w:val="2"/>
        </w:rPr>
        <w:t> </w:t>
      </w:r>
      <w:r>
        <w:rPr/>
        <w:t>change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difficult,</w:t>
      </w:r>
      <w:r>
        <w:rPr>
          <w:spacing w:val="2"/>
        </w:rPr>
        <w:t> </w:t>
      </w:r>
      <w:r>
        <w:rPr/>
        <w:t>long-term</w:t>
      </w:r>
      <w:r>
        <w:rPr>
          <w:spacing w:val="4"/>
        </w:rPr>
        <w:t> </w:t>
      </w:r>
      <w:r>
        <w:rPr/>
        <w:t>effort</w:t>
      </w:r>
      <w:r>
        <w:rPr>
          <w:spacing w:val="5"/>
        </w:rPr>
        <w:t> </w:t>
      </w:r>
      <w:r>
        <w:rPr/>
        <w:t>that</w:t>
      </w:r>
      <w:r>
        <w:rPr>
          <w:spacing w:val="3"/>
        </w:rPr>
        <w:t> </w:t>
      </w:r>
      <w:r>
        <w:rPr/>
        <w:t>benefits</w:t>
      </w:r>
      <w:r>
        <w:rPr>
          <w:spacing w:val="2"/>
        </w:rPr>
        <w:t> </w:t>
      </w:r>
      <w:r>
        <w:rPr/>
        <w:t>greatly from</w:t>
      </w:r>
      <w:r>
        <w:rPr>
          <w:spacing w:val="5"/>
        </w:rPr>
        <w:t> </w:t>
      </w:r>
      <w:r>
        <w:rPr/>
        <w:t>effective</w:t>
      </w:r>
      <w:r>
        <w:rPr>
          <w:spacing w:val="2"/>
        </w:rPr>
        <w:t> </w:t>
      </w:r>
      <w:r>
        <w:rPr/>
        <w:t>engagement</w:t>
      </w:r>
      <w:r>
        <w:rPr>
          <w:spacing w:val="-52"/>
        </w:rPr>
        <w:t> </w:t>
      </w:r>
      <w:r>
        <w:rPr/>
        <w:t>of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actors</w:t>
      </w:r>
      <w:r>
        <w:rPr>
          <w:spacing w:val="-2"/>
        </w:rPr>
        <w:t> </w:t>
      </w:r>
      <w:r>
        <w:rPr/>
        <w:t>within</w:t>
      </w:r>
      <w:r>
        <w:rPr>
          <w:spacing w:val="-3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and 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sphere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national-level</w:t>
      </w:r>
      <w:r>
        <w:rPr>
          <w:spacing w:val="-3"/>
        </w:rPr>
        <w:t> </w:t>
      </w:r>
      <w:r>
        <w:rPr/>
        <w:t>governance.</w:t>
      </w:r>
    </w:p>
    <w:p>
      <w:pPr>
        <w:pStyle w:val="BodyText"/>
        <w:spacing w:line="271" w:lineRule="auto" w:before="121"/>
        <w:ind w:left="183" w:right="298"/>
        <w:jc w:val="both"/>
      </w:pPr>
      <w:r>
        <w:rPr>
          <w:spacing w:val="-1"/>
        </w:rPr>
        <w:t>One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more</w:t>
      </w:r>
      <w:r>
        <w:rPr>
          <w:spacing w:val="-12"/>
        </w:rPr>
        <w:t> </w:t>
      </w:r>
      <w:r>
        <w:rPr>
          <w:spacing w:val="-1"/>
        </w:rPr>
        <w:t>significant</w:t>
      </w:r>
      <w:r>
        <w:rPr>
          <w:spacing w:val="-11"/>
        </w:rPr>
        <w:t> </w:t>
      </w:r>
      <w:r>
        <w:rPr>
          <w:spacing w:val="-1"/>
        </w:rPr>
        <w:t>deviations</w:t>
      </w:r>
      <w:r>
        <w:rPr>
          <w:spacing w:val="-12"/>
        </w:rPr>
        <w:t> </w:t>
      </w:r>
      <w:r>
        <w:rPr>
          <w:spacing w:val="-1"/>
        </w:rPr>
        <w:t>between</w:t>
      </w:r>
      <w:r>
        <w:rPr>
          <w:spacing w:val="-13"/>
        </w:rPr>
        <w:t> </w:t>
      </w:r>
      <w:r>
        <w:rPr>
          <w:spacing w:val="-1"/>
        </w:rPr>
        <w:t>Finland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Portugal</w:t>
      </w:r>
      <w:r>
        <w:rPr>
          <w:spacing w:val="-14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seen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reform</w:t>
      </w:r>
      <w:r>
        <w:rPr>
          <w:spacing w:val="1"/>
        </w:rPr>
        <w:t> </w:t>
      </w:r>
      <w:r>
        <w:rPr/>
        <w:t>development and implementation. At the HE system level, Finland sought the use of more bottom-up</w:t>
      </w:r>
      <w:r>
        <w:rPr>
          <w:spacing w:val="1"/>
        </w:rPr>
        <w:t> </w:t>
      </w:r>
      <w:r>
        <w:rPr/>
        <w:t>engagement and incentivising methods compared to a more top-down approach to system change seen</w:t>
      </w:r>
      <w:r>
        <w:rPr>
          <w:spacing w:val="1"/>
        </w:rPr>
        <w:t> </w:t>
      </w:r>
      <w:r>
        <w:rPr/>
        <w:t>in Portugal. At the level of national governance, Finland’s reform process followed a broad-base societal</w:t>
      </w:r>
      <w:r>
        <w:rPr>
          <w:spacing w:val="1"/>
        </w:rPr>
        <w:t> </w:t>
      </w:r>
      <w:r>
        <w:rPr/>
        <w:t>dialogue on the future of the higher education system involving industry, the media and government, with</w:t>
      </w:r>
      <w:r>
        <w:rPr>
          <w:spacing w:val="-53"/>
        </w:rPr>
        <w:t> </w:t>
      </w:r>
      <w:r>
        <w:rPr/>
        <w:t>a focus on the system’s role in the wider economic development landscape. In Portugal, changes were</w:t>
      </w:r>
      <w:r>
        <w:rPr>
          <w:spacing w:val="1"/>
        </w:rPr>
        <w:t> </w:t>
      </w:r>
      <w:r>
        <w:rPr/>
        <w:t>driven</w:t>
      </w:r>
      <w:r>
        <w:rPr>
          <w:spacing w:val="-3"/>
        </w:rPr>
        <w:t> </w:t>
      </w:r>
      <w:r>
        <w:rPr/>
        <w:t>centrally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government 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face</w:t>
      </w:r>
      <w:r>
        <w:rPr>
          <w:spacing w:val="-1"/>
        </w:rPr>
        <w:t> </w:t>
      </w:r>
      <w:r>
        <w:rPr/>
        <w:t>of significant</w:t>
      </w:r>
      <w:r>
        <w:rPr>
          <w:spacing w:val="1"/>
        </w:rPr>
        <w:t> </w:t>
      </w:r>
      <w:r>
        <w:rPr/>
        <w:t>opposition.</w:t>
      </w:r>
    </w:p>
    <w:p>
      <w:pPr>
        <w:pStyle w:val="BodyText"/>
        <w:spacing w:line="271" w:lineRule="auto" w:before="123"/>
        <w:ind w:left="183" w:right="303"/>
        <w:jc w:val="both"/>
      </w:pPr>
      <w:r>
        <w:rPr/>
        <w:t>Through a series of non-legislative white papers that provided guidance and parameters for institutional</w:t>
      </w:r>
      <w:r>
        <w:rPr>
          <w:spacing w:val="1"/>
        </w:rPr>
        <w:t> </w:t>
      </w:r>
      <w:r>
        <w:rPr/>
        <w:t>mergers,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ongoing</w:t>
      </w:r>
      <w:r>
        <w:rPr>
          <w:spacing w:val="-5"/>
        </w:rPr>
        <w:t> </w:t>
      </w:r>
      <w:r>
        <w:rPr/>
        <w:t>dialogue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HEIs,</w:t>
      </w:r>
      <w:r>
        <w:rPr>
          <w:spacing w:val="-6"/>
        </w:rPr>
        <w:t> </w:t>
      </w:r>
      <w:r>
        <w:rPr/>
        <w:t>Finland</w:t>
      </w:r>
      <w:r>
        <w:rPr>
          <w:spacing w:val="-6"/>
        </w:rPr>
        <w:t> </w:t>
      </w:r>
      <w:r>
        <w:rPr/>
        <w:t>guided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autonomous</w:t>
      </w:r>
      <w:r>
        <w:rPr>
          <w:spacing w:val="-5"/>
        </w:rPr>
        <w:t> </w:t>
      </w:r>
      <w:r>
        <w:rPr/>
        <w:t>process.</w:t>
      </w:r>
      <w:r>
        <w:rPr>
          <w:spacing w:val="-3"/>
        </w:rPr>
        <w:t> </w:t>
      </w:r>
      <w:r>
        <w:rPr/>
        <w:t>HEIs</w:t>
      </w:r>
      <w:r>
        <w:rPr>
          <w:spacing w:val="-4"/>
        </w:rPr>
        <w:t> </w:t>
      </w:r>
      <w:r>
        <w:rPr/>
        <w:t>worked</w:t>
      </w:r>
      <w:r>
        <w:rPr>
          <w:spacing w:val="-6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-12"/>
        </w:rPr>
        <w:t> </w:t>
      </w:r>
      <w:r>
        <w:rPr/>
        <w:t>another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agree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process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mergers.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outcome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rapid</w:t>
      </w:r>
      <w:r>
        <w:rPr>
          <w:spacing w:val="-12"/>
        </w:rPr>
        <w:t> </w:t>
      </w:r>
      <w:r>
        <w:rPr/>
        <w:t>execution</w:t>
      </w:r>
      <w:r>
        <w:rPr>
          <w:spacing w:val="-12"/>
        </w:rPr>
        <w:t> </w:t>
      </w:r>
      <w:r>
        <w:rPr/>
        <w:t>(over</w:t>
      </w:r>
      <w:r>
        <w:rPr>
          <w:spacing w:val="1"/>
        </w:rPr>
        <w:t> </w:t>
      </w:r>
      <w:r>
        <w:rPr/>
        <w:t>approximately five years) of the initial merger process, which met and even exceeded its quantitative</w:t>
      </w:r>
      <w:r>
        <w:rPr>
          <w:spacing w:val="1"/>
        </w:rPr>
        <w:t> </w:t>
      </w:r>
      <w:r>
        <w:rPr/>
        <w:t>targets,</w:t>
      </w:r>
      <w:r>
        <w:rPr>
          <w:spacing w:val="16"/>
        </w:rPr>
        <w:t> </w:t>
      </w:r>
      <w:r>
        <w:rPr/>
        <w:t>though</w:t>
      </w:r>
      <w:r>
        <w:rPr>
          <w:spacing w:val="17"/>
        </w:rPr>
        <w:t> </w:t>
      </w:r>
      <w:r>
        <w:rPr/>
        <w:t>not</w:t>
      </w:r>
      <w:r>
        <w:rPr>
          <w:spacing w:val="17"/>
        </w:rPr>
        <w:t> </w:t>
      </w:r>
      <w:r>
        <w:rPr/>
        <w:t>without</w:t>
      </w:r>
      <w:r>
        <w:rPr>
          <w:spacing w:val="17"/>
        </w:rPr>
        <w:t> </w:t>
      </w:r>
      <w:r>
        <w:rPr/>
        <w:t>bumps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road,</w:t>
      </w:r>
      <w:r>
        <w:rPr>
          <w:spacing w:val="19"/>
        </w:rPr>
        <w:t> </w:t>
      </w:r>
      <w:r>
        <w:rPr/>
        <w:t>which</w:t>
      </w:r>
      <w:r>
        <w:rPr>
          <w:spacing w:val="17"/>
        </w:rPr>
        <w:t> </w:t>
      </w:r>
      <w:r>
        <w:rPr/>
        <w:t>could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expected.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government</w:t>
      </w:r>
      <w:r>
        <w:rPr>
          <w:spacing w:val="17"/>
        </w:rPr>
        <w:t> </w:t>
      </w:r>
      <w:r>
        <w:rPr/>
        <w:t>intended</w:t>
      </w:r>
      <w:r>
        <w:rPr>
          <w:spacing w:val="16"/>
        </w:rPr>
        <w:t> </w:t>
      </w:r>
      <w:r>
        <w:rPr/>
        <w:t>to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1"/>
        <w:jc w:val="both"/>
      </w:pPr>
      <w:r>
        <w:rPr/>
        <w:t>reduce the number of HEIs from 20 to 15, and as of 2019 there were 13 universities in Finland. After the</w:t>
      </w:r>
      <w:r>
        <w:rPr>
          <w:spacing w:val="1"/>
        </w:rPr>
        <w:t> </w:t>
      </w:r>
      <w:r>
        <w:rPr>
          <w:spacing w:val="-1"/>
        </w:rPr>
        <w:t>initial</w:t>
      </w:r>
      <w:r>
        <w:rPr>
          <w:spacing w:val="-12"/>
        </w:rPr>
        <w:t> </w:t>
      </w:r>
      <w:r>
        <w:rPr/>
        <w:t>series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mergers,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Universities</w:t>
      </w:r>
      <w:r>
        <w:rPr>
          <w:spacing w:val="-13"/>
        </w:rPr>
        <w:t> </w:t>
      </w:r>
      <w:r>
        <w:rPr/>
        <w:t>Act</w:t>
      </w:r>
      <w:r>
        <w:rPr>
          <w:spacing w:val="-11"/>
        </w:rPr>
        <w:t> </w:t>
      </w:r>
      <w:r>
        <w:rPr/>
        <w:t>(2009)</w:t>
      </w:r>
      <w:r>
        <w:rPr>
          <w:spacing w:val="-13"/>
        </w:rPr>
        <w:t> </w:t>
      </w:r>
      <w:r>
        <w:rPr/>
        <w:t>confirmed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revised</w:t>
      </w:r>
      <w:r>
        <w:rPr>
          <w:spacing w:val="-12"/>
        </w:rPr>
        <w:t> </w:t>
      </w:r>
      <w:r>
        <w:rPr/>
        <w:t>institutional</w:t>
      </w:r>
      <w:r>
        <w:rPr>
          <w:spacing w:val="-12"/>
        </w:rPr>
        <w:t> </w:t>
      </w:r>
      <w:r>
        <w:rPr/>
        <w:t>network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law,</w:t>
      </w:r>
      <w:r>
        <w:rPr>
          <w:spacing w:val="-11"/>
        </w:rPr>
        <w:t> </w:t>
      </w:r>
      <w:r>
        <w:rPr/>
        <w:t>while</w:t>
      </w:r>
      <w:r>
        <w:rPr>
          <w:spacing w:val="1"/>
        </w:rPr>
        <w:t> </w:t>
      </w:r>
      <w:r>
        <w:rPr/>
        <w:t>also introducing governance change for all institutions, including those now designated as foundations.</w:t>
      </w:r>
      <w:r>
        <w:rPr>
          <w:spacing w:val="1"/>
        </w:rPr>
        <w:t> </w:t>
      </w:r>
      <w:r>
        <w:rPr/>
        <w:t>The reform process in Finland extended beyond parliamentary cycles, with stakeholders citing broad-</w:t>
      </w:r>
      <w:r>
        <w:rPr>
          <w:spacing w:val="1"/>
        </w:rPr>
        <w:t> </w:t>
      </w:r>
      <w:r>
        <w:rPr/>
        <w:t>based buy-in for the overall process as supportive of continuity (despite ongoing debate, particularly with</w:t>
      </w:r>
      <w:r>
        <w:rPr>
          <w:spacing w:val="1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HEI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matters).</w:t>
      </w:r>
    </w:p>
    <w:p>
      <w:pPr>
        <w:pStyle w:val="BodyText"/>
        <w:spacing w:line="271" w:lineRule="auto" w:before="121"/>
        <w:ind w:left="183" w:right="301"/>
        <w:jc w:val="both"/>
      </w:pPr>
      <w:r>
        <w:rPr/>
        <w:t>By comparison, Portugal undertook a process of governance reform through legislative action, without a</w:t>
      </w:r>
      <w:r>
        <w:rPr>
          <w:spacing w:val="1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period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stakeholder</w:t>
      </w:r>
      <w:r>
        <w:rPr>
          <w:spacing w:val="-7"/>
        </w:rPr>
        <w:t> </w:t>
      </w:r>
      <w:r>
        <w:rPr/>
        <w:t>engagement.</w:t>
      </w:r>
      <w:r>
        <w:rPr>
          <w:spacing w:val="-7"/>
        </w:rPr>
        <w:t> </w:t>
      </w:r>
      <w:r>
        <w:rPr/>
        <w:t>Governance</w:t>
      </w:r>
      <w:r>
        <w:rPr>
          <w:spacing w:val="-8"/>
        </w:rPr>
        <w:t> </w:t>
      </w:r>
      <w:r>
        <w:rPr/>
        <w:t>changes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HEIs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foundation</w:t>
      </w:r>
      <w:r>
        <w:rPr>
          <w:spacing w:val="-7"/>
        </w:rPr>
        <w:t> </w:t>
      </w:r>
      <w:r>
        <w:rPr/>
        <w:t>status</w:t>
      </w:r>
      <w:r>
        <w:rPr>
          <w:spacing w:val="1"/>
        </w:rPr>
        <w:t> </w:t>
      </w:r>
      <w:r>
        <w:rPr/>
        <w:t>framework were laid out in RJIES in 2007, with institutions then freed to act to pursue the new foundation</w:t>
      </w:r>
      <w:r>
        <w:rPr>
          <w:spacing w:val="-53"/>
        </w:rPr>
        <w:t> </w:t>
      </w:r>
      <w:r>
        <w:rPr/>
        <w:t>status. However, guidelines for attaining the status soon shifted to more stringent requirements and</w:t>
      </w:r>
      <w:r>
        <w:rPr>
          <w:spacing w:val="1"/>
        </w:rPr>
        <w:t> </w:t>
      </w:r>
      <w:r>
        <w:rPr/>
        <w:t>benefits more restricted due to deep financial challenges facing Portugal in the 2011-14 Economic</w:t>
      </w:r>
      <w:r>
        <w:rPr>
          <w:spacing w:val="1"/>
        </w:rPr>
        <w:t> </w:t>
      </w:r>
      <w:r>
        <w:rPr/>
        <w:t>Adjustment Programme period, and beyond. This greater difficulty in accessing foundation status and</w:t>
      </w:r>
      <w:r>
        <w:rPr>
          <w:spacing w:val="1"/>
        </w:rPr>
        <w:t> </w:t>
      </w:r>
      <w:r>
        <w:rPr/>
        <w:t>lesser utility of it layered on top of low initial buy-in to the concept and the broader reform agenda. While</w:t>
      </w:r>
      <w:r>
        <w:rPr>
          <w:spacing w:val="1"/>
        </w:rPr>
        <w:t> </w:t>
      </w:r>
      <w:r>
        <w:rPr/>
        <w:t>some</w:t>
      </w:r>
      <w:r>
        <w:rPr>
          <w:spacing w:val="-8"/>
        </w:rPr>
        <w:t> </w:t>
      </w:r>
      <w:r>
        <w:rPr/>
        <w:t>HEIs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adopted</w:t>
      </w:r>
      <w:r>
        <w:rPr>
          <w:spacing w:val="-8"/>
        </w:rPr>
        <w:t> </w:t>
      </w:r>
      <w:r>
        <w:rPr/>
        <w:t>foundation</w:t>
      </w:r>
      <w:r>
        <w:rPr>
          <w:spacing w:val="-7"/>
        </w:rPr>
        <w:t> </w:t>
      </w:r>
      <w:r>
        <w:rPr/>
        <w:t>status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made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relatively</w:t>
      </w:r>
      <w:r>
        <w:rPr>
          <w:spacing w:val="-7"/>
        </w:rPr>
        <w:t> </w:t>
      </w:r>
      <w:r>
        <w:rPr/>
        <w:t>limited</w:t>
      </w:r>
      <w:r>
        <w:rPr>
          <w:spacing w:val="-4"/>
        </w:rPr>
        <w:t> </w:t>
      </w:r>
      <w:r>
        <w:rPr/>
        <w:t>benefits,</w:t>
      </w:r>
      <w:r>
        <w:rPr>
          <w:spacing w:val="-6"/>
        </w:rPr>
        <w:t> </w:t>
      </w:r>
      <w:r>
        <w:rPr/>
        <w:t>opposition</w:t>
      </w:r>
      <w:r>
        <w:rPr>
          <w:spacing w:val="-8"/>
        </w:rPr>
        <w:t> </w:t>
      </w:r>
      <w:r>
        <w:rPr/>
        <w:t>from</w:t>
      </w:r>
      <w:r>
        <w:rPr>
          <w:spacing w:val="1"/>
        </w:rPr>
        <w:t> </w:t>
      </w:r>
      <w:r>
        <w:rPr/>
        <w:t>national governance actors and some HE system actors has stretched beyond the moment of legislative</w:t>
      </w:r>
      <w:r>
        <w:rPr>
          <w:spacing w:val="1"/>
        </w:rPr>
        <w:t> </w:t>
      </w:r>
      <w:r>
        <w:rPr/>
        <w:t>adoption in 2007. At present, this opposition has contributed to difficulty opening discussions about the</w:t>
      </w:r>
      <w:r>
        <w:rPr>
          <w:spacing w:val="1"/>
        </w:rPr>
        <w:t> </w:t>
      </w:r>
      <w:r>
        <w:rPr/>
        <w:t>possibility of adopting foundation status within some HEIs and stands as a barrier to undertaking an</w:t>
      </w:r>
      <w:r>
        <w:rPr>
          <w:spacing w:val="1"/>
        </w:rPr>
        <w:t> </w:t>
      </w:r>
      <w:r>
        <w:rPr/>
        <w:t>improvement-oriented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RJIES</w:t>
      </w:r>
      <w:r>
        <w:rPr>
          <w:spacing w:val="-2"/>
        </w:rPr>
        <w:t> </w:t>
      </w:r>
      <w:r>
        <w:rPr/>
        <w:t>regime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national level.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  <w:spacing w:before="1"/>
        <w:jc w:val="left"/>
      </w:pPr>
      <w:r>
        <w:rPr>
          <w:color w:val="616161"/>
        </w:rPr>
        <w:t>Incentivising</w:t>
      </w:r>
      <w:r>
        <w:rPr>
          <w:color w:val="616161"/>
          <w:spacing w:val="-8"/>
        </w:rPr>
        <w:t> </w:t>
      </w:r>
      <w:r>
        <w:rPr>
          <w:color w:val="616161"/>
        </w:rPr>
        <w:t>institutional</w:t>
      </w:r>
      <w:r>
        <w:rPr>
          <w:color w:val="616161"/>
          <w:spacing w:val="-3"/>
        </w:rPr>
        <w:t> </w:t>
      </w:r>
      <w:r>
        <w:rPr>
          <w:color w:val="616161"/>
        </w:rPr>
        <w:t>reform</w:t>
      </w:r>
    </w:p>
    <w:p>
      <w:pPr>
        <w:pStyle w:val="Heading8"/>
        <w:spacing w:line="271" w:lineRule="auto" w:before="214"/>
        <w:jc w:val="left"/>
      </w:pPr>
      <w:r>
        <w:rPr/>
        <w:t>Providing</w:t>
      </w:r>
      <w:r>
        <w:rPr>
          <w:spacing w:val="50"/>
        </w:rPr>
        <w:t> </w:t>
      </w:r>
      <w:r>
        <w:rPr/>
        <w:t>incentives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support</w:t>
      </w:r>
      <w:r>
        <w:rPr>
          <w:spacing w:val="51"/>
        </w:rPr>
        <w:t> </w:t>
      </w:r>
      <w:r>
        <w:rPr/>
        <w:t>for</w:t>
      </w:r>
      <w:r>
        <w:rPr>
          <w:spacing w:val="55"/>
        </w:rPr>
        <w:t> </w:t>
      </w:r>
      <w:r>
        <w:rPr/>
        <w:t>institutional</w:t>
      </w:r>
      <w:r>
        <w:rPr>
          <w:spacing w:val="50"/>
        </w:rPr>
        <w:t> </w:t>
      </w:r>
      <w:r>
        <w:rPr/>
        <w:t>change</w:t>
      </w:r>
      <w:r>
        <w:rPr>
          <w:spacing w:val="50"/>
        </w:rPr>
        <w:t> </w:t>
      </w:r>
      <w:r>
        <w:rPr/>
        <w:t>can</w:t>
      </w:r>
      <w:r>
        <w:rPr>
          <w:spacing w:val="50"/>
        </w:rPr>
        <w:t> </w:t>
      </w:r>
      <w:r>
        <w:rPr/>
        <w:t>be</w:t>
      </w:r>
      <w:r>
        <w:rPr>
          <w:spacing w:val="50"/>
        </w:rPr>
        <w:t> </w:t>
      </w:r>
      <w:r>
        <w:rPr/>
        <w:t>more</w:t>
      </w:r>
      <w:r>
        <w:rPr>
          <w:spacing w:val="52"/>
        </w:rPr>
        <w:t> </w:t>
      </w:r>
      <w:r>
        <w:rPr/>
        <w:t>effective</w:t>
      </w:r>
      <w:r>
        <w:rPr>
          <w:spacing w:val="50"/>
        </w:rPr>
        <w:t> </w:t>
      </w:r>
      <w:r>
        <w:rPr/>
        <w:t>than</w:t>
      </w:r>
      <w:r>
        <w:rPr>
          <w:spacing w:val="51"/>
        </w:rPr>
        <w:t> </w:t>
      </w:r>
      <w:r>
        <w:rPr/>
        <w:t>policy</w:t>
      </w:r>
      <w:r>
        <w:rPr>
          <w:spacing w:val="-53"/>
        </w:rPr>
        <w:t> </w:t>
      </w:r>
      <w:r>
        <w:rPr/>
        <w:t>imposition.</w:t>
      </w:r>
      <w:r>
        <w:rPr>
          <w:spacing w:val="-3"/>
        </w:rPr>
        <w:t> </w:t>
      </w:r>
      <w:r>
        <w:rPr/>
        <w:t>Maintaining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clear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proposition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HEIs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undertake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key.</w:t>
      </w:r>
    </w:p>
    <w:p>
      <w:pPr>
        <w:pStyle w:val="BodyText"/>
        <w:spacing w:line="271" w:lineRule="auto" w:before="124"/>
        <w:ind w:left="183" w:right="301"/>
        <w:jc w:val="both"/>
      </w:pPr>
      <w:r>
        <w:rPr/>
        <w:t>The overall approaches in Finland and Portugal also differed in the incentives offered to institutions and</w:t>
      </w:r>
      <w:r>
        <w:rPr>
          <w:spacing w:val="1"/>
        </w:rPr>
        <w:t> </w:t>
      </w:r>
      <w:r>
        <w:rPr>
          <w:spacing w:val="-1"/>
        </w:rPr>
        <w:t>relevant</w:t>
      </w:r>
      <w:r>
        <w:rPr>
          <w:spacing w:val="-10"/>
        </w:rPr>
        <w:t> </w:t>
      </w:r>
      <w:r>
        <w:rPr>
          <w:spacing w:val="-1"/>
        </w:rPr>
        <w:t>actors.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/>
        <w:t>Finland,</w:t>
      </w:r>
      <w:r>
        <w:rPr>
          <w:spacing w:val="-13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incentives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key</w:t>
      </w:r>
      <w:r>
        <w:rPr>
          <w:spacing w:val="-13"/>
        </w:rPr>
        <w:t> </w:t>
      </w:r>
      <w:r>
        <w:rPr/>
        <w:t>lever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driving</w:t>
      </w:r>
      <w:r>
        <w:rPr>
          <w:spacing w:val="-13"/>
        </w:rPr>
        <w:t> </w:t>
      </w:r>
      <w:r>
        <w:rPr/>
        <w:t>change.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have</w:t>
      </w:r>
      <w:r>
        <w:rPr>
          <w:spacing w:val="-11"/>
        </w:rPr>
        <w:t> </w:t>
      </w:r>
      <w:r>
        <w:rPr/>
        <w:t>taken</w:t>
      </w:r>
      <w:r>
        <w:rPr>
          <w:spacing w:val="1"/>
        </w:rPr>
        <w:t> </w:t>
      </w:r>
      <w:r>
        <w:rPr/>
        <w:t>multiple forms, from the tax incentives for donations to HEIs, donation matching by government, through</w:t>
      </w:r>
      <w:r>
        <w:rPr>
          <w:spacing w:val="1"/>
        </w:rPr>
        <w:t> </w:t>
      </w:r>
      <w:r>
        <w:rPr/>
        <w:t>to adaptations of funding calculations from the MEDC, and most recently a new delivery mechanism for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funding</w:t>
      </w:r>
      <w:r>
        <w:rPr>
          <w:spacing w:val="-12"/>
        </w:rPr>
        <w:t> </w:t>
      </w:r>
      <w:r>
        <w:rPr>
          <w:spacing w:val="-1"/>
        </w:rPr>
        <w:t>aimed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12"/>
        </w:rPr>
        <w:t> </w:t>
      </w:r>
      <w:r>
        <w:rPr>
          <w:spacing w:val="-1"/>
        </w:rPr>
        <w:t>increasing</w:t>
      </w:r>
      <w:r>
        <w:rPr>
          <w:spacing w:val="-10"/>
        </w:rPr>
        <w:t> </w:t>
      </w:r>
      <w:r>
        <w:rPr>
          <w:spacing w:val="-1"/>
        </w:rPr>
        <w:t>institutional</w:t>
      </w:r>
      <w:r>
        <w:rPr>
          <w:spacing w:val="-12"/>
        </w:rPr>
        <w:t> </w:t>
      </w:r>
      <w:r>
        <w:rPr>
          <w:spacing w:val="-1"/>
        </w:rPr>
        <w:t>specialisation.</w:t>
      </w:r>
      <w:r>
        <w:rPr>
          <w:spacing w:val="-12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increasing</w:t>
      </w:r>
      <w:r>
        <w:rPr>
          <w:spacing w:val="-12"/>
        </w:rPr>
        <w:t> </w:t>
      </w:r>
      <w:r>
        <w:rPr/>
        <w:t>institutional</w:t>
      </w:r>
      <w:r>
        <w:rPr>
          <w:spacing w:val="-1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specialisation has been a challenge for Finland, as evidenced by consistent “tinkering” with funding</w:t>
      </w:r>
      <w:r>
        <w:rPr>
          <w:spacing w:val="1"/>
        </w:rPr>
        <w:t> </w:t>
      </w:r>
      <w:r>
        <w:rPr/>
        <w:t>allocation models, with greater success achieved in incentivising mergers compared to achieving policy</w:t>
      </w:r>
      <w:r>
        <w:rPr>
          <w:spacing w:val="1"/>
        </w:rPr>
        <w:t> </w:t>
      </w:r>
      <w:r>
        <w:rPr/>
        <w:t>goals for greater institutional specialisation. Where specialisation has seen incremental success, the</w:t>
      </w:r>
      <w:r>
        <w:rPr>
          <w:spacing w:val="1"/>
        </w:rPr>
        <w:t> </w:t>
      </w:r>
      <w:r>
        <w:rPr/>
        <w:t>approach has been to drive areas of expertise with funding for research staff, creating an environment</w:t>
      </w:r>
      <w:r>
        <w:rPr>
          <w:spacing w:val="1"/>
        </w:rPr>
        <w:t> </w:t>
      </w:r>
      <w:r>
        <w:rPr/>
        <w:t>where the universities see value in increasing their focus in certain areas, as opposed to significant</w:t>
      </w:r>
      <w:r>
        <w:rPr>
          <w:spacing w:val="1"/>
        </w:rPr>
        <w:t> </w:t>
      </w:r>
      <w:r>
        <w:rPr/>
        <w:t>reallocation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units.</w:t>
      </w:r>
    </w:p>
    <w:p>
      <w:pPr>
        <w:pStyle w:val="BodyText"/>
        <w:spacing w:line="271" w:lineRule="auto" w:before="120"/>
        <w:ind w:left="183" w:right="304"/>
        <w:jc w:val="both"/>
      </w:pPr>
      <w:r>
        <w:rPr/>
        <w:t>In</w:t>
      </w:r>
      <w:r>
        <w:rPr>
          <w:spacing w:val="-7"/>
        </w:rPr>
        <w:t> </w:t>
      </w:r>
      <w:r>
        <w:rPr/>
        <w:t>Portugal,</w:t>
      </w:r>
      <w:r>
        <w:rPr>
          <w:spacing w:val="-4"/>
        </w:rPr>
        <w:t> </w:t>
      </w:r>
      <w:r>
        <w:rPr/>
        <w:t>incentives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attain</w:t>
      </w:r>
      <w:r>
        <w:rPr>
          <w:spacing w:val="-4"/>
        </w:rPr>
        <w:t> </w:t>
      </w:r>
      <w:r>
        <w:rPr/>
        <w:t>foundation</w:t>
      </w:r>
      <w:r>
        <w:rPr>
          <w:spacing w:val="-7"/>
        </w:rPr>
        <w:t> </w:t>
      </w:r>
      <w:r>
        <w:rPr/>
        <w:t>status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well</w:t>
      </w:r>
      <w:r>
        <w:rPr>
          <w:spacing w:val="-7"/>
        </w:rPr>
        <w:t> </w:t>
      </w:r>
      <w:r>
        <w:rPr/>
        <w:t>understood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sector</w:t>
      </w:r>
      <w:r>
        <w:rPr>
          <w:spacing w:val="-5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outset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the initial promise of foundation status was undermined to an extent by the application of qualification</w:t>
      </w:r>
      <w:r>
        <w:rPr>
          <w:spacing w:val="1"/>
        </w:rPr>
        <w:t> </w:t>
      </w:r>
      <w:r>
        <w:rPr/>
        <w:t>criteria that were more stringent than the law (RJIES) initially envisioned and simultaneously, the roll out</w:t>
      </w:r>
      <w:r>
        <w:rPr>
          <w:spacing w:val="1"/>
        </w:rPr>
        <w:t> </w:t>
      </w:r>
      <w:r>
        <w:rPr/>
        <w:t>of benefits of autonomy for institutions were less than initially envisioned. The Ministry of Finance’s</w:t>
      </w:r>
      <w:r>
        <w:rPr>
          <w:spacing w:val="1"/>
        </w:rPr>
        <w:t> </w:t>
      </w:r>
      <w:r>
        <w:rPr/>
        <w:t>requirement that 50% of institutional revenues must be from private sources in order to qualify posed an</w:t>
      </w:r>
      <w:r>
        <w:rPr>
          <w:spacing w:val="1"/>
        </w:rPr>
        <w:t> </w:t>
      </w:r>
      <w:r>
        <w:rPr/>
        <w:t>impediment to qualification for some institutions, while the cancellation of planned financial transfers to</w:t>
      </w:r>
      <w:r>
        <w:rPr>
          <w:spacing w:val="1"/>
        </w:rPr>
        <w:t> </w:t>
      </w:r>
      <w:r>
        <w:rPr/>
        <w:t>new</w:t>
      </w:r>
      <w:r>
        <w:rPr>
          <w:spacing w:val="-7"/>
        </w:rPr>
        <w:t> </w:t>
      </w:r>
      <w:r>
        <w:rPr/>
        <w:t>foundation</w:t>
      </w:r>
      <w:r>
        <w:rPr>
          <w:spacing w:val="-5"/>
        </w:rPr>
        <w:t> </w:t>
      </w:r>
      <w:r>
        <w:rPr/>
        <w:t>status</w:t>
      </w:r>
      <w:r>
        <w:rPr>
          <w:spacing w:val="-4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2011-14</w:t>
      </w:r>
      <w:r>
        <w:rPr>
          <w:spacing w:val="-4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Adjustment</w:t>
      </w:r>
      <w:r>
        <w:rPr>
          <w:spacing w:val="-5"/>
        </w:rPr>
        <w:t> </w:t>
      </w:r>
      <w:r>
        <w:rPr/>
        <w:t>Programme,</w:t>
      </w:r>
      <w:r>
        <w:rPr>
          <w:spacing w:val="-5"/>
        </w:rPr>
        <w:t> </w:t>
      </w:r>
      <w:r>
        <w:rPr/>
        <w:t>among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variety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re-imposed</w:t>
      </w:r>
      <w:r>
        <w:rPr>
          <w:spacing w:val="-10"/>
        </w:rPr>
        <w:t> </w:t>
      </w:r>
      <w:r>
        <w:rPr>
          <w:spacing w:val="-1"/>
        </w:rPr>
        <w:t>financial</w:t>
      </w:r>
      <w:r>
        <w:rPr>
          <w:spacing w:val="-12"/>
        </w:rPr>
        <w:t> </w:t>
      </w:r>
      <w:r>
        <w:rPr>
          <w:spacing w:val="-1"/>
        </w:rPr>
        <w:t>controls,</w:t>
      </w:r>
      <w:r>
        <w:rPr>
          <w:spacing w:val="-10"/>
        </w:rPr>
        <w:t> </w:t>
      </w:r>
      <w:r>
        <w:rPr>
          <w:spacing w:val="-1"/>
        </w:rPr>
        <w:t>reduced</w:t>
      </w:r>
      <w:r>
        <w:rPr>
          <w:spacing w:val="-9"/>
        </w:rPr>
        <w:t> </w:t>
      </w:r>
      <w:r>
        <w:rPr>
          <w:spacing w:val="-1"/>
        </w:rPr>
        <w:t>its</w:t>
      </w:r>
      <w:r>
        <w:rPr>
          <w:spacing w:val="-10"/>
        </w:rPr>
        <w:t> </w:t>
      </w:r>
      <w:r>
        <w:rPr>
          <w:spacing w:val="-1"/>
        </w:rPr>
        <w:t>benefits.</w:t>
      </w:r>
      <w:r>
        <w:rPr>
          <w:spacing w:val="-14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benefits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foundation</w:t>
      </w:r>
      <w:r>
        <w:rPr>
          <w:spacing w:val="-10"/>
        </w:rPr>
        <w:t> </w:t>
      </w:r>
      <w:r>
        <w:rPr/>
        <w:t>status</w:t>
      </w:r>
      <w:r>
        <w:rPr>
          <w:spacing w:val="-10"/>
        </w:rPr>
        <w:t> </w:t>
      </w:r>
      <w:r>
        <w:rPr/>
        <w:t>reduced</w:t>
      </w:r>
      <w:r>
        <w:rPr>
          <w:spacing w:val="1"/>
        </w:rPr>
        <w:t> </w:t>
      </w:r>
      <w:r>
        <w:rPr/>
        <w:t>and the path to its attainment made more challenging and non-transparent, take-up was constrained. An</w:t>
      </w:r>
      <w:r>
        <w:rPr>
          <w:spacing w:val="1"/>
        </w:rPr>
        <w:t> </w:t>
      </w:r>
      <w:r>
        <w:rPr/>
        <w:t>unclear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proposition</w:t>
      </w:r>
      <w:r>
        <w:rPr>
          <w:spacing w:val="-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take-up.</w:t>
      </w:r>
    </w:p>
    <w:p>
      <w:pPr>
        <w:pStyle w:val="BodyText"/>
        <w:spacing w:before="8"/>
        <w:rPr>
          <w:sz w:val="23"/>
        </w:rPr>
      </w:pPr>
    </w:p>
    <w:p>
      <w:pPr>
        <w:pStyle w:val="Heading5"/>
        <w:jc w:val="left"/>
      </w:pPr>
      <w:r>
        <w:rPr>
          <w:color w:val="616161"/>
        </w:rPr>
        <w:t>Regional</w:t>
      </w:r>
      <w:r>
        <w:rPr>
          <w:color w:val="616161"/>
          <w:spacing w:val="-5"/>
        </w:rPr>
        <w:t> </w:t>
      </w:r>
      <w:r>
        <w:rPr>
          <w:color w:val="616161"/>
        </w:rPr>
        <w:t>dimensions</w:t>
      </w:r>
    </w:p>
    <w:p>
      <w:pPr>
        <w:pStyle w:val="Heading8"/>
        <w:spacing w:line="271" w:lineRule="auto" w:before="215"/>
        <w:jc w:val="left"/>
      </w:pPr>
      <w:r>
        <w:rPr/>
        <w:t>Higher</w:t>
      </w:r>
      <w:r>
        <w:rPr>
          <w:spacing w:val="25"/>
        </w:rPr>
        <w:t> </w:t>
      </w:r>
      <w:r>
        <w:rPr/>
        <w:t>education</w:t>
      </w:r>
      <w:r>
        <w:rPr>
          <w:spacing w:val="28"/>
        </w:rPr>
        <w:t> </w:t>
      </w:r>
      <w:r>
        <w:rPr/>
        <w:t>system</w:t>
      </w:r>
      <w:r>
        <w:rPr>
          <w:spacing w:val="27"/>
        </w:rPr>
        <w:t> </w:t>
      </w:r>
      <w:r>
        <w:rPr/>
        <w:t>changes</w:t>
      </w:r>
      <w:r>
        <w:rPr>
          <w:spacing w:val="26"/>
        </w:rPr>
        <w:t> </w:t>
      </w:r>
      <w:r>
        <w:rPr/>
        <w:t>can</w:t>
      </w:r>
      <w:r>
        <w:rPr>
          <w:spacing w:val="24"/>
        </w:rPr>
        <w:t> </w:t>
      </w:r>
      <w:r>
        <w:rPr/>
        <w:t>play</w:t>
      </w:r>
      <w:r>
        <w:rPr>
          <w:spacing w:val="23"/>
        </w:rPr>
        <w:t> </w:t>
      </w:r>
      <w:r>
        <w:rPr/>
        <w:t>out</w:t>
      </w:r>
      <w:r>
        <w:rPr>
          <w:spacing w:val="25"/>
        </w:rPr>
        <w:t> </w:t>
      </w:r>
      <w:r>
        <w:rPr/>
        <w:t>differently</w:t>
      </w:r>
      <w:r>
        <w:rPr>
          <w:spacing w:val="24"/>
        </w:rPr>
        <w:t> </w:t>
      </w:r>
      <w:r>
        <w:rPr/>
        <w:t>across</w:t>
      </w:r>
      <w:r>
        <w:rPr>
          <w:spacing w:val="26"/>
        </w:rPr>
        <w:t> </w:t>
      </w:r>
      <w:r>
        <w:rPr/>
        <w:t>regions</w:t>
      </w:r>
      <w:r>
        <w:rPr>
          <w:spacing w:val="26"/>
        </w:rPr>
        <w:t> </w:t>
      </w:r>
      <w:r>
        <w:rPr/>
        <w:t>depending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urban</w:t>
      </w:r>
      <w:r>
        <w:rPr>
          <w:spacing w:val="-52"/>
        </w:rPr>
        <w:t> </w:t>
      </w:r>
      <w:r>
        <w:rPr/>
        <w:t>versus</w:t>
      </w:r>
      <w:r>
        <w:rPr>
          <w:spacing w:val="-2"/>
        </w:rPr>
        <w:t> </w:t>
      </w:r>
      <w:r>
        <w:rPr/>
        <w:t>rural</w:t>
      </w:r>
      <w:r>
        <w:rPr>
          <w:spacing w:val="1"/>
        </w:rPr>
        <w:t> </w:t>
      </w:r>
      <w:r>
        <w:rPr/>
        <w:t>character,</w:t>
      </w:r>
      <w:r>
        <w:rPr>
          <w:spacing w:val="-2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density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local capacity.</w:t>
      </w:r>
    </w:p>
    <w:p>
      <w:pPr>
        <w:spacing w:after="0" w:line="271" w:lineRule="auto"/>
        <w:jc w:val="left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3"/>
        <w:jc w:val="both"/>
      </w:pPr>
      <w:r>
        <w:rPr/>
        <w:t>Institutional merger initiatives and HEI governance changes can have varying effects across regions. The</w:t>
      </w:r>
      <w:r>
        <w:rPr>
          <w:spacing w:val="-53"/>
        </w:rPr>
        <w:t> </w:t>
      </w:r>
      <w:r>
        <w:rPr/>
        <w:t>merger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HEIs</w:t>
      </w:r>
      <w:r>
        <w:rPr>
          <w:spacing w:val="-10"/>
        </w:rPr>
        <w:t> </w:t>
      </w:r>
      <w:r>
        <w:rPr/>
        <w:t>within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single</w:t>
      </w:r>
      <w:r>
        <w:rPr>
          <w:spacing w:val="-12"/>
        </w:rPr>
        <w:t> </w:t>
      </w:r>
      <w:r>
        <w:rPr/>
        <w:t>city</w:t>
      </w:r>
      <w:r>
        <w:rPr>
          <w:spacing w:val="-11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9"/>
        </w:rPr>
        <w:t> </w:t>
      </w:r>
      <w:r>
        <w:rPr/>
        <w:t>have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2"/>
        </w:rPr>
        <w:t> </w:t>
      </w:r>
      <w:r>
        <w:rPr/>
        <w:t>implications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merger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wider</w:t>
      </w:r>
      <w:r>
        <w:rPr>
          <w:spacing w:val="-11"/>
        </w:rPr>
        <w:t> </w:t>
      </w:r>
      <w:r>
        <w:rPr/>
        <w:t>region.</w:t>
      </w:r>
      <w:r>
        <w:rPr>
          <w:spacing w:val="1"/>
        </w:rPr>
        <w:t> </w:t>
      </w:r>
      <w:r>
        <w:rPr/>
        <w:t>HEI governance changes that introduce the participation of external partners, including employers, on</w:t>
      </w:r>
      <w:r>
        <w:rPr>
          <w:spacing w:val="1"/>
        </w:rPr>
        <w:t> </w:t>
      </w:r>
      <w:r>
        <w:rPr/>
        <w:t>governance bodies can result in different outcomes in urban and industrialised areas compared to more</w:t>
      </w:r>
      <w:r>
        <w:rPr>
          <w:spacing w:val="1"/>
        </w:rPr>
        <w:t> </w:t>
      </w:r>
      <w:r>
        <w:rPr/>
        <w:t>rural</w:t>
      </w:r>
      <w:r>
        <w:rPr>
          <w:spacing w:val="-3"/>
        </w:rPr>
        <w:t> </w:t>
      </w:r>
      <w:r>
        <w:rPr/>
        <w:t>areas.</w:t>
      </w:r>
    </w:p>
    <w:p>
      <w:pPr>
        <w:pStyle w:val="BodyText"/>
        <w:spacing w:line="271" w:lineRule="auto" w:before="119"/>
        <w:ind w:left="183" w:right="305"/>
        <w:jc w:val="both"/>
      </w:pPr>
      <w:r>
        <w:rPr>
          <w:spacing w:val="-1"/>
        </w:rPr>
        <w:t>Stakeholders</w:t>
      </w:r>
      <w:r>
        <w:rPr>
          <w:spacing w:val="-8"/>
        </w:rPr>
        <w:t> </w:t>
      </w:r>
      <w:r>
        <w:rPr>
          <w:spacing w:val="-1"/>
        </w:rPr>
        <w:t>interviewed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OECD</w:t>
      </w:r>
      <w:r>
        <w:rPr>
          <w:spacing w:val="-9"/>
        </w:rPr>
        <w:t> </w:t>
      </w:r>
      <w:r>
        <w:rPr>
          <w:spacing w:val="-1"/>
        </w:rPr>
        <w:t>team</w:t>
      </w:r>
      <w:r>
        <w:rPr>
          <w:spacing w:val="-7"/>
        </w:rPr>
        <w:t> </w:t>
      </w:r>
      <w:r>
        <w:rPr>
          <w:spacing w:val="-1"/>
        </w:rPr>
        <w:t>reported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creation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Eastern</w:t>
      </w:r>
      <w:r>
        <w:rPr>
          <w:spacing w:val="-9"/>
        </w:rPr>
        <w:t> </w:t>
      </w:r>
      <w:r>
        <w:rPr/>
        <w:t>Finland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merger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Joensuu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Kuopio</w:t>
      </w:r>
      <w:r>
        <w:rPr>
          <w:spacing w:val="-2"/>
        </w:rPr>
        <w:t> </w:t>
      </w:r>
      <w:r>
        <w:rPr/>
        <w:t>led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local</w:t>
      </w:r>
      <w:r>
        <w:rPr>
          <w:spacing w:val="-4"/>
        </w:rPr>
        <w:t> </w:t>
      </w:r>
      <w:r>
        <w:rPr/>
        <w:t>issues</w:t>
      </w:r>
      <w:r>
        <w:rPr>
          <w:spacing w:val="-4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proposed changes to programme availability in some communities, which also had implications for local</w:t>
      </w:r>
      <w:r>
        <w:rPr>
          <w:spacing w:val="1"/>
        </w:rPr>
        <w:t> </w:t>
      </w:r>
      <w:r>
        <w:rPr/>
        <w:t>economies, given the broader range of businesses and economic activity that are supported by students</w:t>
      </w:r>
      <w:r>
        <w:rPr>
          <w:spacing w:val="1"/>
        </w:rPr>
        <w:t> </w:t>
      </w:r>
      <w:r>
        <w:rPr/>
        <w:t>and</w:t>
      </w:r>
      <w:r>
        <w:rPr>
          <w:spacing w:val="-14"/>
        </w:rPr>
        <w:t> </w:t>
      </w:r>
      <w:r>
        <w:rPr/>
        <w:t>faculty.</w:t>
      </w:r>
      <w:r>
        <w:rPr>
          <w:spacing w:val="-10"/>
        </w:rPr>
        <w:t> </w:t>
      </w:r>
      <w:r>
        <w:rPr/>
        <w:t>These</w:t>
      </w:r>
      <w:r>
        <w:rPr>
          <w:spacing w:val="-14"/>
        </w:rPr>
        <w:t> </w:t>
      </w:r>
      <w:r>
        <w:rPr/>
        <w:t>are</w:t>
      </w:r>
      <w:r>
        <w:rPr>
          <w:spacing w:val="-10"/>
        </w:rPr>
        <w:t> </w:t>
      </w:r>
      <w:r>
        <w:rPr/>
        <w:t>not</w:t>
      </w:r>
      <w:r>
        <w:rPr>
          <w:spacing w:val="-14"/>
        </w:rPr>
        <w:t> </w:t>
      </w:r>
      <w:r>
        <w:rPr/>
        <w:t>prominent</w:t>
      </w:r>
      <w:r>
        <w:rPr>
          <w:spacing w:val="-13"/>
        </w:rPr>
        <w:t> </w:t>
      </w:r>
      <w:r>
        <w:rPr/>
        <w:t>issues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case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mergers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have</w:t>
      </w:r>
      <w:r>
        <w:rPr>
          <w:spacing w:val="-12"/>
        </w:rPr>
        <w:t> </w:t>
      </w:r>
      <w:r>
        <w:rPr/>
        <w:t>taken</w:t>
      </w:r>
      <w:r>
        <w:rPr>
          <w:spacing w:val="-13"/>
        </w:rPr>
        <w:t> </w:t>
      </w:r>
      <w:r>
        <w:rPr/>
        <w:t>place</w:t>
      </w:r>
      <w:r>
        <w:rPr>
          <w:spacing w:val="-9"/>
        </w:rPr>
        <w:t> </w:t>
      </w:r>
      <w:r>
        <w:rPr/>
        <w:t>within</w:t>
      </w:r>
      <w:r>
        <w:rPr>
          <w:spacing w:val="-13"/>
        </w:rPr>
        <w:t> </w:t>
      </w:r>
      <w:r>
        <w:rPr/>
        <w:t>more</w:t>
      </w:r>
      <w:r>
        <w:rPr>
          <w:spacing w:val="-53"/>
        </w:rPr>
        <w:t> </w:t>
      </w:r>
      <w:r>
        <w:rPr/>
        <w:t>metropolitan contexts, such as those leading to development of the Aalto University and the University of</w:t>
      </w:r>
      <w:r>
        <w:rPr>
          <w:spacing w:val="-53"/>
        </w:rPr>
        <w:t> </w:t>
      </w:r>
      <w:r>
        <w:rPr/>
        <w:t>Tampere.</w:t>
      </w:r>
    </w:p>
    <w:p>
      <w:pPr>
        <w:pStyle w:val="BodyText"/>
        <w:spacing w:line="271" w:lineRule="auto" w:before="123"/>
        <w:ind w:left="183" w:right="300"/>
        <w:jc w:val="both"/>
      </w:pPr>
      <w:r>
        <w:rPr/>
        <w:t>In Portugal, stakeholders interviewed by the OECD team reported that the inclusion of external members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bodies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some</w:t>
      </w:r>
      <w:r>
        <w:rPr>
          <w:spacing w:val="-8"/>
        </w:rPr>
        <w:t> </w:t>
      </w:r>
      <w:r>
        <w:rPr/>
        <w:t>cases</w:t>
      </w:r>
      <w:r>
        <w:rPr>
          <w:spacing w:val="-6"/>
        </w:rPr>
        <w:t> </w:t>
      </w:r>
      <w:r>
        <w:rPr/>
        <w:t>proceeded</w:t>
      </w:r>
      <w:r>
        <w:rPr>
          <w:spacing w:val="-6"/>
        </w:rPr>
        <w:t> </w:t>
      </w:r>
      <w:r>
        <w:rPr/>
        <w:t>differently</w:t>
      </w:r>
      <w:r>
        <w:rPr>
          <w:spacing w:val="-7"/>
        </w:rPr>
        <w:t> </w:t>
      </w:r>
      <w:r>
        <w:rPr/>
        <w:t>across</w:t>
      </w:r>
      <w:r>
        <w:rPr>
          <w:spacing w:val="-4"/>
        </w:rPr>
        <w:t> </w:t>
      </w:r>
      <w:r>
        <w:rPr/>
        <w:t>institutions,</w:t>
      </w:r>
      <w:r>
        <w:rPr>
          <w:spacing w:val="-3"/>
        </w:rPr>
        <w:t> </w:t>
      </w:r>
      <w:r>
        <w:rPr/>
        <w:t>with</w:t>
      </w:r>
      <w:r>
        <w:rPr>
          <w:spacing w:val="-8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these differences having a regional character. HEIs located in regions with strong employer bases,</w:t>
      </w:r>
      <w:r>
        <w:rPr>
          <w:spacing w:val="1"/>
        </w:rPr>
        <w:t> </w:t>
      </w:r>
      <w:r>
        <w:rPr/>
        <w:t>particularly of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HEI-driven innovation</w:t>
      </w:r>
      <w:r>
        <w:rPr>
          <w:spacing w:val="1"/>
        </w:rPr>
        <w:t> </w:t>
      </w:r>
      <w:r>
        <w:rPr/>
        <w:t>and human capital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concerns, have seen more effective involvement. In some cases, HEIs in more rural regions with fewer</w:t>
      </w:r>
      <w:r>
        <w:rPr>
          <w:spacing w:val="1"/>
        </w:rPr>
        <w:t> </w:t>
      </w:r>
      <w:r>
        <w:rPr/>
        <w:t>employers</w:t>
      </w:r>
      <w:r>
        <w:rPr>
          <w:spacing w:val="2"/>
        </w:rPr>
        <w:t> </w:t>
      </w:r>
      <w:r>
        <w:rPr/>
        <w:t>with</w:t>
      </w:r>
      <w:r>
        <w:rPr>
          <w:spacing w:val="-2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links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them</w:t>
      </w:r>
      <w:r>
        <w:rPr>
          <w:spacing w:val="2"/>
        </w:rPr>
        <w:t> </w:t>
      </w:r>
      <w:r>
        <w:rPr/>
        <w:t>have</w:t>
      </w:r>
      <w:r>
        <w:rPr>
          <w:spacing w:val="-2"/>
        </w:rPr>
        <w:t> </w:t>
      </w:r>
      <w:r>
        <w:rPr/>
        <w:t>seen</w:t>
      </w:r>
      <w:r>
        <w:rPr>
          <w:spacing w:val="-1"/>
        </w:rPr>
        <w:t> </w:t>
      </w:r>
      <w:r>
        <w:rPr/>
        <w:t>less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involvement.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  <w:spacing w:before="1"/>
      </w:pPr>
      <w:r>
        <w:rPr>
          <w:color w:val="616161"/>
        </w:rPr>
        <w:t>Influence</w:t>
      </w:r>
      <w:r>
        <w:rPr>
          <w:color w:val="616161"/>
          <w:spacing w:val="-2"/>
        </w:rPr>
        <w:t> </w:t>
      </w:r>
      <w:r>
        <w:rPr>
          <w:color w:val="616161"/>
        </w:rPr>
        <w:t>of</w:t>
      </w:r>
      <w:r>
        <w:rPr>
          <w:color w:val="616161"/>
          <w:spacing w:val="-1"/>
        </w:rPr>
        <w:t> </w:t>
      </w:r>
      <w:r>
        <w:rPr>
          <w:color w:val="616161"/>
        </w:rPr>
        <w:t>disruptive</w:t>
      </w:r>
      <w:r>
        <w:rPr>
          <w:color w:val="616161"/>
          <w:spacing w:val="-7"/>
        </w:rPr>
        <w:t> </w:t>
      </w:r>
      <w:r>
        <w:rPr>
          <w:color w:val="616161"/>
        </w:rPr>
        <w:t>forces:</w:t>
      </w:r>
      <w:r>
        <w:rPr>
          <w:color w:val="616161"/>
          <w:spacing w:val="-1"/>
        </w:rPr>
        <w:t> </w:t>
      </w:r>
      <w:r>
        <w:rPr>
          <w:color w:val="616161"/>
        </w:rPr>
        <w:t>2008</w:t>
      </w:r>
      <w:r>
        <w:rPr>
          <w:color w:val="616161"/>
          <w:spacing w:val="-4"/>
        </w:rPr>
        <w:t> </w:t>
      </w:r>
      <w:r>
        <w:rPr>
          <w:color w:val="616161"/>
        </w:rPr>
        <w:t>financial crisis</w:t>
      </w:r>
      <w:r>
        <w:rPr>
          <w:color w:val="616161"/>
          <w:spacing w:val="-3"/>
        </w:rPr>
        <w:t> </w:t>
      </w:r>
      <w:r>
        <w:rPr>
          <w:color w:val="616161"/>
        </w:rPr>
        <w:t>and</w:t>
      </w:r>
      <w:r>
        <w:rPr>
          <w:color w:val="616161"/>
          <w:spacing w:val="-4"/>
        </w:rPr>
        <w:t> </w:t>
      </w:r>
      <w:r>
        <w:rPr>
          <w:color w:val="616161"/>
        </w:rPr>
        <w:t>the</w:t>
      </w:r>
      <w:r>
        <w:rPr>
          <w:color w:val="616161"/>
          <w:spacing w:val="-5"/>
        </w:rPr>
        <w:t> </w:t>
      </w:r>
      <w:r>
        <w:rPr>
          <w:color w:val="616161"/>
        </w:rPr>
        <w:t>COVID-19</w:t>
      </w:r>
      <w:r>
        <w:rPr>
          <w:color w:val="616161"/>
          <w:spacing w:val="-3"/>
        </w:rPr>
        <w:t> </w:t>
      </w:r>
      <w:r>
        <w:rPr>
          <w:color w:val="616161"/>
        </w:rPr>
        <w:t>pandemic</w:t>
      </w:r>
    </w:p>
    <w:p>
      <w:pPr>
        <w:pStyle w:val="Heading8"/>
        <w:spacing w:line="271" w:lineRule="auto" w:before="214"/>
        <w:ind w:right="312"/>
      </w:pPr>
      <w:r>
        <w:rPr/>
        <w:t>External events, like a financial crisis or pandemic, can upend planned system transformations</w:t>
      </w:r>
      <w:r>
        <w:rPr>
          <w:spacing w:val="1"/>
        </w:rPr>
        <w:t> </w:t>
      </w:r>
      <w:r>
        <w:rPr/>
        <w:t>and the levers or incentives that governments may have planned in order to achieve desired</w:t>
      </w:r>
      <w:r>
        <w:rPr>
          <w:spacing w:val="1"/>
        </w:rPr>
        <w:t> </w:t>
      </w:r>
      <w:r>
        <w:rPr/>
        <w:t>outcomes.</w:t>
      </w:r>
    </w:p>
    <w:p>
      <w:pPr>
        <w:pStyle w:val="BodyText"/>
        <w:spacing w:line="271" w:lineRule="auto" w:before="123"/>
        <w:ind w:left="183" w:right="302"/>
        <w:jc w:val="both"/>
      </w:pPr>
      <w:r>
        <w:rPr/>
        <w:t>The 2008 financial crisis had a profound impact on HEI governance reform in Portugal. As a result of</w:t>
      </w:r>
      <w:r>
        <w:rPr>
          <w:spacing w:val="1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contraction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2011-14</w:t>
      </w:r>
      <w:r>
        <w:rPr>
          <w:spacing w:val="-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Adjustment</w:t>
      </w:r>
      <w:r>
        <w:rPr>
          <w:spacing w:val="-8"/>
        </w:rPr>
        <w:t> </w:t>
      </w:r>
      <w:r>
        <w:rPr/>
        <w:t>Programme,</w:t>
      </w:r>
      <w:r>
        <w:rPr>
          <w:spacing w:val="-9"/>
        </w:rPr>
        <w:t> </w:t>
      </w:r>
      <w:r>
        <w:rPr/>
        <w:t>public</w:t>
      </w:r>
      <w:r>
        <w:rPr>
          <w:spacing w:val="-5"/>
        </w:rPr>
        <w:t> </w:t>
      </w:r>
      <w:r>
        <w:rPr/>
        <w:t>spending</w:t>
      </w:r>
      <w:r>
        <w:rPr>
          <w:spacing w:val="-6"/>
        </w:rPr>
        <w:t> </w:t>
      </w:r>
      <w:r>
        <w:rPr/>
        <w:t>was</w:t>
      </w:r>
      <w:r>
        <w:rPr>
          <w:spacing w:val="-8"/>
        </w:rPr>
        <w:t> </w:t>
      </w:r>
      <w:r>
        <w:rPr/>
        <w:t>reigned</w:t>
      </w:r>
      <w:r>
        <w:rPr>
          <w:spacing w:val="-9"/>
        </w:rPr>
        <w:t> </w:t>
      </w:r>
      <w:r>
        <w:rPr/>
        <w:t>in</w:t>
      </w:r>
      <w:r>
        <w:rPr>
          <w:spacing w:val="1"/>
        </w:rPr>
        <w:t> </w:t>
      </w:r>
      <w:r>
        <w:rPr/>
        <w:t>and notable changes were made to the reform approach. HEIs saw significant funding decreases and the</w:t>
      </w:r>
      <w:r>
        <w:rPr>
          <w:spacing w:val="-53"/>
        </w:rPr>
        <w:t> </w:t>
      </w:r>
      <w:r>
        <w:rPr/>
        <w:t>introduction of multi-year salary controls on public servant staff at both foundation and non-foundation</w:t>
      </w:r>
      <w:r>
        <w:rPr>
          <w:spacing w:val="1"/>
        </w:rPr>
        <w:t> </w:t>
      </w:r>
      <w:r>
        <w:rPr/>
        <w:t>status universities, alongside a contraction in the level of autonomy provided to institutions. This in effect</w:t>
      </w:r>
      <w:r>
        <w:rPr>
          <w:spacing w:val="1"/>
        </w:rPr>
        <w:t> </w:t>
      </w:r>
      <w:r>
        <w:rPr/>
        <w:t>reversed the incentives that were intended to be offered to institutions by foundation status, which were</w:t>
      </w:r>
      <w:r>
        <w:rPr>
          <w:spacing w:val="1"/>
        </w:rPr>
        <w:t> </w:t>
      </w:r>
      <w:r>
        <w:rPr/>
        <w:t>again</w:t>
      </w:r>
      <w:r>
        <w:rPr>
          <w:spacing w:val="-5"/>
        </w:rPr>
        <w:t> </w:t>
      </w:r>
      <w:r>
        <w:rPr/>
        <w:t>absorbed</w:t>
      </w:r>
      <w:r>
        <w:rPr>
          <w:spacing w:val="-2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perimeter</w:t>
      </w:r>
      <w:r>
        <w:rPr>
          <w:spacing w:val="-3"/>
        </w:rPr>
        <w:t> </w:t>
      </w:r>
      <w:r>
        <w:rPr/>
        <w:t>(a</w:t>
      </w:r>
      <w:r>
        <w:rPr>
          <w:spacing w:val="-4"/>
        </w:rPr>
        <w:t> </w:t>
      </w:r>
      <w:r>
        <w:rPr/>
        <w:t>situation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persists).</w:t>
      </w:r>
      <w:r>
        <w:rPr>
          <w:spacing w:val="-4"/>
        </w:rPr>
        <w:t> </w:t>
      </w:r>
      <w:r>
        <w:rPr/>
        <w:t>Budgetary</w:t>
      </w:r>
      <w:r>
        <w:rPr>
          <w:spacing w:val="-7"/>
        </w:rPr>
        <w:t> </w:t>
      </w:r>
      <w:r>
        <w:rPr/>
        <w:t>constraints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long-</w:t>
      </w:r>
      <w:r>
        <w:rPr>
          <w:spacing w:val="1"/>
        </w:rPr>
        <w:t> </w:t>
      </w:r>
      <w:r>
        <w:rPr/>
        <w:t>lasting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HEIs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arguably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speed</w:t>
      </w:r>
      <w:r>
        <w:rPr>
          <w:spacing w:val="6"/>
        </w:rPr>
        <w:t> </w:t>
      </w:r>
      <w:r>
        <w:rPr/>
        <w:t>of adoption</w:t>
      </w:r>
      <w:r>
        <w:rPr>
          <w:spacing w:val="-1"/>
        </w:rPr>
        <w:t> </w:t>
      </w:r>
      <w:r>
        <w:rPr/>
        <w:t>of foundation</w:t>
      </w:r>
      <w:r>
        <w:rPr>
          <w:spacing w:val="-3"/>
        </w:rPr>
        <w:t> </w:t>
      </w:r>
      <w:r>
        <w:rPr/>
        <w:t>status.</w:t>
      </w:r>
    </w:p>
    <w:p>
      <w:pPr>
        <w:pStyle w:val="BodyText"/>
        <w:spacing w:line="271" w:lineRule="auto" w:before="122"/>
        <w:ind w:left="183" w:right="310"/>
        <w:jc w:val="both"/>
      </w:pP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2008</w:t>
      </w:r>
      <w:r>
        <w:rPr>
          <w:spacing w:val="-7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crisis,</w:t>
      </w:r>
      <w:r>
        <w:rPr>
          <w:spacing w:val="-4"/>
        </w:rPr>
        <w:t> </w:t>
      </w:r>
      <w:r>
        <w:rPr/>
        <w:t>austerity</w:t>
      </w:r>
      <w:r>
        <w:rPr>
          <w:spacing w:val="-9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disruptive</w:t>
      </w:r>
      <w:r>
        <w:rPr>
          <w:spacing w:val="-4"/>
        </w:rPr>
        <w:t> </w:t>
      </w:r>
      <w:r>
        <w:rPr/>
        <w:t>impact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public</w:t>
      </w:r>
      <w:r>
        <w:rPr>
          <w:spacing w:val="-5"/>
        </w:rPr>
        <w:t> </w:t>
      </w:r>
      <w:r>
        <w:rPr/>
        <w:t>sector</w:t>
      </w:r>
      <w:r>
        <w:rPr>
          <w:spacing w:val="-4"/>
        </w:rPr>
        <w:t> </w:t>
      </w:r>
      <w:r>
        <w:rPr/>
        <w:t>across</w:t>
      </w:r>
      <w:r>
        <w:rPr>
          <w:spacing w:val="-53"/>
        </w:rPr>
        <w:t> </w:t>
      </w:r>
      <w:r>
        <w:rPr/>
        <w:t>many EU states, particularly those in receipt of adjustment programmes, such as Portugal. Due to the</w:t>
      </w:r>
      <w:r>
        <w:rPr>
          <w:spacing w:val="1"/>
        </w:rPr>
        <w:t> </w:t>
      </w:r>
      <w:r>
        <w:rPr/>
        <w:t>timelines involved, Finland’s reform process was largely unaffected by the 2008 financial crisis, with the</w:t>
      </w:r>
      <w:r>
        <w:rPr>
          <w:spacing w:val="1"/>
        </w:rPr>
        <w:t> </w:t>
      </w:r>
      <w:r>
        <w:rPr/>
        <w:t>first</w:t>
      </w:r>
      <w:r>
        <w:rPr>
          <w:spacing w:val="-2"/>
        </w:rPr>
        <w:t> </w:t>
      </w:r>
      <w:r>
        <w:rPr/>
        <w:t>phase</w:t>
      </w:r>
      <w:r>
        <w:rPr>
          <w:spacing w:val="-2"/>
        </w:rPr>
        <w:t> </w:t>
      </w:r>
      <w:r>
        <w:rPr/>
        <w:t>of mergers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reforms</w:t>
      </w:r>
      <w:r>
        <w:rPr>
          <w:spacing w:val="-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completed before</w:t>
      </w:r>
      <w:r>
        <w:rPr>
          <w:spacing w:val="-2"/>
        </w:rPr>
        <w:t> </w:t>
      </w:r>
      <w:r>
        <w:rPr/>
        <w:t>impacts</w:t>
      </w:r>
      <w:r>
        <w:rPr>
          <w:spacing w:val="-1"/>
        </w:rPr>
        <w:t> </w:t>
      </w:r>
      <w:r>
        <w:rPr/>
        <w:t>had</w:t>
      </w:r>
      <w:r>
        <w:rPr>
          <w:spacing w:val="-2"/>
        </w:rPr>
        <w:t> </w:t>
      </w:r>
      <w:r>
        <w:rPr/>
        <w:t>fully</w:t>
      </w:r>
      <w:r>
        <w:rPr>
          <w:spacing w:val="-5"/>
        </w:rPr>
        <w:t> </w:t>
      </w:r>
      <w:r>
        <w:rPr/>
        <w:t>unfolded.</w:t>
      </w:r>
    </w:p>
    <w:p>
      <w:pPr>
        <w:pStyle w:val="BodyText"/>
        <w:spacing w:line="271" w:lineRule="auto" w:before="120"/>
        <w:ind w:left="183" w:right="304"/>
        <w:jc w:val="both"/>
      </w:pPr>
      <w:r>
        <w:rPr/>
        <w:t>At present, the international response to the coronavirus (COVID-19) pandemic appears to be different</w:t>
      </w:r>
      <w:r>
        <w:rPr>
          <w:spacing w:val="1"/>
        </w:rPr>
        <w:t> </w:t>
      </w:r>
      <w:r>
        <w:rPr/>
        <w:t>than in the post-2008 period, with recovery funds being made available to respond to economic turmoil. It</w:t>
      </w:r>
      <w:r>
        <w:rPr>
          <w:spacing w:val="-53"/>
        </w:rPr>
        <w:t> </w:t>
      </w:r>
      <w:r>
        <w:rPr/>
        <w:t>appears, at present, less likely that wide-scale reductions in public expenditure could imperil HE system</w:t>
      </w:r>
      <w:r>
        <w:rPr>
          <w:spacing w:val="1"/>
        </w:rPr>
        <w:t> </w:t>
      </w:r>
      <w:r>
        <w:rPr/>
        <w:t>reforms.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contrary,</w:t>
      </w:r>
      <w:r>
        <w:rPr>
          <w:spacing w:val="-7"/>
        </w:rPr>
        <w:t> </w:t>
      </w:r>
      <w:r>
        <w:rPr/>
        <w:t>recovery</w:t>
      </w:r>
      <w:r>
        <w:rPr>
          <w:spacing w:val="-11"/>
        </w:rPr>
        <w:t> </w:t>
      </w:r>
      <w:r>
        <w:rPr/>
        <w:t>funds</w:t>
      </w:r>
      <w:r>
        <w:rPr>
          <w:spacing w:val="-8"/>
        </w:rPr>
        <w:t> </w:t>
      </w:r>
      <w:r>
        <w:rPr/>
        <w:t>could</w:t>
      </w:r>
      <w:r>
        <w:rPr>
          <w:spacing w:val="-7"/>
        </w:rPr>
        <w:t> </w:t>
      </w:r>
      <w:r>
        <w:rPr/>
        <w:t>potentially</w:t>
      </w:r>
      <w:r>
        <w:rPr>
          <w:spacing w:val="-10"/>
        </w:rPr>
        <w:t> </w:t>
      </w:r>
      <w:r>
        <w:rPr/>
        <w:t>play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role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crucial</w:t>
      </w:r>
      <w:r>
        <w:rPr>
          <w:spacing w:val="-9"/>
        </w:rPr>
        <w:t> </w:t>
      </w:r>
      <w:r>
        <w:rPr/>
        <w:t>function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incentivising</w:t>
      </w:r>
      <w:r>
        <w:rPr>
          <w:spacing w:val="1"/>
        </w:rPr>
        <w:t> </w:t>
      </w:r>
      <w:r>
        <w:rPr/>
        <w:t>change.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  <w:spacing w:before="1"/>
      </w:pPr>
      <w:r>
        <w:rPr>
          <w:color w:val="616161"/>
        </w:rPr>
        <w:t>Timelines</w:t>
      </w:r>
      <w:r>
        <w:rPr>
          <w:color w:val="616161"/>
          <w:spacing w:val="-4"/>
        </w:rPr>
        <w:t> </w:t>
      </w:r>
      <w:r>
        <w:rPr>
          <w:color w:val="616161"/>
        </w:rPr>
        <w:t>for</w:t>
      </w:r>
      <w:r>
        <w:rPr>
          <w:color w:val="616161"/>
          <w:spacing w:val="-4"/>
        </w:rPr>
        <w:t> </w:t>
      </w:r>
      <w:r>
        <w:rPr>
          <w:color w:val="616161"/>
        </w:rPr>
        <w:t>measuring</w:t>
      </w:r>
      <w:r>
        <w:rPr>
          <w:color w:val="616161"/>
          <w:spacing w:val="-2"/>
        </w:rPr>
        <w:t> </w:t>
      </w:r>
      <w:r>
        <w:rPr>
          <w:color w:val="616161"/>
        </w:rPr>
        <w:t>success</w:t>
      </w:r>
    </w:p>
    <w:p>
      <w:pPr>
        <w:pStyle w:val="Heading8"/>
        <w:spacing w:line="271" w:lineRule="auto" w:before="214"/>
        <w:ind w:right="308"/>
      </w:pPr>
      <w:r>
        <w:rPr/>
        <w:t>Assessing the effectiveness of change within complex systems with multiple actors, pressures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priorities</w:t>
      </w:r>
      <w:r>
        <w:rPr>
          <w:spacing w:val="-10"/>
        </w:rPr>
        <w:t> </w:t>
      </w:r>
      <w:r>
        <w:rPr>
          <w:spacing w:val="-1"/>
        </w:rPr>
        <w:t>requires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long</w:t>
      </w:r>
      <w:r>
        <w:rPr>
          <w:spacing w:val="-11"/>
        </w:rPr>
        <w:t> </w:t>
      </w:r>
      <w:r>
        <w:rPr>
          <w:spacing w:val="-1"/>
        </w:rPr>
        <w:t>horizon.</w:t>
      </w:r>
      <w:r>
        <w:rPr>
          <w:spacing w:val="-6"/>
        </w:rPr>
        <w:t> </w:t>
      </w:r>
      <w:r>
        <w:rPr/>
        <w:t>A</w:t>
      </w:r>
      <w:r>
        <w:rPr>
          <w:spacing w:val="-14"/>
        </w:rPr>
        <w:t> </w:t>
      </w:r>
      <w:r>
        <w:rPr/>
        <w:t>robust,</w:t>
      </w:r>
      <w:r>
        <w:rPr>
          <w:spacing w:val="-8"/>
        </w:rPr>
        <w:t> </w:t>
      </w:r>
      <w:r>
        <w:rPr/>
        <w:t>broad-ranging</w:t>
      </w:r>
      <w:r>
        <w:rPr>
          <w:spacing w:val="-10"/>
        </w:rPr>
        <w:t> </w:t>
      </w:r>
      <w:r>
        <w:rPr/>
        <w:t>evaluation</w:t>
      </w:r>
      <w:r>
        <w:rPr>
          <w:spacing w:val="-11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should</w:t>
      </w:r>
      <w:r>
        <w:rPr>
          <w:spacing w:val="-11"/>
        </w:rPr>
        <w:t> </w:t>
      </w:r>
      <w:r>
        <w:rPr/>
        <w:t>include</w:t>
      </w:r>
      <w:r>
        <w:rPr>
          <w:spacing w:val="-53"/>
        </w:rPr>
        <w:t> </w:t>
      </w:r>
      <w:r>
        <w:rPr/>
        <w:t>a</w:t>
      </w:r>
      <w:r>
        <w:rPr>
          <w:spacing w:val="-2"/>
        </w:rPr>
        <w:t> </w:t>
      </w:r>
      <w:r>
        <w:rPr/>
        <w:t>variety</w:t>
      </w:r>
      <w:r>
        <w:rPr>
          <w:spacing w:val="-4"/>
        </w:rPr>
        <w:t> </w:t>
      </w:r>
      <w:r>
        <w:rPr/>
        <w:t>of factors,</w:t>
      </w:r>
      <w:r>
        <w:rPr>
          <w:spacing w:val="1"/>
        </w:rPr>
        <w:t> </w:t>
      </w:r>
      <w:r>
        <w:rPr/>
        <w:t>considering</w:t>
      </w:r>
      <w:r>
        <w:rPr>
          <w:spacing w:val="-1"/>
        </w:rPr>
        <w:t> </w:t>
      </w:r>
      <w:r>
        <w:rPr/>
        <w:t>impacted</w:t>
      </w:r>
      <w:r>
        <w:rPr>
          <w:spacing w:val="-1"/>
        </w:rPr>
        <w:t> </w:t>
      </w:r>
      <w:r>
        <w:rPr/>
        <w:t>actors</w:t>
      </w:r>
      <w:r>
        <w:rPr>
          <w:spacing w:val="-2"/>
        </w:rPr>
        <w:t> </w:t>
      </w:r>
      <w:r>
        <w:rPr/>
        <w:t>and desired</w:t>
      </w:r>
      <w:r>
        <w:rPr>
          <w:spacing w:val="-2"/>
        </w:rPr>
        <w:t> </w:t>
      </w:r>
      <w:r>
        <w:rPr/>
        <w:t>outcomes.</w:t>
      </w:r>
    </w:p>
    <w:p>
      <w:pPr>
        <w:spacing w:after="0" w:line="271" w:lineRule="auto"/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line="271" w:lineRule="auto" w:before="122"/>
        <w:ind w:left="183" w:right="303"/>
        <w:jc w:val="both"/>
      </w:pPr>
      <w:r>
        <w:rPr/>
        <w:t>In both Finland and Portugal, several direct outcomes as a result of reform are evident. In the case of</w:t>
      </w:r>
      <w:r>
        <w:rPr>
          <w:spacing w:val="1"/>
        </w:rPr>
        <w:t> </w:t>
      </w:r>
      <w:r>
        <w:rPr/>
        <w:t>Portugal, changes to HEI governance were achieved, and in some cases, further autonomy attained</w:t>
      </w:r>
      <w:r>
        <w:rPr>
          <w:spacing w:val="1"/>
        </w:rPr>
        <w:t> </w:t>
      </w:r>
      <w:r>
        <w:rPr/>
        <w:t>(though with noted limitations). In Finland, the reduction in the number of HEIs through mergers was</w:t>
      </w:r>
      <w:r>
        <w:rPr>
          <w:spacing w:val="1"/>
        </w:rPr>
        <w:t> </w:t>
      </w:r>
      <w:r>
        <w:rPr/>
        <w:t>successful. In both cases, primary changes (institutional network rationalisation in Finland and HEI</w:t>
      </w:r>
      <w:r>
        <w:rPr>
          <w:spacing w:val="1"/>
        </w:rPr>
        <w:t> </w:t>
      </w:r>
      <w:r>
        <w:rPr/>
        <w:t>governance reform in Portugal) could be better understood as outputs intended to achieve longer-term</w:t>
      </w:r>
      <w:r>
        <w:rPr>
          <w:spacing w:val="1"/>
        </w:rPr>
        <w:t> </w:t>
      </w:r>
      <w:r>
        <w:rPr/>
        <w:t>outcomes,</w:t>
      </w:r>
      <w:r>
        <w:rPr>
          <w:spacing w:val="-7"/>
        </w:rPr>
        <w:t> </w:t>
      </w:r>
      <w:r>
        <w:rPr/>
        <w:t>namely</w:t>
      </w:r>
      <w:r>
        <w:rPr>
          <w:spacing w:val="-8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better</w:t>
      </w:r>
      <w:r>
        <w:rPr>
          <w:spacing w:val="-5"/>
        </w:rPr>
        <w:t> </w:t>
      </w:r>
      <w:r>
        <w:rPr/>
        <w:t>achieve</w:t>
      </w:r>
      <w:r>
        <w:rPr>
          <w:spacing w:val="-8"/>
        </w:rPr>
        <w:t> </w:t>
      </w:r>
      <w:r>
        <w:rPr/>
        <w:t>societal</w:t>
      </w:r>
      <w:r>
        <w:rPr>
          <w:spacing w:val="-6"/>
        </w:rPr>
        <w:t> </w:t>
      </w:r>
      <w:r>
        <w:rPr/>
        <w:t>goals,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increasing</w:t>
      </w:r>
      <w:r>
        <w:rPr>
          <w:spacing w:val="-8"/>
        </w:rPr>
        <w:t> </w:t>
      </w:r>
      <w:r>
        <w:rPr/>
        <w:t>international</w:t>
      </w:r>
      <w:r>
        <w:rPr>
          <w:spacing w:val="-8"/>
        </w:rPr>
        <w:t> </w:t>
      </w:r>
      <w:r>
        <w:rPr/>
        <w:t>standing</w:t>
      </w:r>
      <w:r>
        <w:rPr>
          <w:spacing w:val="1"/>
        </w:rPr>
        <w:t> </w:t>
      </w:r>
      <w:r>
        <w:rPr/>
        <w:t>and research specialisation in Finland, or enhancing ability to hire and retain top level staff in Portugal,</w:t>
      </w:r>
      <w:r>
        <w:rPr>
          <w:spacing w:val="1"/>
        </w:rPr>
        <w:t> </w:t>
      </w:r>
      <w:r>
        <w:rPr/>
        <w:t>increasing the quality of teaching and research in both cases. In this sense, the question of time horizons</w:t>
      </w:r>
      <w:r>
        <w:rPr>
          <w:spacing w:val="-53"/>
        </w:rPr>
        <w:t> </w:t>
      </w:r>
      <w:r>
        <w:rPr/>
        <w:t>is critical. In both countries, immediate outputs may still pre-figure longer-term achievement of desired</w:t>
      </w:r>
      <w:r>
        <w:rPr>
          <w:spacing w:val="1"/>
        </w:rPr>
        <w:t> </w:t>
      </w:r>
      <w:r>
        <w:rPr/>
        <w:t>outcomes, the measurement of which will continue to take a broad base of evidence and time. Crucial as</w:t>
      </w:r>
      <w:r>
        <w:rPr>
          <w:spacing w:val="-53"/>
        </w:rPr>
        <w:t> </w:t>
      </w:r>
      <w:r>
        <w:rPr/>
        <w:t>well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adjust</w:t>
      </w:r>
      <w:r>
        <w:rPr>
          <w:spacing w:val="-6"/>
        </w:rPr>
        <w:t> </w:t>
      </w:r>
      <w:r>
        <w:rPr/>
        <w:t>course</w:t>
      </w:r>
      <w:r>
        <w:rPr>
          <w:spacing w:val="-8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progress,</w:t>
      </w:r>
      <w:r>
        <w:rPr>
          <w:spacing w:val="-1"/>
        </w:rPr>
        <w:t> </w:t>
      </w:r>
      <w:r>
        <w:rPr/>
        <w:t>which</w:t>
      </w:r>
      <w:r>
        <w:rPr>
          <w:spacing w:val="-7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appropriate</w:t>
      </w:r>
      <w:r>
        <w:rPr>
          <w:spacing w:val="-8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buy-in</w:t>
      </w:r>
      <w:r>
        <w:rPr>
          <w:spacing w:val="-1"/>
        </w:rPr>
        <w:t> </w:t>
      </w:r>
      <w:r>
        <w:rPr/>
        <w:t>to continue down a</w:t>
      </w:r>
      <w:r>
        <w:rPr>
          <w:spacing w:val="-2"/>
        </w:rPr>
        <w:t> </w:t>
      </w:r>
      <w:r>
        <w:rPr/>
        <w:t>reform</w:t>
      </w:r>
      <w:r>
        <w:rPr>
          <w:spacing w:val="4"/>
        </w:rPr>
        <w:t> </w:t>
      </w:r>
      <w:r>
        <w:rPr/>
        <w:t>path.</w:t>
      </w:r>
    </w:p>
    <w:p>
      <w:pPr>
        <w:spacing w:after="0" w:line="271" w:lineRule="auto"/>
        <w:jc w:val="both"/>
        <w:sectPr>
          <w:pgSz w:w="11910" w:h="15880"/>
          <w:pgMar w:header="734" w:footer="731" w:top="1200" w:bottom="920" w:left="1120" w:right="1000"/>
        </w:sectPr>
      </w:pPr>
    </w:p>
    <w:p>
      <w:pPr>
        <w:pStyle w:val="Heading2"/>
        <w:spacing w:before="125"/>
      </w:pPr>
      <w:bookmarkStart w:name="_bookmark72" w:id="187"/>
      <w:bookmarkEnd w:id="187"/>
      <w:r>
        <w:rPr>
          <w:b w:val="0"/>
        </w:rPr>
      </w:r>
      <w:r>
        <w:rPr>
          <w:color w:val="4E81BD"/>
        </w:rPr>
        <w:t>References</w:t>
      </w: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6"/>
        <w:gridCol w:w="644"/>
      </w:tblGrid>
      <w:tr>
        <w:trPr>
          <w:trHeight w:val="1125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20"/>
              <w:ind w:left="483" w:right="790" w:hanging="284"/>
              <w:rPr>
                <w:sz w:val="20"/>
              </w:rPr>
            </w:pPr>
            <w:r>
              <w:rPr>
                <w:sz w:val="20"/>
              </w:rPr>
              <w:t>Aalto University (2020), </w:t>
            </w:r>
            <w:r>
              <w:rPr>
                <w:rFonts w:ascii="Arial"/>
                <w:i/>
                <w:sz w:val="20"/>
              </w:rPr>
              <w:t>2019 Annual Board Report and Financial Statements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14">
              <w:r>
                <w:rPr>
                  <w:color w:val="0000FF"/>
                  <w:sz w:val="20"/>
                  <w:u w:val="single" w:color="0000FF"/>
                </w:rPr>
                <w:t>www.aalto.fi/sites/g/files/flghsv161/files/2020-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03/board_report_and_financial_statements_2019_aalto_university_0.pdf</w:t>
            </w:r>
            <w:r>
              <w:rPr>
                <w:color w:val="0000FF"/>
                <w:spacing w:val="1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October 2020).</w:t>
            </w:r>
          </w:p>
        </w:tc>
        <w:tc>
          <w:tcPr>
            <w:tcW w:w="644" w:type="dxa"/>
          </w:tcPr>
          <w:p>
            <w:pPr>
              <w:pStyle w:val="TableParagraph"/>
              <w:spacing w:line="179" w:lineRule="exact" w:before="0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[49]</w:t>
            </w:r>
          </w:p>
        </w:tc>
      </w:tr>
      <w:tr>
        <w:trPr>
          <w:trHeight w:val="1219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3"/>
              <w:ind w:left="483" w:right="1159" w:hanging="284"/>
              <w:rPr>
                <w:sz w:val="20"/>
              </w:rPr>
            </w:pPr>
            <w:r>
              <w:rPr>
                <w:sz w:val="20"/>
              </w:rPr>
              <w:t>Aalto University (2019), </w:t>
            </w:r>
            <w:r>
              <w:rPr>
                <w:rFonts w:ascii="Arial"/>
                <w:i/>
                <w:sz w:val="20"/>
              </w:rPr>
              <w:t>Aalto Tenure Track</w:t>
            </w:r>
            <w:r>
              <w:rPr>
                <w:sz w:val="20"/>
              </w:rPr>
              <w:t>, Aalto University, Helsinki,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15">
              <w:r>
                <w:rPr>
                  <w:color w:val="0000FF"/>
                  <w:sz w:val="20"/>
                  <w:u w:val="single" w:color="0000FF"/>
                </w:rPr>
                <w:t>www.aalto.fi/sites/g/files/flghsv161/files/2019-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09/aalto_tenure_track_policies_and_procedures_eng_20190307.pdf</w:t>
            </w:r>
            <w:r>
              <w:rPr>
                <w:color w:val="0000FF"/>
                <w:spacing w:val="10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October 2020).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[50]</w:t>
            </w:r>
          </w:p>
        </w:tc>
      </w:tr>
      <w:tr>
        <w:trPr>
          <w:trHeight w:val="1219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3"/>
              <w:ind w:left="483" w:right="173" w:hanging="284"/>
              <w:rPr>
                <w:sz w:val="20"/>
              </w:rPr>
            </w:pPr>
            <w:r>
              <w:rPr>
                <w:sz w:val="20"/>
              </w:rPr>
              <w:t>CCES (2017), </w:t>
            </w:r>
            <w:r>
              <w:rPr>
                <w:rFonts w:ascii="Arial"/>
                <w:i/>
                <w:sz w:val="20"/>
              </w:rPr>
              <w:t>The independent legal status in Portuguese higher education: Public Foundations</w:t>
            </w:r>
            <w:r>
              <w:rPr>
                <w:sz w:val="20"/>
              </w:rPr>
              <w:t>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Conselho Coordenador do Ensino Superior [Coordinating Council for Higher Education],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Lisbon,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document provided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to OECD for 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project "Improving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Higher Education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Republic".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[20]</w:t>
            </w:r>
          </w:p>
        </w:tc>
      </w:tr>
      <w:tr>
        <w:trPr>
          <w:trHeight w:val="700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6"/>
              <w:ind w:left="483" w:right="174" w:hanging="284"/>
              <w:rPr>
                <w:sz w:val="20"/>
              </w:rPr>
            </w:pPr>
            <w:r>
              <w:rPr>
                <w:sz w:val="20"/>
              </w:rPr>
              <w:t>Crossmapping the future (n.d.), </w:t>
            </w:r>
            <w:r>
              <w:rPr>
                <w:rFonts w:ascii="Arial"/>
                <w:i/>
                <w:sz w:val="20"/>
              </w:rPr>
              <w:t>Factory of the future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https://innovativecarhmi.com/factory-of-the-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future#factory-of-the-future1</w:t>
            </w:r>
            <w:r>
              <w:rPr>
                <w:color w:val="0000FF"/>
                <w:spacing w:val="-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29 July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[23]</w:t>
            </w:r>
          </w:p>
        </w:tc>
      </w:tr>
      <w:tr>
        <w:trPr>
          <w:trHeight w:val="960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3"/>
              <w:ind w:left="483" w:right="174" w:hanging="284"/>
              <w:rPr>
                <w:sz w:val="20"/>
              </w:rPr>
            </w:pPr>
            <w:r>
              <w:rPr>
                <w:sz w:val="20"/>
              </w:rPr>
              <w:t>DGES (2020), </w:t>
            </w:r>
            <w:r>
              <w:rPr>
                <w:rFonts w:ascii="Arial"/>
                <w:i/>
                <w:sz w:val="20"/>
              </w:rPr>
              <w:t>Conselho Coordenador do Ensino Superior [Coordinating Council for Higher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Education]</w:t>
            </w:r>
            <w:r>
              <w:rPr>
                <w:spacing w:val="-1"/>
                <w:sz w:val="20"/>
              </w:rPr>
              <w:t>,</w:t>
            </w:r>
            <w:r>
              <w:rPr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216">
              <w:r>
                <w:rPr>
                  <w:color w:val="0000FF"/>
                  <w:spacing w:val="-1"/>
                  <w:sz w:val="20"/>
                  <w:u w:val="single" w:color="0000FF"/>
                </w:rPr>
                <w:t>www.dges.gov.pt/pt/noticia/conselho-coordenador-do-ensino-superior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August 2021).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93"/>
              <w:jc w:val="center"/>
              <w:rPr>
                <w:sz w:val="16"/>
              </w:rPr>
            </w:pPr>
            <w:r>
              <w:rPr>
                <w:sz w:val="16"/>
              </w:rPr>
              <w:t>[6]</w:t>
            </w:r>
          </w:p>
        </w:tc>
      </w:tr>
      <w:tr>
        <w:trPr>
          <w:trHeight w:val="960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3"/>
              <w:ind w:left="483" w:right="339" w:hanging="284"/>
              <w:rPr>
                <w:sz w:val="20"/>
              </w:rPr>
            </w:pPr>
            <w:r>
              <w:rPr>
                <w:sz w:val="20"/>
              </w:rPr>
              <w:t>Elander, C., T. Aarrevaara and I. Dobson (2009), “Brave new world: Higher education reform in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Finland”, </w:t>
            </w:r>
            <w:r>
              <w:rPr>
                <w:rFonts w:ascii="Arial" w:hAnsi="Arial"/>
                <w:i/>
                <w:sz w:val="20"/>
              </w:rPr>
              <w:t>Higher Education Management and Policy</w:t>
            </w:r>
            <w:r>
              <w:rPr>
                <w:sz w:val="20"/>
              </w:rPr>
              <w:t>, Vol. 21/2, pp. 1-18,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https://dx.doi.org/10.1787/hemp-21-5ksj0twnffvl</w:t>
            </w:r>
            <w:r>
              <w:rPr>
                <w:sz w:val="20"/>
              </w:rPr>
              <w:t>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[35]</w:t>
            </w:r>
          </w:p>
        </w:tc>
      </w:tr>
      <w:tr>
        <w:trPr>
          <w:trHeight w:val="701" w:hRule="atLeast"/>
        </w:trPr>
        <w:tc>
          <w:tcPr>
            <w:tcW w:w="8936" w:type="dxa"/>
          </w:tcPr>
          <w:p>
            <w:pPr>
              <w:pStyle w:val="TableParagraph"/>
              <w:spacing w:line="273" w:lineRule="auto" w:before="114"/>
              <w:ind w:left="483" w:right="669" w:hanging="284"/>
              <w:rPr>
                <w:sz w:val="20"/>
              </w:rPr>
            </w:pPr>
            <w:r>
              <w:rPr>
                <w:sz w:val="20"/>
              </w:rPr>
              <w:t>ETER (2021), </w:t>
            </w:r>
            <w:r>
              <w:rPr>
                <w:rFonts w:ascii="Arial"/>
                <w:i/>
                <w:sz w:val="20"/>
              </w:rPr>
              <w:t>European Tertiary Education Register (ETER)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17">
              <w:r>
                <w:rPr>
                  <w:color w:val="0000FF"/>
                  <w:sz w:val="20"/>
                  <w:u w:val="single" w:color="0000FF"/>
                </w:rPr>
                <w:t>www.eter-project.com/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[18]</w:t>
            </w:r>
          </w:p>
        </w:tc>
      </w:tr>
      <w:tr>
        <w:trPr>
          <w:trHeight w:val="960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3"/>
              <w:ind w:left="483" w:right="1350" w:hanging="284"/>
              <w:rPr>
                <w:sz w:val="20"/>
              </w:rPr>
            </w:pPr>
            <w:r>
              <w:rPr>
                <w:sz w:val="20"/>
              </w:rPr>
              <w:t>EUA (2017), </w:t>
            </w:r>
            <w:r>
              <w:rPr>
                <w:rFonts w:ascii="Arial"/>
                <w:i/>
                <w:sz w:val="20"/>
              </w:rPr>
              <w:t>European University Association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https://eua.eu/component/attachments/attachments.html?id=395</w:t>
            </w:r>
            <w:r>
              <w:rPr>
                <w:color w:val="0000FF"/>
                <w:spacing w:val="11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September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[15]</w:t>
            </w:r>
          </w:p>
        </w:tc>
      </w:tr>
      <w:tr>
        <w:trPr>
          <w:trHeight w:val="698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3"/>
              <w:ind w:left="483" w:right="380" w:hanging="284"/>
              <w:rPr>
                <w:sz w:val="20"/>
              </w:rPr>
            </w:pPr>
            <w:r>
              <w:rPr>
                <w:sz w:val="20"/>
              </w:rPr>
              <w:t>EUA (n.d.), </w:t>
            </w:r>
            <w:r>
              <w:rPr>
                <w:rFonts w:ascii="Arial"/>
                <w:i/>
                <w:sz w:val="20"/>
              </w:rPr>
              <w:t>University Autonomy Rankings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05">
              <w:r>
                <w:rPr>
                  <w:color w:val="0000FF"/>
                  <w:sz w:val="20"/>
                  <w:u w:val="single" w:color="0000FF"/>
                </w:rPr>
                <w:t>www.university-autonomy.eu/</w:t>
              </w:r>
              <w:r>
                <w:rPr>
                  <w:color w:val="0000FF"/>
                  <w:sz w:val="20"/>
                </w:rPr>
                <w:t> </w:t>
              </w:r>
            </w:hyperlink>
            <w:r>
              <w:rPr>
                <w:sz w:val="20"/>
              </w:rPr>
              <w:t>(accessed on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October 2020).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[16]</w:t>
            </w:r>
          </w:p>
        </w:tc>
      </w:tr>
      <w:tr>
        <w:trPr>
          <w:trHeight w:val="700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6"/>
              <w:ind w:left="483" w:right="455" w:hanging="284"/>
              <w:rPr>
                <w:sz w:val="20"/>
              </w:rPr>
            </w:pPr>
            <w:r>
              <w:rPr>
                <w:sz w:val="20"/>
              </w:rPr>
              <w:t>Eurydice (2020), </w:t>
            </w:r>
            <w:r>
              <w:rPr>
                <w:rFonts w:ascii="Arial"/>
                <w:i/>
                <w:sz w:val="20"/>
              </w:rPr>
              <w:t>Higher Education Funding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https://eacea.ec.europa.eu/national-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policies/eurydice/content/higher-education-funding-25_en</w:t>
            </w:r>
            <w:r>
              <w:rPr>
                <w:color w:val="0000FF"/>
                <w:spacing w:val="-9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[30]</w:t>
            </w:r>
          </w:p>
        </w:tc>
      </w:tr>
      <w:tr>
        <w:trPr>
          <w:trHeight w:val="864" w:hRule="atLeast"/>
        </w:trPr>
        <w:tc>
          <w:tcPr>
            <w:tcW w:w="8936" w:type="dxa"/>
          </w:tcPr>
          <w:p>
            <w:pPr>
              <w:pStyle w:val="TableParagraph"/>
              <w:spacing w:before="113"/>
              <w:ind w:left="200"/>
              <w:rPr>
                <w:sz w:val="20"/>
              </w:rPr>
            </w:pPr>
            <w:r>
              <w:rPr>
                <w:sz w:val="20"/>
              </w:rPr>
              <w:t>Eurydice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Finland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-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Types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Institutions</w:t>
            </w:r>
            <w:r>
              <w:rPr>
                <w:sz w:val="20"/>
              </w:rPr>
              <w:t>,</w:t>
            </w:r>
          </w:p>
          <w:p>
            <w:pPr>
              <w:pStyle w:val="TableParagraph"/>
              <w:spacing w:line="260" w:lineRule="atLeast" w:before="0"/>
              <w:ind w:left="483" w:right="911"/>
              <w:rPr>
                <w:sz w:val="20"/>
              </w:rPr>
            </w:pPr>
            <w:r>
              <w:rPr>
                <w:color w:val="0000FF"/>
                <w:spacing w:val="-1"/>
                <w:sz w:val="20"/>
                <w:u w:val="single" w:color="0000FF"/>
              </w:rPr>
              <w:t>https://eacea.ec.europa.eu/national-policies/eurydice/content/types-higher-education-</w:t>
            </w:r>
            <w:r>
              <w:rPr>
                <w:color w:val="0000FF"/>
                <w:sz w:val="20"/>
              </w:rPr>
              <w:t> institutions-25_en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[56]</w:t>
            </w:r>
          </w:p>
        </w:tc>
      </w:tr>
      <w:tr>
        <w:trPr>
          <w:trHeight w:val="784" w:hRule="atLeast"/>
        </w:trPr>
        <w:tc>
          <w:tcPr>
            <w:tcW w:w="893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3" w:lineRule="auto" w:before="0"/>
              <w:ind w:left="483" w:right="790" w:hanging="284"/>
              <w:rPr>
                <w:sz w:val="20"/>
              </w:rPr>
            </w:pPr>
            <w:r>
              <w:rPr>
                <w:sz w:val="20"/>
              </w:rPr>
              <w:t>Eurydice (n.d.), </w:t>
            </w:r>
            <w:r>
              <w:rPr>
                <w:rFonts w:ascii="Arial"/>
                <w:i/>
                <w:sz w:val="20"/>
              </w:rPr>
              <w:t>Portugal Overview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https://eacea.ec.europa.eu/national-</w:t>
            </w:r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policies/eurydice/content/portugal_en</w:t>
            </w:r>
            <w:r>
              <w:rPr>
                <w:color w:val="0000FF"/>
                <w:spacing w:val="-6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September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4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[19]</w:t>
            </w:r>
          </w:p>
        </w:tc>
      </w:tr>
      <w:tr>
        <w:trPr>
          <w:trHeight w:val="864" w:hRule="atLeast"/>
        </w:trPr>
        <w:tc>
          <w:tcPr>
            <w:tcW w:w="8936" w:type="dxa"/>
          </w:tcPr>
          <w:p>
            <w:pPr>
              <w:pStyle w:val="TableParagraph"/>
              <w:spacing w:line="271" w:lineRule="auto" w:before="113"/>
              <w:ind w:left="483" w:right="460" w:hanging="284"/>
              <w:rPr>
                <w:sz w:val="20"/>
              </w:rPr>
            </w:pPr>
            <w:r>
              <w:rPr>
                <w:sz w:val="20"/>
              </w:rPr>
              <w:t>Fibrenamics (n.d.), </w:t>
            </w:r>
            <w:r>
              <w:rPr>
                <w:rFonts w:ascii="Arial"/>
                <w:i/>
                <w:sz w:val="20"/>
              </w:rPr>
              <w:t>Bosch Innovative Car HMI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218">
              <w:r>
                <w:rPr>
                  <w:color w:val="0000FF"/>
                  <w:spacing w:val="-1"/>
                  <w:sz w:val="20"/>
                  <w:u w:val="single" w:color="0000FF"/>
                </w:rPr>
                <w:t>www.fibrenamics.com/en/business/partners/bosch-innovative-car-hm</w:t>
              </w:r>
              <w:r>
                <w:rPr>
                  <w:color w:val="0000FF"/>
                  <w:spacing w:val="-1"/>
                  <w:sz w:val="20"/>
                </w:rPr>
                <w:t>i</w:t>
              </w:r>
              <w:r>
                <w:rPr>
                  <w:color w:val="0000FF"/>
                  <w:spacing w:val="7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line="210" w:lineRule="exact" w:before="1"/>
              <w:ind w:left="483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4" w:type="dxa"/>
          </w:tcPr>
          <w:p>
            <w:pPr>
              <w:pStyle w:val="TableParagraph"/>
              <w:spacing w:before="91"/>
              <w:ind w:left="158" w:right="178"/>
              <w:jc w:val="center"/>
              <w:rPr>
                <w:sz w:val="16"/>
              </w:rPr>
            </w:pPr>
            <w:r>
              <w:rPr>
                <w:sz w:val="16"/>
              </w:rPr>
              <w:t>[21]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9"/>
        <w:gridCol w:w="642"/>
      </w:tblGrid>
      <w:tr>
        <w:trPr>
          <w:trHeight w:val="864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20"/>
              <w:ind w:left="483" w:right="372" w:hanging="284"/>
              <w:rPr>
                <w:sz w:val="20"/>
              </w:rPr>
            </w:pPr>
            <w:r>
              <w:rPr>
                <w:sz w:val="20"/>
              </w:rPr>
              <w:t>FINEEC (2016), </w:t>
            </w:r>
            <w:r>
              <w:rPr>
                <w:rFonts w:ascii="Arial" w:hAnsi="Arial"/>
                <w:i/>
                <w:sz w:val="20"/>
              </w:rPr>
              <w:t>National education evaluation plan 2016–2019</w:t>
            </w:r>
            <w:r>
              <w:rPr>
                <w:sz w:val="20"/>
              </w:rPr>
              <w:t>, Finnish Education Evaluation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Centre,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1"/>
                <w:sz w:val="20"/>
              </w:rPr>
              <w:t>Helsinki,</w:t>
            </w:r>
            <w:r>
              <w:rPr>
                <w:spacing w:val="10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https://karvi.fi/app/uploads/2016/05/2-National-Education-Evaluation-Plan-</w:t>
            </w:r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2016-2019.pdf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2" w:type="dxa"/>
          </w:tcPr>
          <w:p>
            <w:pPr>
              <w:pStyle w:val="TableParagraph"/>
              <w:spacing w:line="179" w:lineRule="exact" w:before="0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[33]</w:t>
            </w:r>
          </w:p>
        </w:tc>
      </w:tr>
      <w:tr>
        <w:trPr>
          <w:trHeight w:val="70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6"/>
              <w:ind w:left="483" w:right="827" w:hanging="284"/>
              <w:rPr>
                <w:sz w:val="20"/>
              </w:rPr>
            </w:pPr>
            <w:r>
              <w:rPr>
                <w:sz w:val="20"/>
              </w:rPr>
              <w:t>Fonseca, M., S. Encarnação and E. Justino (2014), </w:t>
            </w:r>
            <w:r>
              <w:rPr>
                <w:rFonts w:ascii="Arial" w:hAnsi="Arial"/>
                <w:i/>
                <w:sz w:val="20"/>
              </w:rPr>
              <w:t>Shrinking Higher Education Systems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SensePublishers,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Rotterdam, </w:t>
            </w:r>
            <w:r>
              <w:rPr>
                <w:color w:val="0000FF"/>
                <w:sz w:val="20"/>
                <w:u w:val="single" w:color="0000FF"/>
              </w:rPr>
              <w:t>https://doi.org/10.1007/978-94-6209-746-9_9</w:t>
            </w:r>
            <w:r>
              <w:rPr>
                <w:sz w:val="20"/>
              </w:rPr>
              <w:t>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94"/>
              <w:jc w:val="center"/>
              <w:rPr>
                <w:sz w:val="16"/>
              </w:rPr>
            </w:pPr>
            <w:r>
              <w:rPr>
                <w:sz w:val="16"/>
              </w:rPr>
              <w:t>[8]</w:t>
            </w:r>
          </w:p>
        </w:tc>
      </w:tr>
      <w:tr>
        <w:trPr>
          <w:trHeight w:val="700" w:hRule="atLeast"/>
        </w:trPr>
        <w:tc>
          <w:tcPr>
            <w:tcW w:w="8939" w:type="dxa"/>
          </w:tcPr>
          <w:p>
            <w:pPr>
              <w:pStyle w:val="TableParagraph"/>
              <w:spacing w:line="273" w:lineRule="auto" w:before="113"/>
              <w:ind w:left="483" w:right="449" w:hanging="284"/>
              <w:rPr>
                <w:sz w:val="20"/>
              </w:rPr>
            </w:pPr>
            <w:r>
              <w:rPr>
                <w:sz w:val="20"/>
              </w:rPr>
              <w:t>Government of Finland (2020), </w:t>
            </w:r>
            <w:r>
              <w:rPr>
                <w:rFonts w:ascii="Arial"/>
                <w:i/>
                <w:sz w:val="20"/>
              </w:rPr>
              <w:t>Ministry of Education and Culture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https://minedu.fi/en/ministry</w:t>
            </w:r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 October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[27]</w:t>
            </w:r>
          </w:p>
        </w:tc>
      </w:tr>
      <w:tr>
        <w:trPr>
          <w:trHeight w:val="1219" w:hRule="atLeast"/>
        </w:trPr>
        <w:tc>
          <w:tcPr>
            <w:tcW w:w="8939" w:type="dxa"/>
          </w:tcPr>
          <w:p>
            <w:pPr>
              <w:pStyle w:val="TableParagraph"/>
              <w:spacing w:line="254" w:lineRule="auto" w:before="116"/>
              <w:ind w:left="483" w:right="485" w:hanging="284"/>
              <w:rPr>
                <w:sz w:val="20"/>
              </w:rPr>
            </w:pPr>
            <w:r>
              <w:rPr>
                <w:spacing w:val="-2"/>
                <w:sz w:val="20"/>
              </w:rPr>
              <w:t>Government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"/>
                <w:sz w:val="20"/>
              </w:rPr>
              <w:t>Portugal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(2007),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1"/>
                <w:sz w:val="20"/>
              </w:rPr>
              <w:t>“Regime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Juri</w:t>
            </w:r>
            <w:r>
              <w:rPr>
                <w:spacing w:val="-1"/>
                <w:position w:val="-2"/>
                <w:sz w:val="20"/>
              </w:rPr>
              <w:t>́</w:t>
            </w:r>
            <w:r>
              <w:rPr>
                <w:spacing w:val="-1"/>
                <w:sz w:val="20"/>
              </w:rPr>
              <w:t>dico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"/>
                <w:sz w:val="20"/>
              </w:rPr>
              <w:t>das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1"/>
                <w:sz w:val="20"/>
              </w:rPr>
              <w:t>Instituiç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1"/>
                <w:position w:val="-2"/>
                <w:sz w:val="20"/>
              </w:rPr>
              <w:t>̃</w:t>
            </w:r>
            <w:r>
              <w:rPr>
                <w:spacing w:val="-1"/>
                <w:sz w:val="20"/>
              </w:rPr>
              <w:t>es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Ensino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1"/>
                <w:sz w:val="20"/>
              </w:rPr>
              <w:t>Superio</w:t>
            </w:r>
            <w:r>
              <w:rPr>
                <w:sz w:val="20"/>
              </w:rPr>
              <w:t> </w:t>
            </w:r>
            <w:r>
              <w:rPr>
                <w:spacing w:val="-76"/>
                <w:sz w:val="20"/>
              </w:rPr>
              <w:t>(RJIES)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[Legal framework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higher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education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institutions]”,</w:t>
            </w:r>
            <w:r>
              <w:rPr>
                <w:spacing w:val="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Diário da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República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Vol.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174/2007,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pp.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6358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6389,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https://data.dre.pt/eli/lei/62/2007/09/10/p/dre/pt/htm</w:t>
            </w:r>
            <w:r>
              <w:rPr>
                <w:color w:val="0000FF"/>
                <w:sz w:val="20"/>
              </w:rPr>
              <w:t>l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6"/>
              <w:ind w:left="48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[14]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4"/>
              <w:ind w:left="483" w:right="181" w:hanging="284"/>
              <w:rPr>
                <w:sz w:val="20"/>
              </w:rPr>
            </w:pPr>
            <w:r>
              <w:rPr>
                <w:sz w:val="20"/>
              </w:rPr>
              <w:t>Hölttä,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(1998),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Funding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Universities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Finland: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Towards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Goal-Oriented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Steering”, </w:t>
            </w:r>
            <w:r>
              <w:rPr>
                <w:rFonts w:ascii="Arial" w:hAnsi="Arial"/>
                <w:i/>
                <w:sz w:val="20"/>
              </w:rPr>
              <w:t>European Journal of Education</w:t>
            </w:r>
            <w:r>
              <w:rPr>
                <w:sz w:val="20"/>
              </w:rPr>
              <w:t>, Vol. 33/1, pp. 55-63,</w:t>
            </w:r>
            <w:r>
              <w:rPr>
                <w:spacing w:val="1"/>
                <w:sz w:val="20"/>
              </w:rPr>
              <w:t> </w:t>
            </w:r>
            <w:hyperlink r:id="rId219">
              <w:r>
                <w:rPr>
                  <w:color w:val="0000FF"/>
                  <w:sz w:val="20"/>
                  <w:u w:val="single" w:color="0000FF"/>
                </w:rPr>
                <w:t>http://www.jstor.org/stable/1503784</w:t>
              </w:r>
              <w:r>
                <w:rPr>
                  <w:color w:val="0000FF"/>
                  <w:spacing w:val="2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September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[31]</w:t>
            </w:r>
          </w:p>
        </w:tc>
      </w:tr>
      <w:tr>
        <w:trPr>
          <w:trHeight w:val="1219" w:hRule="atLeast"/>
        </w:trPr>
        <w:tc>
          <w:tcPr>
            <w:tcW w:w="8939" w:type="dxa"/>
          </w:tcPr>
          <w:p>
            <w:pPr>
              <w:pStyle w:val="TableParagraph"/>
              <w:spacing w:line="273" w:lineRule="auto" w:before="113"/>
              <w:ind w:left="483" w:right="404" w:hanging="284"/>
              <w:rPr>
                <w:sz w:val="20"/>
              </w:rPr>
            </w:pPr>
            <w:r>
              <w:rPr>
                <w:sz w:val="20"/>
              </w:rPr>
              <w:t>Kallo, J. (2009), </w:t>
            </w:r>
            <w:r>
              <w:rPr>
                <w:rFonts w:ascii="Arial"/>
                <w:i/>
                <w:sz w:val="20"/>
              </w:rPr>
              <w:t>OECD Education Policy: A Comparative and Historical Study Focusing on the</w:t>
            </w:r>
            <w:r>
              <w:rPr>
                <w:rFonts w:ascii="Arial"/>
                <w:i/>
                <w:spacing w:val="-5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Thematic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Reviews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Tertiary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Finnish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Association,</w:t>
            </w:r>
          </w:p>
          <w:p>
            <w:pPr>
              <w:pStyle w:val="TableParagraph"/>
              <w:spacing w:line="266" w:lineRule="auto" w:before="2"/>
              <w:ind w:left="483" w:right="501"/>
              <w:rPr>
                <w:sz w:val="20"/>
              </w:rPr>
            </w:pPr>
            <w:r>
              <w:rPr>
                <w:sz w:val="20"/>
              </w:rPr>
              <w:t>Jyvä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skyla,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document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provided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project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"Improving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7"/>
                <w:sz w:val="20"/>
              </w:rPr>
              <w:t>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Slovak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Republic".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[37]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6"/>
              <w:ind w:left="483" w:right="531" w:hanging="284"/>
              <w:rPr>
                <w:sz w:val="20"/>
              </w:rPr>
            </w:pPr>
            <w:r>
              <w:rPr>
                <w:sz w:val="20"/>
              </w:rPr>
              <w:t>Kauko, J. and S. Diogo (2012), “Comparing higher education reforms in Finland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Portugal: different contexts, same solutions?”, </w:t>
            </w:r>
            <w:r>
              <w:rPr>
                <w:rFonts w:ascii="Arial" w:hAnsi="Arial"/>
                <w:i/>
                <w:sz w:val="20"/>
              </w:rPr>
              <w:t>Higher Education Management and Policy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23/3, pp.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1–20,</w:t>
            </w:r>
            <w:r>
              <w:rPr>
                <w:spacing w:val="-2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https://dx.doi.org/10.1787/hemp-23-5kg0sjtcnnzt</w:t>
            </w:r>
            <w:r>
              <w:rPr>
                <w:sz w:val="20"/>
              </w:rPr>
              <w:t>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94"/>
              <w:jc w:val="center"/>
              <w:rPr>
                <w:sz w:val="16"/>
              </w:rPr>
            </w:pPr>
            <w:r>
              <w:rPr>
                <w:sz w:val="16"/>
              </w:rPr>
              <w:t>[7]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6"/>
              <w:ind w:left="483" w:right="267" w:hanging="284"/>
              <w:jc w:val="both"/>
              <w:rPr>
                <w:sz w:val="20"/>
              </w:rPr>
            </w:pPr>
            <w:r>
              <w:rPr>
                <w:sz w:val="20"/>
              </w:rPr>
              <w:t>Keskinen, E. (2016), </w:t>
            </w:r>
            <w:r>
              <w:rPr>
                <w:rFonts w:ascii="Arial" w:hAnsi="Arial"/>
                <w:i/>
                <w:sz w:val="20"/>
              </w:rPr>
              <w:t>Tampere 3 seems to be cracking, but so did Aalto – Where will the political</w:t>
            </w:r>
            <w:r>
              <w:rPr>
                <w:rFonts w:ascii="Arial" w:hAnsi="Arial"/>
                <w:i/>
                <w:spacing w:val="-5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game </w:t>
            </w:r>
            <w:r>
              <w:rPr>
                <w:rFonts w:ascii="Arial" w:hAnsi="Arial"/>
                <w:i/>
                <w:sz w:val="20"/>
              </w:rPr>
              <w:t>lead?</w:t>
            </w:r>
            <w:r>
              <w:rPr>
                <w:sz w:val="20"/>
              </w:rPr>
              <w:t>, Aviisi,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20">
              <w:r>
                <w:rPr>
                  <w:color w:val="0000FF"/>
                  <w:sz w:val="20"/>
                  <w:u w:val="single" w:color="0000FF"/>
                </w:rPr>
                <w:t>www.aviisi.fi/2016/11/tampere-3-seems-to-be-cracking-but-so-did-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aalto-where-will-the-political-game-lead/</w:t>
            </w:r>
            <w:r>
              <w:rPr>
                <w:color w:val="0000FF"/>
                <w:spacing w:val="-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23 October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[46]</w:t>
            </w:r>
          </w:p>
        </w:tc>
      </w:tr>
      <w:tr>
        <w:trPr>
          <w:trHeight w:val="70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6"/>
              <w:ind w:left="483" w:right="2372" w:hanging="284"/>
              <w:rPr>
                <w:sz w:val="20"/>
              </w:rPr>
            </w:pPr>
            <w:r>
              <w:rPr>
                <w:sz w:val="20"/>
              </w:rPr>
              <w:t>Lukacs, J. (1992), “Finland Vindicated”, </w:t>
            </w:r>
            <w:r>
              <w:rPr>
                <w:rFonts w:ascii="Arial" w:hAnsi="Arial"/>
                <w:i/>
                <w:sz w:val="20"/>
              </w:rPr>
              <w:t>Foreign Affairs</w:t>
            </w:r>
            <w:r>
              <w:rPr>
                <w:sz w:val="20"/>
              </w:rPr>
              <w:t>, Vol. 71/4, p. 50,</w:t>
            </w:r>
            <w:r>
              <w:rPr>
                <w:spacing w:val="-54"/>
                <w:sz w:val="20"/>
              </w:rPr>
              <w:t> </w:t>
            </w:r>
            <w:hyperlink r:id="rId221">
              <w:r>
                <w:rPr>
                  <w:color w:val="0000FF"/>
                  <w:sz w:val="20"/>
                  <w:u w:val="single" w:color="0000FF"/>
                </w:rPr>
                <w:t>http://dx.doi.org/10.2307/20045309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[24]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170" w:hanging="284"/>
              <w:rPr>
                <w:sz w:val="20"/>
              </w:rPr>
            </w:pPr>
            <w:r>
              <w:rPr>
                <w:sz w:val="20"/>
              </w:rPr>
              <w:t>Magalhães,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(2013),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“Governance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autonomy: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Governing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 portuguese higher education”, </w:t>
            </w:r>
            <w:r>
              <w:rPr>
                <w:rFonts w:ascii="Arial" w:hAnsi="Arial"/>
                <w:i/>
                <w:sz w:val="20"/>
              </w:rPr>
              <w:t>Higher Education Policy</w:t>
            </w:r>
            <w:r>
              <w:rPr>
                <w:sz w:val="20"/>
              </w:rPr>
              <w:t>, Vol. 26/2, pp. 243-262,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https://doi.org/10.1057/hep.2012.31</w:t>
            </w:r>
            <w:r>
              <w:rPr>
                <w:sz w:val="20"/>
              </w:rPr>
              <w:t>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[17]</w:t>
            </w:r>
          </w:p>
        </w:tc>
      </w:tr>
      <w:tr>
        <w:trPr>
          <w:trHeight w:val="960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675" w:hanging="284"/>
              <w:jc w:val="both"/>
              <w:rPr>
                <w:sz w:val="20"/>
              </w:rPr>
            </w:pPr>
            <w:r>
              <w:rPr>
                <w:sz w:val="20"/>
              </w:rPr>
              <w:t>MEDC (2015), </w:t>
            </w:r>
            <w:r>
              <w:rPr>
                <w:rFonts w:ascii="Arial"/>
                <w:i/>
                <w:sz w:val="20"/>
              </w:rPr>
              <w:t>Towards a future proof system for higher education and research in Finland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Culture,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Department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Policy,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Helsinki,</w:t>
            </w:r>
            <w:r>
              <w:rPr>
                <w:spacing w:val="-5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http://urn.fi/URN:ISBN:978-952-263-349-1</w:t>
            </w:r>
            <w:r>
              <w:rPr>
                <w:color w:val="0000FF"/>
                <w:spacing w:val="-5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September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[58]</w:t>
            </w:r>
          </w:p>
        </w:tc>
      </w:tr>
      <w:tr>
        <w:trPr>
          <w:trHeight w:val="1219" w:hRule="atLeast"/>
        </w:trPr>
        <w:tc>
          <w:tcPr>
            <w:tcW w:w="8939" w:type="dxa"/>
          </w:tcPr>
          <w:p>
            <w:pPr>
              <w:pStyle w:val="TableParagraph"/>
              <w:spacing w:line="271" w:lineRule="auto" w:before="113"/>
              <w:ind w:left="483" w:right="905" w:hanging="284"/>
              <w:rPr>
                <w:sz w:val="20"/>
              </w:rPr>
            </w:pPr>
            <w:r>
              <w:rPr>
                <w:sz w:val="20"/>
              </w:rPr>
              <w:t>Ministry of Education and Culture of Finland (2014), </w:t>
            </w:r>
            <w:r>
              <w:rPr>
                <w:rFonts w:ascii="Arial"/>
                <w:i/>
                <w:sz w:val="20"/>
              </w:rPr>
              <w:t>Universities of Applied Sciences Act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932/2014</w:t>
            </w:r>
            <w:r>
              <w:rPr>
                <w:sz w:val="20"/>
              </w:rPr>
              <w:t>, Ministry of Education and Culture, Helsinki,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222">
              <w:r>
                <w:rPr>
                  <w:color w:val="0000FF"/>
                  <w:spacing w:val="-1"/>
                  <w:sz w:val="20"/>
                  <w:u w:val="single" w:color="0000FF"/>
                </w:rPr>
                <w:t>www.finlex.fi/fi/laki/kaannokset/2014/en20140932_20160563.pdf</w:t>
              </w:r>
              <w:r>
                <w:rPr>
                  <w:color w:val="0000FF"/>
                  <w:spacing w:val="10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[55]</w:t>
            </w:r>
          </w:p>
        </w:tc>
      </w:tr>
      <w:tr>
        <w:trPr>
          <w:trHeight w:val="864" w:hRule="atLeast"/>
        </w:trPr>
        <w:tc>
          <w:tcPr>
            <w:tcW w:w="8939" w:type="dxa"/>
          </w:tcPr>
          <w:p>
            <w:pPr>
              <w:pStyle w:val="TableParagraph"/>
              <w:spacing w:line="260" w:lineRule="atLeast" w:before="66"/>
              <w:ind w:left="483" w:right="387" w:hanging="284"/>
              <w:rPr>
                <w:sz w:val="20"/>
              </w:rPr>
            </w:pPr>
            <w:r>
              <w:rPr>
                <w:sz w:val="20"/>
              </w:rPr>
              <w:t>Ministry of Education and Culture of Finland (2009), </w:t>
            </w:r>
            <w:r>
              <w:rPr>
                <w:rFonts w:ascii="Arial"/>
                <w:i/>
                <w:sz w:val="20"/>
              </w:rPr>
              <w:t>Universities Act 558/2009</w:t>
            </w:r>
            <w:r>
              <w:rPr>
                <w:sz w:val="20"/>
              </w:rPr>
              <w:t>, Ministry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 and Culture, Helsinki,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165">
              <w:r>
                <w:rPr>
                  <w:color w:val="0000FF"/>
                  <w:sz w:val="20"/>
                  <w:u w:val="single" w:color="0000FF"/>
                </w:rPr>
                <w:t>www.finlex.fi/en/laki/kaannokset/2009/en20090558.pdf</w:t>
              </w:r>
              <w:r>
                <w:rPr>
                  <w:color w:val="0000FF"/>
                  <w:spacing w:val="-3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42" w:type="dxa"/>
          </w:tcPr>
          <w:p>
            <w:pPr>
              <w:pStyle w:val="TableParagraph"/>
              <w:spacing w:before="91"/>
              <w:ind w:left="155" w:right="179"/>
              <w:jc w:val="center"/>
              <w:rPr>
                <w:sz w:val="16"/>
              </w:rPr>
            </w:pPr>
            <w:r>
              <w:rPr>
                <w:sz w:val="16"/>
              </w:rPr>
              <w:t>[42]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91"/>
        <w:gridCol w:w="690"/>
      </w:tblGrid>
      <w:tr>
        <w:trPr>
          <w:trHeight w:val="1125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20"/>
              <w:ind w:left="483" w:right="757" w:hanging="284"/>
              <w:rPr>
                <w:sz w:val="20"/>
              </w:rPr>
            </w:pPr>
            <w:r>
              <w:rPr>
                <w:sz w:val="20"/>
              </w:rPr>
              <w:t>Ministry of Education and Culture of Finland (1997), </w:t>
            </w:r>
            <w:r>
              <w:rPr>
                <w:rFonts w:ascii="Arial"/>
                <w:i/>
                <w:sz w:val="20"/>
              </w:rPr>
              <w:t>Universities Act 645/1997</w:t>
            </w:r>
            <w:r>
              <w:rPr>
                <w:sz w:val="20"/>
              </w:rPr>
              <w:t>, Ministry of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Education and Culture, Helsinki,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https://finlex.fi/fi/laki/kaannokset/1997/en19970645_20061453.pdf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0"/>
              <w:ind w:left="483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90" w:type="dxa"/>
          </w:tcPr>
          <w:p>
            <w:pPr>
              <w:pStyle w:val="TableParagraph"/>
              <w:spacing w:line="179" w:lineRule="exact" w:before="0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[53]</w:t>
            </w:r>
          </w:p>
        </w:tc>
      </w:tr>
      <w:tr>
        <w:trPr>
          <w:trHeight w:val="698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Mora,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(2001),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“Governance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University”,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Tertiary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Education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Management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7, pp.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5-110,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https://doi.org/10.1023/A:1011338016085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[12]</w:t>
            </w:r>
          </w:p>
        </w:tc>
      </w:tr>
      <w:tr>
        <w:trPr>
          <w:trHeight w:val="700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6"/>
              <w:ind w:left="483" w:right="757" w:hanging="284"/>
              <w:rPr>
                <w:sz w:val="20"/>
              </w:rPr>
            </w:pPr>
            <w:r>
              <w:rPr>
                <w:sz w:val="20"/>
              </w:rPr>
              <w:t>MTCES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(2006),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Tertiary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Portugal: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Background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Science,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Lisbon,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https://doi.org/10.1787/104853273381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[9]</w:t>
            </w:r>
          </w:p>
        </w:tc>
      </w:tr>
      <w:tr>
        <w:trPr>
          <w:trHeight w:val="960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3"/>
              <w:ind w:left="483" w:right="103" w:hanging="284"/>
              <w:rPr>
                <w:sz w:val="20"/>
              </w:rPr>
            </w:pPr>
            <w:r>
              <w:rPr>
                <w:sz w:val="20"/>
              </w:rPr>
              <w:t>Myklebust, P. (2019), </w:t>
            </w:r>
            <w:r>
              <w:rPr>
                <w:rFonts w:ascii="Arial"/>
                <w:i/>
                <w:sz w:val="20"/>
              </w:rPr>
              <w:t>Merger makes Tampere the second-largest university</w:t>
            </w:r>
            <w:r>
              <w:rPr>
                <w:sz w:val="20"/>
              </w:rPr>
              <w:t>, University World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News,</w:t>
            </w:r>
            <w:r>
              <w:rPr>
                <w:spacing w:val="6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223">
              <w:r>
                <w:rPr>
                  <w:color w:val="0000FF"/>
                  <w:spacing w:val="-1"/>
                  <w:sz w:val="20"/>
                  <w:u w:val="single" w:color="0000FF"/>
                </w:rPr>
                <w:t>www.universityworldnews.com/post.php?story=2019011013130145</w:t>
              </w:r>
              <w:r>
                <w:rPr>
                  <w:color w:val="0000FF"/>
                  <w:spacing w:val="14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[47]</w:t>
            </w:r>
          </w:p>
        </w:tc>
      </w:tr>
      <w:tr>
        <w:trPr>
          <w:trHeight w:val="701" w:hRule="atLeast"/>
        </w:trPr>
        <w:tc>
          <w:tcPr>
            <w:tcW w:w="8891" w:type="dxa"/>
          </w:tcPr>
          <w:p>
            <w:pPr>
              <w:pStyle w:val="TableParagraph"/>
              <w:spacing w:line="273" w:lineRule="auto" w:before="114"/>
              <w:ind w:left="483" w:right="757" w:hanging="284"/>
              <w:rPr>
                <w:sz w:val="20"/>
              </w:rPr>
            </w:pPr>
            <w:r>
              <w:rPr>
                <w:sz w:val="20"/>
              </w:rPr>
              <w:t>Nokkala, T., J. Välimaa and D. Westerheijden (2016), </w:t>
            </w:r>
            <w:r>
              <w:rPr>
                <w:rFonts w:ascii="Arial" w:hAnsi="Arial"/>
                <w:i/>
                <w:sz w:val="20"/>
              </w:rPr>
              <w:t>Finland - university mergers and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institutional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profiling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European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Commission,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Brussels,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https://doi.org/10.2766/118884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[39]</w:t>
            </w:r>
          </w:p>
        </w:tc>
      </w:tr>
      <w:tr>
        <w:trPr>
          <w:trHeight w:val="698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(2021),</w:t>
            </w:r>
            <w:r>
              <w:rPr>
                <w:spacing w:val="-1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Historical</w:t>
            </w:r>
            <w:r>
              <w:rPr>
                <w:rFonts w:ascii="Arial"/>
                <w:i/>
                <w:spacing w:val="-1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Population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https://stats.oecd.org/Index.aspx?DataSetCode=HISTPOP</w:t>
            </w:r>
            <w:r>
              <w:rPr>
                <w:color w:val="0000FF"/>
                <w:spacing w:val="-5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[4]</w:t>
            </w:r>
          </w:p>
        </w:tc>
      </w:tr>
      <w:tr>
        <w:trPr>
          <w:trHeight w:val="700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6"/>
              <w:ind w:left="483" w:right="1000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Glance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2020: OECD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Indicators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https://dx.doi.org/10.1787/69096873-en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[3]</w:t>
            </w:r>
          </w:p>
        </w:tc>
      </w:tr>
      <w:tr>
        <w:trPr>
          <w:trHeight w:val="700" w:hRule="atLeast"/>
        </w:trPr>
        <w:tc>
          <w:tcPr>
            <w:tcW w:w="8891" w:type="dxa"/>
          </w:tcPr>
          <w:p>
            <w:pPr>
              <w:pStyle w:val="TableParagraph"/>
              <w:spacing w:line="273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Benchmarking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Higher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Performance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 </w:t>
            </w:r>
            <w:r>
              <w:rPr>
                <w:color w:val="0000FF"/>
                <w:sz w:val="20"/>
                <w:u w:val="single" w:color="0000FF"/>
              </w:rPr>
              <w:t>https://dx.doi.org/10.1787/be5514d7-en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[11]</w:t>
            </w:r>
          </w:p>
        </w:tc>
      </w:tr>
      <w:tr>
        <w:trPr>
          <w:trHeight w:val="698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3"/>
              <w:ind w:left="483" w:right="1000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(2019),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Glance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2019: OECD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Indicators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https://dx.doi.org/10.1787/f8d7880d-en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[2]</w:t>
            </w:r>
          </w:p>
        </w:tc>
      </w:tr>
      <w:tr>
        <w:trPr>
          <w:trHeight w:val="701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6"/>
              <w:ind w:left="483" w:right="368" w:hanging="284"/>
              <w:rPr>
                <w:sz w:val="20"/>
              </w:rPr>
            </w:pPr>
            <w:r>
              <w:rPr>
                <w:sz w:val="20"/>
              </w:rPr>
              <w:t>OECD (2019), </w:t>
            </w:r>
            <w:r>
              <w:rPr>
                <w:rFonts w:ascii="Arial"/>
                <w:i/>
                <w:sz w:val="20"/>
              </w:rPr>
              <w:t>OECD Review of Higher Education, Research and Innovation: Portugal</w:t>
            </w:r>
            <w:r>
              <w:rPr>
                <w:sz w:val="20"/>
              </w:rPr>
              <w:t>, OECD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Paris,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https://dx.doi.org/10.1787/9789264308138-en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[5]</w:t>
            </w:r>
          </w:p>
        </w:tc>
      </w:tr>
      <w:tr>
        <w:trPr>
          <w:trHeight w:val="700" w:hRule="atLeast"/>
        </w:trPr>
        <w:tc>
          <w:tcPr>
            <w:tcW w:w="8891" w:type="dxa"/>
          </w:tcPr>
          <w:p>
            <w:pPr>
              <w:pStyle w:val="TableParagraph"/>
              <w:spacing w:line="273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(2017),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OECD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Reviews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Innovation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Policy: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Finland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2017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Reviews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Innovation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Policy,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Publishing, Paris,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https://dx.doi.org/10.1787/9789264276369-en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[29]</w:t>
            </w:r>
          </w:p>
        </w:tc>
      </w:tr>
      <w:tr>
        <w:trPr>
          <w:trHeight w:val="698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3"/>
              <w:ind w:left="483" w:right="335" w:hanging="284"/>
              <w:rPr>
                <w:sz w:val="20"/>
              </w:rPr>
            </w:pPr>
            <w:r>
              <w:rPr>
                <w:sz w:val="20"/>
              </w:rPr>
              <w:t>OECD (2009), </w:t>
            </w:r>
            <w:r>
              <w:rPr>
                <w:rFonts w:ascii="Arial"/>
                <w:i/>
                <w:sz w:val="20"/>
              </w:rPr>
              <w:t>OECD Reviews of Tertiary Education: Finland 2009</w:t>
            </w:r>
            <w:r>
              <w:rPr>
                <w:sz w:val="20"/>
              </w:rPr>
              <w:t>, OECD Reviews of Tertiary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OECD Publishing,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Paris, </w:t>
            </w:r>
            <w:r>
              <w:rPr>
                <w:color w:val="0000FF"/>
                <w:sz w:val="20"/>
                <w:u w:val="single" w:color="0000FF"/>
              </w:rPr>
              <w:t>https://dx.doi.org/10.1787/9789264049048-en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[41]</w:t>
            </w:r>
          </w:p>
        </w:tc>
      </w:tr>
      <w:tr>
        <w:trPr>
          <w:trHeight w:val="959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6"/>
              <w:ind w:left="483" w:right="432" w:hanging="284"/>
              <w:rPr>
                <w:sz w:val="20"/>
              </w:rPr>
            </w:pPr>
            <w:r>
              <w:rPr>
                <w:sz w:val="20"/>
              </w:rPr>
              <w:t>OECD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(2008),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Tertiary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Education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Knowledge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Society: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Volume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Volume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OECD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Reviews of Tertiary Education,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https://dx.doi.org/10.1787/9789264046535-en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[10]</w:t>
            </w:r>
          </w:p>
        </w:tc>
      </w:tr>
      <w:tr>
        <w:trPr>
          <w:trHeight w:val="960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6"/>
              <w:ind w:left="483" w:right="316" w:hanging="284"/>
              <w:rPr>
                <w:sz w:val="20"/>
              </w:rPr>
            </w:pPr>
            <w:r>
              <w:rPr>
                <w:sz w:val="20"/>
              </w:rPr>
              <w:t>OECD (2007), </w:t>
            </w:r>
            <w:r>
              <w:rPr>
                <w:rFonts w:ascii="Arial"/>
                <w:i/>
                <w:sz w:val="20"/>
              </w:rPr>
              <w:t>Reviews of National Policies for Education: Tertiary Education in Portugal 2007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Reviews of National Policies for Education,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https://dx.doi.org/10.1787/9789264009769-en</w:t>
            </w:r>
            <w:r>
              <w:rPr>
                <w:sz w:val="20"/>
              </w:rPr>
              <w:t>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[13]</w:t>
            </w:r>
          </w:p>
        </w:tc>
      </w:tr>
      <w:tr>
        <w:trPr>
          <w:trHeight w:val="700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6"/>
              <w:ind w:left="483" w:right="757" w:hanging="284"/>
              <w:rPr>
                <w:sz w:val="20"/>
              </w:rPr>
            </w:pPr>
            <w:r>
              <w:rPr>
                <w:sz w:val="20"/>
              </w:rPr>
              <w:t>Official Statistics of Finland (2019), </w:t>
            </w:r>
            <w:r>
              <w:rPr>
                <w:rFonts w:ascii="Arial"/>
                <w:i/>
                <w:sz w:val="20"/>
              </w:rPr>
              <w:t>Parliamentary elections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hyperlink r:id="rId224">
              <w:r>
                <w:rPr>
                  <w:color w:val="0000FF"/>
                  <w:sz w:val="20"/>
                  <w:u w:val="single" w:color="0000FF"/>
                </w:rPr>
                <w:t>http://www.stat.fi/til/evaa/index_en.htm</w:t>
              </w:r>
              <w:r>
                <w:rPr>
                  <w:color w:val="0000FF"/>
                  <w:sz w:val="20"/>
                </w:rPr>
                <w:t>l</w:t>
              </w:r>
              <w:r>
                <w:rPr>
                  <w:color w:val="0000FF"/>
                  <w:spacing w:val="-5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[25]</w:t>
            </w:r>
          </w:p>
        </w:tc>
      </w:tr>
      <w:tr>
        <w:trPr>
          <w:trHeight w:val="1123" w:hRule="atLeast"/>
        </w:trPr>
        <w:tc>
          <w:tcPr>
            <w:tcW w:w="8891" w:type="dxa"/>
          </w:tcPr>
          <w:p>
            <w:pPr>
              <w:pStyle w:val="TableParagraph"/>
              <w:spacing w:line="271" w:lineRule="auto" w:before="113"/>
              <w:ind w:left="483" w:hanging="284"/>
              <w:rPr>
                <w:sz w:val="20"/>
              </w:rPr>
            </w:pPr>
            <w:r>
              <w:rPr>
                <w:sz w:val="20"/>
              </w:rPr>
              <w:t>Owal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(2016),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Yliopistolakiuudistuksen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vaikutusten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arviointi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[Impact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assessment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University Reform]</w:t>
            </w:r>
            <w:r>
              <w:rPr>
                <w:sz w:val="20"/>
              </w:rPr>
              <w:t>, Ministry of Education and Culture, Helsinki,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https://julkaisut.valtioneuvosto.fi/bitstream/handle/10024/75416/okm30.pdf?sequence=1</w:t>
            </w:r>
          </w:p>
          <w:p>
            <w:pPr>
              <w:pStyle w:val="TableParagraph"/>
              <w:spacing w:line="210" w:lineRule="exact" w:before="1"/>
              <w:ind w:left="483"/>
              <w:rPr>
                <w:sz w:val="20"/>
              </w:rPr>
            </w:pPr>
            <w:r>
              <w:rPr>
                <w:sz w:val="20"/>
              </w:rPr>
              <w:t>(accessed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September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90" w:type="dxa"/>
          </w:tcPr>
          <w:p>
            <w:pPr>
              <w:pStyle w:val="TableParagraph"/>
              <w:spacing w:before="9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[59]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5"/>
        <w:gridCol w:w="636"/>
      </w:tblGrid>
      <w:tr>
        <w:trPr>
          <w:trHeight w:val="605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20"/>
              <w:ind w:left="483" w:right="300" w:hanging="284"/>
              <w:rPr>
                <w:sz w:val="20"/>
              </w:rPr>
            </w:pPr>
            <w:r>
              <w:rPr>
                <w:sz w:val="20"/>
              </w:rPr>
              <w:t>Pekkola, E. et al. (eds.) (2018), </w:t>
            </w:r>
            <w:r>
              <w:rPr>
                <w:rFonts w:ascii="Arial"/>
                <w:i/>
                <w:sz w:val="20"/>
              </w:rPr>
              <w:t>University autonomy: From past to present</w:t>
            </w:r>
            <w:r>
              <w:rPr>
                <w:sz w:val="20"/>
              </w:rPr>
              <w:t>, Tampere University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Tampere,</w:t>
            </w:r>
            <w:r>
              <w:rPr>
                <w:spacing w:val="-1"/>
                <w:sz w:val="20"/>
              </w:rPr>
              <w:t> </w:t>
            </w:r>
            <w:hyperlink r:id="rId225">
              <w:r>
                <w:rPr>
                  <w:color w:val="0000FF"/>
                  <w:sz w:val="20"/>
                  <w:u w:val="single" w:color="0000FF"/>
                </w:rPr>
                <w:t>http://library.oapen.org/handle/20.500.12657/28911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36" w:type="dxa"/>
          </w:tcPr>
          <w:p>
            <w:pPr>
              <w:pStyle w:val="TableParagraph"/>
              <w:spacing w:line="179" w:lineRule="exact" w:before="0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[57]</w:t>
            </w:r>
          </w:p>
        </w:tc>
      </w:tr>
      <w:tr>
        <w:trPr>
          <w:trHeight w:val="700" w:hRule="atLeast"/>
        </w:trPr>
        <w:tc>
          <w:tcPr>
            <w:tcW w:w="8945" w:type="dxa"/>
          </w:tcPr>
          <w:p>
            <w:pPr>
              <w:pStyle w:val="TableParagraph"/>
              <w:spacing w:line="273" w:lineRule="auto" w:before="113"/>
              <w:ind w:left="483" w:right="300" w:hanging="284"/>
              <w:rPr>
                <w:sz w:val="20"/>
              </w:rPr>
            </w:pPr>
            <w:r>
              <w:rPr>
                <w:sz w:val="20"/>
              </w:rPr>
              <w:t>Pusser,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(eds.)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(2012),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Corporatization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National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Universities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Finland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Routledge,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York,</w:t>
            </w:r>
            <w:r>
              <w:rPr>
                <w:spacing w:val="-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https://doi.org/10.4324/9780203847848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[38]</w:t>
            </w:r>
          </w:p>
        </w:tc>
      </w:tr>
      <w:tr>
        <w:trPr>
          <w:trHeight w:val="960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3"/>
              <w:ind w:left="483" w:right="382" w:hanging="284"/>
              <w:rPr>
                <w:sz w:val="20"/>
              </w:rPr>
            </w:pPr>
            <w:r>
              <w:rPr>
                <w:sz w:val="20"/>
              </w:rPr>
              <w:t>ReferNet Finland (2014), </w:t>
            </w:r>
            <w:r>
              <w:rPr>
                <w:rFonts w:ascii="Arial"/>
                <w:i/>
                <w:sz w:val="20"/>
              </w:rPr>
              <w:t>Finland: Polytechnics reform focuses on performance-based funding</w:t>
            </w:r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26">
              <w:r>
                <w:rPr>
                  <w:color w:val="0000FF"/>
                  <w:sz w:val="20"/>
                  <w:u w:val="single" w:color="0000FF"/>
                </w:rPr>
                <w:t>www.cedefop.europa.eu/en/news-and-press/news/finland-polytechnics-reform-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focuses-performance-based-funding</w:t>
            </w:r>
            <w:r>
              <w:rPr>
                <w:color w:val="0000FF"/>
                <w:spacing w:val="-2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 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[54]</w:t>
            </w:r>
          </w:p>
        </w:tc>
      </w:tr>
      <w:tr>
        <w:trPr>
          <w:trHeight w:val="1219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3"/>
              <w:ind w:left="483" w:right="323" w:hanging="284"/>
              <w:rPr>
                <w:sz w:val="20"/>
              </w:rPr>
            </w:pPr>
            <w:r>
              <w:rPr>
                <w:sz w:val="20"/>
              </w:rPr>
              <w:t>Saarinen, S. (2019), </w:t>
            </w:r>
            <w:r>
              <w:rPr>
                <w:rFonts w:ascii="Arial"/>
                <w:i/>
                <w:sz w:val="20"/>
              </w:rPr>
              <w:t>The new funding model for universities emphasises completed degrees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University of Helsinki, Helsinki,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27">
              <w:r>
                <w:rPr>
                  <w:color w:val="0000FF"/>
                  <w:sz w:val="20"/>
                  <w:u w:val="single" w:color="0000FF"/>
                </w:rPr>
                <w:t>www.helsinki.fi/en/news/higher-education-science-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policy/the-new-funding-model-for-universities-emphasises-completed-degrees</w:t>
            </w:r>
            <w:r>
              <w:rPr>
                <w:color w:val="0000FF"/>
                <w:spacing w:val="7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October 2020).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[32]</w:t>
            </w:r>
          </w:p>
        </w:tc>
      </w:tr>
      <w:tr>
        <w:trPr>
          <w:trHeight w:val="960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4"/>
              <w:ind w:left="483" w:right="966" w:hanging="284"/>
              <w:rPr>
                <w:sz w:val="20"/>
              </w:rPr>
            </w:pPr>
            <w:r>
              <w:rPr>
                <w:sz w:val="20"/>
              </w:rPr>
              <w:t>Saarivirta, T. (2010), “Finnish Higher Education Expansion and Regional Policy”, </w:t>
            </w:r>
            <w:r>
              <w:rPr>
                <w:rFonts w:ascii="Arial" w:hAnsi="Arial"/>
                <w:i/>
                <w:sz w:val="20"/>
              </w:rPr>
              <w:t>Higher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Education Quarterly</w:t>
            </w:r>
            <w:r>
              <w:rPr>
                <w:sz w:val="20"/>
              </w:rPr>
              <w:t>, Vol. 64/4, pp. 353-372, </w:t>
            </w:r>
            <w:hyperlink r:id="rId228">
              <w:r>
                <w:rPr>
                  <w:color w:val="0000FF"/>
                  <w:sz w:val="20"/>
                  <w:u w:val="single" w:color="0000FF"/>
                </w:rPr>
                <w:t>http://dx.doi.org/10.1111/j.1468-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2273.2010.00455.x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[34]</w:t>
            </w:r>
          </w:p>
        </w:tc>
      </w:tr>
      <w:tr>
        <w:trPr>
          <w:trHeight w:val="1219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3"/>
              <w:ind w:left="483" w:right="522" w:hanging="284"/>
              <w:rPr>
                <w:sz w:val="20"/>
              </w:rPr>
            </w:pPr>
            <w:r>
              <w:rPr>
                <w:sz w:val="20"/>
              </w:rPr>
              <w:t>Stenström, M. and M. Virolainen (2014), </w:t>
            </w:r>
            <w:r>
              <w:rPr>
                <w:rFonts w:ascii="Arial" w:hAnsi="Arial"/>
                <w:i/>
                <w:sz w:val="20"/>
              </w:rPr>
              <w:t>The History of Finnish Vocational Education and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Training</w:t>
            </w:r>
            <w:r>
              <w:rPr>
                <w:sz w:val="20"/>
              </w:rPr>
              <w:t>, Finnish Institute for Educational Research University of Jyväskylä, Jyväskylä,</w:t>
            </w:r>
            <w:r>
              <w:rPr>
                <w:spacing w:val="1"/>
                <w:sz w:val="20"/>
              </w:rPr>
              <w:t> </w:t>
            </w:r>
            <w:hyperlink r:id="rId229">
              <w:r>
                <w:rPr>
                  <w:color w:val="0000FF"/>
                  <w:spacing w:val="-1"/>
                  <w:sz w:val="20"/>
                  <w:u w:val="single" w:color="0000FF"/>
                </w:rPr>
                <w:t>http://nord-vet.dk/indhold/uploads/History-of-Finnish-VET-29062014final.pdf</w:t>
              </w:r>
              <w:r>
                <w:rPr>
                  <w:color w:val="0000FF"/>
                  <w:spacing w:val="10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[36]</w:t>
            </w:r>
          </w:p>
        </w:tc>
      </w:tr>
      <w:tr>
        <w:trPr>
          <w:trHeight w:val="960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6"/>
              <w:ind w:left="483" w:right="908" w:hanging="284"/>
              <w:rPr>
                <w:sz w:val="20"/>
              </w:rPr>
            </w:pPr>
            <w:r>
              <w:rPr>
                <w:sz w:val="20"/>
              </w:rPr>
              <w:t>Tompson,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(2009),</w:t>
            </w:r>
            <w:r>
              <w:rPr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 Political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Economy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Reform: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Lessons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Pensions,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5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Markets and Labour Markets in Ten OECD Countries</w:t>
            </w:r>
            <w:r>
              <w:rPr>
                <w:sz w:val="20"/>
              </w:rPr>
              <w:t>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https://dx.doi.org/10.1787/9789264073111-en</w:t>
            </w:r>
            <w:r>
              <w:rPr>
                <w:sz w:val="20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9" w:right="94"/>
              <w:jc w:val="center"/>
              <w:rPr>
                <w:sz w:val="16"/>
              </w:rPr>
            </w:pPr>
            <w:r>
              <w:rPr>
                <w:sz w:val="16"/>
              </w:rPr>
              <w:t>[1]</w:t>
            </w:r>
          </w:p>
        </w:tc>
      </w:tr>
      <w:tr>
        <w:trPr>
          <w:trHeight w:val="960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6"/>
              <w:ind w:left="483" w:right="169" w:hanging="284"/>
              <w:rPr>
                <w:sz w:val="20"/>
              </w:rPr>
            </w:pPr>
            <w:r>
              <w:rPr>
                <w:sz w:val="20"/>
              </w:rPr>
              <w:t>Tuulos, T. (2017), </w:t>
            </w:r>
            <w:r>
              <w:rPr>
                <w:rFonts w:ascii="Arial"/>
                <w:i/>
                <w:sz w:val="20"/>
              </w:rPr>
              <w:t>An experimental learning platform to foster university-industry collaboration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230">
              <w:r>
                <w:rPr>
                  <w:color w:val="0000FF"/>
                  <w:spacing w:val="-1"/>
                  <w:sz w:val="20"/>
                  <w:u w:val="single" w:color="0000FF"/>
                </w:rPr>
                <w:t>www.itu.int/en/ITU-D/Capacity-Building/Documents/ITU-Academia</w:t>
              </w:r>
              <w:r>
                <w:rPr>
                  <w:color w:val="0000FF"/>
                  <w:spacing w:val="3"/>
                  <w:sz w:val="20"/>
                  <w:u w:val="single" w:color="0000FF"/>
                </w:rPr>
                <w:t> </w:t>
              </w:r>
              <w:r>
                <w:rPr>
                  <w:color w:val="0000FF"/>
                  <w:sz w:val="20"/>
                  <w:u w:val="single" w:color="0000FF"/>
                </w:rPr>
                <w:t>Partnership</w:t>
              </w:r>
              <w:r>
                <w:rPr>
                  <w:color w:val="0000FF"/>
                  <w:spacing w:val="5"/>
                  <w:sz w:val="20"/>
                  <w:u w:val="single" w:color="0000FF"/>
                </w:rPr>
                <w:t> </w:t>
              </w:r>
              <w:r>
                <w:rPr>
                  <w:color w:val="0000FF"/>
                  <w:sz w:val="20"/>
                  <w:u w:val="single" w:color="0000FF"/>
                </w:rPr>
                <w:t>Meeting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2017/Presentations/Session</w:t>
            </w:r>
            <w:r>
              <w:rPr>
                <w:color w:val="0000FF"/>
                <w:spacing w:val="-3"/>
                <w:sz w:val="20"/>
                <w:u w:val="single" w:color="0000FF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4/3TiinaTuulos.pdf</w:t>
            </w:r>
            <w:r>
              <w:rPr>
                <w:color w:val="0000FF"/>
                <w:spacing w:val="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[51]</w:t>
            </w:r>
          </w:p>
        </w:tc>
      </w:tr>
      <w:tr>
        <w:trPr>
          <w:trHeight w:val="441" w:hRule="atLeast"/>
        </w:trPr>
        <w:tc>
          <w:tcPr>
            <w:tcW w:w="8945" w:type="dxa"/>
          </w:tcPr>
          <w:p>
            <w:pPr>
              <w:pStyle w:val="TableParagraph"/>
              <w:spacing w:before="116"/>
              <w:ind w:left="200"/>
              <w:rPr>
                <w:sz w:val="20"/>
              </w:rPr>
            </w:pPr>
            <w:r>
              <w:rPr>
                <w:sz w:val="20"/>
              </w:rPr>
              <w:t>UNIFI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(n.d.),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Universities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Finland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hyperlink r:id="rId231">
              <w:r>
                <w:rPr>
                  <w:color w:val="0000FF"/>
                  <w:sz w:val="20"/>
                  <w:u w:val="single" w:color="0000FF"/>
                </w:rPr>
                <w:t>http://www.unifi.fi/in-english/</w:t>
              </w:r>
              <w:r>
                <w:rPr>
                  <w:color w:val="0000FF"/>
                  <w:spacing w:val="-4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[28]</w:t>
            </w:r>
          </w:p>
        </w:tc>
      </w:tr>
      <w:tr>
        <w:trPr>
          <w:trHeight w:val="960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3"/>
              <w:ind w:left="483" w:right="169" w:hanging="284"/>
              <w:rPr>
                <w:sz w:val="20"/>
              </w:rPr>
            </w:pPr>
            <w:r>
              <w:rPr>
                <w:sz w:val="20"/>
              </w:rPr>
              <w:t>Universidade do Minho (n.d.), </w:t>
            </w:r>
            <w:r>
              <w:rPr>
                <w:rFonts w:ascii="Arial"/>
                <w:i/>
                <w:sz w:val="20"/>
              </w:rPr>
              <w:t>Programme Innovative Car HMI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</w:t>
            </w:r>
            <w:hyperlink r:id="rId232">
              <w:r>
                <w:rPr>
                  <w:color w:val="0000FF"/>
                  <w:spacing w:val="-1"/>
                  <w:sz w:val="20"/>
                  <w:u w:val="single" w:color="0000FF"/>
                </w:rPr>
                <w:t>www.eng.uminho.pt/en/researchinnovate/projectsinindustry/Pages/programmeinnovati</w:t>
              </w:r>
            </w:hyperlink>
            <w:r>
              <w:rPr>
                <w:color w:val="0000FF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vecarhmi.aspx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[22]</w:t>
            </w:r>
          </w:p>
        </w:tc>
      </w:tr>
      <w:tr>
        <w:trPr>
          <w:trHeight w:val="960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3"/>
              <w:ind w:left="483" w:right="236" w:hanging="284"/>
              <w:rPr>
                <w:sz w:val="20"/>
              </w:rPr>
            </w:pPr>
            <w:r>
              <w:rPr>
                <w:sz w:val="20"/>
              </w:rPr>
              <w:t>University of Helsinki (2020), </w:t>
            </w:r>
            <w:r>
              <w:rPr>
                <w:rFonts w:ascii="Arial"/>
                <w:i/>
                <w:sz w:val="20"/>
              </w:rPr>
              <w:t>A tailored career path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33">
              <w:r>
                <w:rPr>
                  <w:color w:val="0000FF"/>
                  <w:sz w:val="20"/>
                  <w:u w:val="single" w:color="0000FF"/>
                </w:rPr>
                <w:t>www.helsinki.fi/en/university/careers-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at-the-university-of-helsinki/tenure-track/a-tailored-career-path</w:t>
            </w:r>
            <w:r>
              <w:rPr>
                <w:color w:val="0000FF"/>
                <w:spacing w:val="-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4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[52]</w:t>
            </w:r>
          </w:p>
        </w:tc>
      </w:tr>
      <w:tr>
        <w:trPr>
          <w:trHeight w:val="698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3"/>
              <w:ind w:left="483" w:right="973" w:hanging="284"/>
              <w:rPr>
                <w:sz w:val="20"/>
              </w:rPr>
            </w:pPr>
            <w:r>
              <w:rPr>
                <w:sz w:val="20"/>
              </w:rPr>
              <w:t>University of Turku (n.d.), </w:t>
            </w:r>
            <w:r>
              <w:rPr>
                <w:rFonts w:ascii="Arial"/>
                <w:i/>
                <w:sz w:val="20"/>
              </w:rPr>
              <w:t>University Consortium of Pori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</w:t>
            </w:r>
            <w:hyperlink r:id="rId234">
              <w:r>
                <w:rPr>
                  <w:color w:val="0000FF"/>
                  <w:sz w:val="20"/>
                  <w:u w:val="single" w:color="0000FF"/>
                </w:rPr>
                <w:t>www.utu.fi/en/university-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consortium-of-por</w:t>
            </w:r>
            <w:r>
              <w:rPr>
                <w:color w:val="0000FF"/>
                <w:sz w:val="20"/>
              </w:rPr>
              <w:t>i</w:t>
            </w:r>
            <w:r>
              <w:rPr>
                <w:color w:val="0000FF"/>
                <w:spacing w:val="-3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[44]</w:t>
            </w:r>
          </w:p>
        </w:tc>
      </w:tr>
      <w:tr>
        <w:trPr>
          <w:trHeight w:val="960" w:hRule="atLeast"/>
        </w:trPr>
        <w:tc>
          <w:tcPr>
            <w:tcW w:w="8945" w:type="dxa"/>
          </w:tcPr>
          <w:p>
            <w:pPr>
              <w:pStyle w:val="TableParagraph"/>
              <w:spacing w:line="271" w:lineRule="auto" w:before="116"/>
              <w:ind w:left="483" w:right="169" w:hanging="284"/>
              <w:rPr>
                <w:sz w:val="20"/>
              </w:rPr>
            </w:pPr>
            <w:r>
              <w:rPr>
                <w:sz w:val="20"/>
              </w:rPr>
              <w:t>Välimaa, J., D. Hoffman and M. Huusko (2007), “The Bologna Process in Finland”, in </w:t>
            </w:r>
            <w:r>
              <w:rPr>
                <w:rFonts w:ascii="Arial" w:hAnsi="Arial"/>
                <w:i/>
                <w:sz w:val="20"/>
              </w:rPr>
              <w:t>Higher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Education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Dynamics,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Creating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European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Area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Higher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Education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Springer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Netherlands,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Dordrecht, </w:t>
            </w:r>
            <w:hyperlink r:id="rId235">
              <w:r>
                <w:rPr>
                  <w:color w:val="0000FF"/>
                  <w:sz w:val="20"/>
                  <w:u w:val="single" w:color="0000FF"/>
                </w:rPr>
                <w:t>http://dx.doi.org/10.1007/978-1-4020-4616-2_3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[40]</w:t>
            </w:r>
          </w:p>
        </w:tc>
      </w:tr>
      <w:tr>
        <w:trPr>
          <w:trHeight w:val="605" w:hRule="atLeast"/>
        </w:trPr>
        <w:tc>
          <w:tcPr>
            <w:tcW w:w="8945" w:type="dxa"/>
          </w:tcPr>
          <w:p>
            <w:pPr>
              <w:pStyle w:val="TableParagraph"/>
              <w:spacing w:line="260" w:lineRule="atLeast" w:before="66"/>
              <w:ind w:left="483" w:right="366" w:hanging="284"/>
              <w:rPr>
                <w:sz w:val="20"/>
              </w:rPr>
            </w:pPr>
            <w:r>
              <w:rPr>
                <w:sz w:val="20"/>
              </w:rPr>
              <w:t>Valtioneuvosto (n.d.), </w:t>
            </w:r>
            <w:r>
              <w:rPr>
                <w:rFonts w:ascii="Arial" w:hAnsi="Arial"/>
                <w:i/>
                <w:sz w:val="20"/>
              </w:rPr>
              <w:t>Ministries’ contact detail</w:t>
            </w:r>
            <w:r>
              <w:rPr>
                <w:sz w:val="20"/>
              </w:rPr>
              <w:t>, </w:t>
            </w:r>
            <w:r>
              <w:rPr>
                <w:color w:val="0000FF"/>
                <w:sz w:val="20"/>
                <w:u w:val="single" w:color="0000FF"/>
              </w:rPr>
              <w:t>https://valtioneuvosto.fi/en/ministries</w:t>
            </w:r>
            <w:r>
              <w:rPr>
                <w:color w:val="0000FF"/>
                <w:sz w:val="20"/>
              </w:rPr>
              <w:t> </w:t>
            </w:r>
            <w:r>
              <w:rPr>
                <w:sz w:val="20"/>
              </w:rPr>
              <w:t>(accessed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2020).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left="148" w:right="178"/>
              <w:jc w:val="center"/>
              <w:rPr>
                <w:sz w:val="16"/>
              </w:rPr>
            </w:pPr>
            <w:r>
              <w:rPr>
                <w:sz w:val="16"/>
              </w:rPr>
              <w:t>[26]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95"/>
        <w:gridCol w:w="685"/>
      </w:tblGrid>
      <w:tr>
        <w:trPr>
          <w:trHeight w:val="864" w:hRule="atLeast"/>
        </w:trPr>
        <w:tc>
          <w:tcPr>
            <w:tcW w:w="8895" w:type="dxa"/>
          </w:tcPr>
          <w:p>
            <w:pPr>
              <w:pStyle w:val="TableParagraph"/>
              <w:spacing w:line="271" w:lineRule="auto" w:before="20"/>
              <w:ind w:left="483" w:right="139" w:hanging="284"/>
              <w:rPr>
                <w:sz w:val="20"/>
              </w:rPr>
            </w:pPr>
            <w:r>
              <w:rPr>
                <w:sz w:val="20"/>
              </w:rPr>
              <w:t>Vartiainen,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(2016),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“Campus-based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tensions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structural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newly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merged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university: the case of the University of Eastern Finland”, </w:t>
            </w:r>
            <w:r>
              <w:rPr>
                <w:rFonts w:ascii="Arial" w:hAnsi="Arial"/>
                <w:i/>
                <w:sz w:val="20"/>
              </w:rPr>
              <w:t>Tertiary Education and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Management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Vol. 23/1,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pp.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53-68,</w:t>
            </w:r>
            <w:r>
              <w:rPr>
                <w:spacing w:val="-4"/>
                <w:sz w:val="20"/>
              </w:rPr>
              <w:t> </w:t>
            </w:r>
            <w:hyperlink r:id="rId236">
              <w:r>
                <w:rPr>
                  <w:color w:val="0000FF"/>
                  <w:sz w:val="20"/>
                  <w:u w:val="single" w:color="0000FF"/>
                </w:rPr>
                <w:t>http://dx.doi.org/10.1080/13583883.2016.1205123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85" w:type="dxa"/>
          </w:tcPr>
          <w:p>
            <w:pPr>
              <w:pStyle w:val="TableParagraph"/>
              <w:spacing w:line="179" w:lineRule="exact" w:before="0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[43]</w:t>
            </w:r>
          </w:p>
        </w:tc>
      </w:tr>
      <w:tr>
        <w:trPr>
          <w:trHeight w:val="960" w:hRule="atLeast"/>
        </w:trPr>
        <w:tc>
          <w:tcPr>
            <w:tcW w:w="8895" w:type="dxa"/>
          </w:tcPr>
          <w:p>
            <w:pPr>
              <w:pStyle w:val="TableParagraph"/>
              <w:spacing w:line="271" w:lineRule="auto" w:before="116"/>
              <w:ind w:left="483" w:right="139" w:hanging="284"/>
              <w:rPr>
                <w:sz w:val="20"/>
              </w:rPr>
            </w:pPr>
            <w:r>
              <w:rPr>
                <w:sz w:val="20"/>
              </w:rPr>
              <w:t>Vellamo,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(2020),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“Technical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Identity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MergerProcess—Between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Place”, in </w:t>
            </w:r>
            <w:r>
              <w:rPr>
                <w:rFonts w:ascii="Arial" w:hAnsi="Arial"/>
                <w:i/>
                <w:sz w:val="20"/>
              </w:rPr>
              <w:t>Higher Education Dynamics, Technical Universities</w:t>
            </w:r>
            <w:r>
              <w:rPr>
                <w:sz w:val="20"/>
              </w:rPr>
              <w:t>, Springer International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Cham,</w:t>
            </w:r>
            <w:r>
              <w:rPr>
                <w:spacing w:val="-1"/>
                <w:sz w:val="20"/>
              </w:rPr>
              <w:t> </w:t>
            </w:r>
            <w:hyperlink r:id="rId237">
              <w:r>
                <w:rPr>
                  <w:color w:val="0000FF"/>
                  <w:sz w:val="20"/>
                  <w:u w:val="single" w:color="0000FF"/>
                </w:rPr>
                <w:t>http://dx.doi.org/10.1007/978-3-030-50555-4_9</w:t>
              </w:r>
              <w:r>
                <w:rPr>
                  <w:sz w:val="20"/>
                </w:rPr>
                <w:t>.</w:t>
              </w:r>
            </w:hyperlink>
          </w:p>
        </w:tc>
        <w:tc>
          <w:tcPr>
            <w:tcW w:w="685" w:type="dxa"/>
          </w:tcPr>
          <w:p>
            <w:pPr>
              <w:pStyle w:val="TableParagraph"/>
              <w:spacing w:before="91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[48]</w:t>
            </w:r>
          </w:p>
        </w:tc>
      </w:tr>
      <w:tr>
        <w:trPr>
          <w:trHeight w:val="864" w:hRule="atLeast"/>
        </w:trPr>
        <w:tc>
          <w:tcPr>
            <w:tcW w:w="8895" w:type="dxa"/>
          </w:tcPr>
          <w:p>
            <w:pPr>
              <w:pStyle w:val="TableParagraph"/>
              <w:spacing w:line="260" w:lineRule="atLeast" w:before="66"/>
              <w:ind w:left="483" w:right="442" w:hanging="284"/>
              <w:rPr>
                <w:sz w:val="20"/>
              </w:rPr>
            </w:pPr>
            <w:r>
              <w:rPr>
                <w:sz w:val="20"/>
              </w:rPr>
              <w:t>Williams, J. (2017), “Collaboration, alliance, and merger among higher education institutions”</w:t>
            </w:r>
            <w:r>
              <w:rPr>
                <w:rFonts w:ascii="Arial" w:hAnsi="Arial"/>
                <w:i/>
                <w:sz w:val="20"/>
              </w:rPr>
              <w:t>,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OECD Education Working Papers</w:t>
            </w:r>
            <w:r>
              <w:rPr>
                <w:sz w:val="20"/>
              </w:rPr>
              <w:t>, No. 160, OECD Publishing, Paris,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0000FF"/>
                <w:sz w:val="20"/>
                <w:u w:val="single" w:color="0000FF"/>
              </w:rPr>
              <w:t>https://dx.doi.org/10.1787/cf14d4b5-en</w:t>
            </w:r>
            <w:r>
              <w:rPr>
                <w:sz w:val="20"/>
              </w:rPr>
              <w:t>.</w:t>
            </w:r>
          </w:p>
        </w:tc>
        <w:tc>
          <w:tcPr>
            <w:tcW w:w="685" w:type="dxa"/>
          </w:tcPr>
          <w:p>
            <w:pPr>
              <w:pStyle w:val="TableParagraph"/>
              <w:spacing w:before="91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[45]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5880"/>
          <w:pgMar w:header="734" w:footer="731" w:top="1200" w:bottom="920" w:left="1120" w:right="10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even" r:id="rId238"/>
          <w:footerReference w:type="even" r:id="rId239"/>
          <w:pgSz w:w="11910" w:h="15880"/>
          <w:pgMar w:header="0" w:footer="0" w:top="1500" w:bottom="280" w:left="1120" w:right="1000"/>
        </w:sectPr>
      </w:pPr>
    </w:p>
    <w:p>
      <w:pPr>
        <w:spacing w:before="123"/>
        <w:ind w:left="183" w:right="0" w:firstLine="0"/>
        <w:jc w:val="both"/>
        <w:rPr>
          <w:rFonts w:ascii="Arial"/>
          <w:b/>
          <w:sz w:val="48"/>
        </w:rPr>
      </w:pPr>
      <w:bookmarkStart w:name="Annex B. Participating stakeholder organ" w:id="188"/>
      <w:bookmarkEnd w:id="188"/>
      <w:r>
        <w:rPr/>
      </w:r>
      <w:bookmarkStart w:name="_bookmark73" w:id="189"/>
      <w:bookmarkEnd w:id="189"/>
      <w:r>
        <w:rPr/>
      </w:r>
      <w:r>
        <w:rPr>
          <w:rFonts w:ascii="Arial"/>
          <w:b/>
          <w:color w:val="4E81BD"/>
          <w:w w:val="80"/>
          <w:sz w:val="48"/>
        </w:rPr>
        <w:t>Annex</w:t>
      </w:r>
      <w:r>
        <w:rPr>
          <w:rFonts w:ascii="Arial"/>
          <w:b/>
          <w:color w:val="4E81BD"/>
          <w:spacing w:val="51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B.</w:t>
      </w:r>
      <w:r>
        <w:rPr>
          <w:rFonts w:ascii="Arial"/>
          <w:b/>
          <w:color w:val="4E81BD"/>
          <w:spacing w:val="85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Participating</w:t>
      </w:r>
      <w:r>
        <w:rPr>
          <w:rFonts w:ascii="Arial"/>
          <w:b/>
          <w:color w:val="4E81BD"/>
          <w:spacing w:val="47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stakeholder</w:t>
      </w:r>
      <w:r>
        <w:rPr>
          <w:rFonts w:ascii="Arial"/>
          <w:b/>
          <w:color w:val="4E81BD"/>
          <w:spacing w:val="51"/>
          <w:w w:val="80"/>
          <w:sz w:val="48"/>
        </w:rPr>
        <w:t> </w:t>
      </w:r>
      <w:r>
        <w:rPr>
          <w:rFonts w:ascii="Arial"/>
          <w:b/>
          <w:color w:val="4E81BD"/>
          <w:w w:val="80"/>
          <w:sz w:val="48"/>
        </w:rPr>
        <w:t>organisations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6"/>
        <w:rPr>
          <w:rFonts w:ascii="Arial"/>
          <w:b/>
          <w:sz w:val="80"/>
        </w:rPr>
      </w:pPr>
    </w:p>
    <w:p>
      <w:pPr>
        <w:pStyle w:val="BodyText"/>
        <w:spacing w:line="271" w:lineRule="auto"/>
        <w:ind w:left="183" w:right="30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project</w:t>
      </w:r>
      <w:r>
        <w:rPr>
          <w:spacing w:val="-13"/>
        </w:rPr>
        <w:t> </w:t>
      </w:r>
      <w:r>
        <w:rPr>
          <w:spacing w:val="-1"/>
        </w:rPr>
        <w:t>“Improving</w:t>
      </w:r>
      <w:r>
        <w:rPr>
          <w:spacing w:val="-14"/>
        </w:rPr>
        <w:t> </w:t>
      </w:r>
      <w:r>
        <w:rPr>
          <w:spacing w:val="-1"/>
        </w:rPr>
        <w:t>Higher</w:t>
      </w:r>
      <w:r>
        <w:rPr>
          <w:spacing w:val="-11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Slovak</w:t>
      </w:r>
      <w:r>
        <w:rPr>
          <w:spacing w:val="-10"/>
        </w:rPr>
        <w:t> </w:t>
      </w:r>
      <w:r>
        <w:rPr>
          <w:spacing w:val="-1"/>
        </w:rPr>
        <w:t>Republic”</w:t>
      </w:r>
      <w:r>
        <w:rPr>
          <w:spacing w:val="-12"/>
        </w:rPr>
        <w:t> </w:t>
      </w:r>
      <w:r>
        <w:rPr>
          <w:spacing w:val="-1"/>
        </w:rPr>
        <w:t>involved</w:t>
      </w:r>
      <w:r>
        <w:rPr>
          <w:spacing w:val="-14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stakeholder</w:t>
      </w:r>
      <w:r>
        <w:rPr>
          <w:spacing w:val="-10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activities, including regular meeting of a Working Group composed of policy makers, interviews and</w:t>
      </w:r>
      <w:r>
        <w:rPr>
          <w:spacing w:val="1"/>
        </w:rPr>
        <w:t> </w:t>
      </w:r>
      <w:r>
        <w:rPr/>
        <w:t>institutional roundtables with higher education stakeholders, and an international peer-learning webinar</w:t>
      </w:r>
      <w:r>
        <w:rPr>
          <w:spacing w:val="1"/>
        </w:rPr>
        <w:t> </w:t>
      </w:r>
      <w:r>
        <w:rPr/>
        <w:t>providing</w:t>
      </w:r>
      <w:r>
        <w:rPr>
          <w:spacing w:val="-2"/>
        </w:rPr>
        <w:t> </w:t>
      </w:r>
      <w:r>
        <w:rPr/>
        <w:t>insights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experts to interest Slovak</w:t>
      </w:r>
      <w:r>
        <w:rPr>
          <w:spacing w:val="1"/>
        </w:rPr>
        <w:t> </w:t>
      </w:r>
      <w:r>
        <w:rPr/>
        <w:t>stakeholders.</w:t>
      </w:r>
    </w:p>
    <w:p>
      <w:pPr>
        <w:pStyle w:val="BodyText"/>
        <w:spacing w:line="271" w:lineRule="auto" w:before="120"/>
        <w:ind w:left="183" w:right="311"/>
        <w:jc w:val="both"/>
      </w:pPr>
      <w:r>
        <w:rPr/>
        <w:t>The</w:t>
      </w:r>
      <w:r>
        <w:rPr>
          <w:spacing w:val="-9"/>
        </w:rPr>
        <w:t> </w:t>
      </w:r>
      <w:r>
        <w:rPr/>
        <w:t>table</w:t>
      </w:r>
      <w:r>
        <w:rPr>
          <w:spacing w:val="-9"/>
        </w:rPr>
        <w:t> </w:t>
      </w:r>
      <w:r>
        <w:rPr/>
        <w:t>below</w:t>
      </w:r>
      <w:r>
        <w:rPr>
          <w:spacing w:val="-9"/>
        </w:rPr>
        <w:t> </w:t>
      </w:r>
      <w:r>
        <w:rPr/>
        <w:t>lists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organisations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participated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Working</w:t>
      </w:r>
      <w:r>
        <w:rPr>
          <w:spacing w:val="-9"/>
        </w:rPr>
        <w:t> </w:t>
      </w:r>
      <w:r>
        <w:rPr/>
        <w:t>Group,</w:t>
      </w:r>
      <w:r>
        <w:rPr>
          <w:spacing w:val="-9"/>
        </w:rPr>
        <w:t> </w:t>
      </w:r>
      <w:r>
        <w:rPr/>
        <w:t>interviews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roundtables,</w:t>
      </w:r>
      <w:r>
        <w:rPr>
          <w:spacing w:val="1"/>
        </w:rPr>
        <w:t> </w:t>
      </w:r>
      <w:r>
        <w:rPr/>
        <w:t>whose representatives provided input informing the analysis and recommendations contained in this</w:t>
      </w:r>
      <w:r>
        <w:rPr>
          <w:spacing w:val="1"/>
        </w:rPr>
        <w:t> </w:t>
      </w:r>
      <w:r>
        <w:rPr/>
        <w:t>report.</w:t>
      </w:r>
    </w:p>
    <w:p>
      <w:pPr>
        <w:pStyle w:val="BodyText"/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5"/>
      </w:tblGrid>
      <w:tr>
        <w:trPr>
          <w:trHeight w:val="241" w:hRule="atLeast"/>
        </w:trPr>
        <w:tc>
          <w:tcPr>
            <w:tcW w:w="8665" w:type="dxa"/>
            <w:tcBorders>
              <w:top w:val="single" w:sz="12" w:space="0" w:color="4E81BD"/>
              <w:bottom w:val="single" w:sz="6" w:space="0" w:color="4E81BD"/>
            </w:tcBorders>
          </w:tcPr>
          <w:p>
            <w:pPr>
              <w:pStyle w:val="TableParagraph"/>
              <w:spacing w:line="192" w:lineRule="exact" w:before="29"/>
              <w:ind w:left="1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Working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Group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4E81BD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Institute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  <w:r>
              <w:rPr>
                <w:rFonts w:asci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Policy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8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Ministry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Education,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Science,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Sport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Accreditation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Higher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3"/>
              <w:ind w:left="1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Interviews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Seattle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Slovakia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8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Comenius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Bratislava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Constantine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Philosopher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Nitra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8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Economic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Bratislava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Ministry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Education,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Science,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Sport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Ministry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Investments,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Regional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Development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Informatisation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Republic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Pavol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Jozef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Šafárik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University</w:t>
            </w:r>
            <w:r>
              <w:rPr>
                <w:rFonts w:ascii="Microsoft Sans Serif" w:hAns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Košice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90"/>
                <w:sz w:val="17"/>
              </w:rPr>
              <w:t>Profesia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8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Academy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Sciences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Accreditation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Agency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Higher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Doctoral</w:t>
            </w:r>
            <w:r>
              <w:rPr>
                <w:rFonts w:ascii="Microsoft Sans Serif"/>
                <w:spacing w:val="13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Candidates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Association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Organisation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</w:t>
            </w:r>
            <w:r>
              <w:rPr>
                <w:rFonts w:ascii="Microsoft Sans Serif"/>
                <w:spacing w:val="10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Research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and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Development</w:t>
            </w:r>
            <w:r>
              <w:rPr>
                <w:rFonts w:ascii="Microsoft Sans Serif"/>
                <w:spacing w:val="11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Activities</w:t>
            </w:r>
          </w:p>
        </w:tc>
      </w:tr>
      <w:tr>
        <w:trPr>
          <w:trHeight w:val="236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Rector's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Conference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8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Slovak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Agriculture</w:t>
            </w:r>
          </w:p>
        </w:tc>
      </w:tr>
      <w:tr>
        <w:trPr>
          <w:trHeight w:val="236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Student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Council</w:t>
            </w:r>
            <w:r>
              <w:rPr>
                <w:rFonts w:ascii="Microsoft Sans Serif"/>
                <w:spacing w:val="12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Higher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Education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8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Trnava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</w:p>
        </w:tc>
      </w:tr>
      <w:tr>
        <w:trPr>
          <w:trHeight w:val="236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University</w:t>
            </w:r>
            <w:r>
              <w:rPr>
                <w:rFonts w:ascii="Microsoft Sans Serif" w:hAnsi="Microsoft Sans Serif"/>
                <w:spacing w:val="4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5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Žilina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3"/>
              <w:ind w:left="1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Institutional</w:t>
            </w:r>
            <w:r>
              <w:rPr>
                <w:rFonts w:ascii="Arial"/>
                <w:b/>
                <w:spacing w:val="11"/>
                <w:w w:val="80"/>
                <w:sz w:val="17"/>
              </w:rPr>
              <w:t> </w:t>
            </w:r>
            <w:r>
              <w:rPr>
                <w:rFonts w:ascii="Arial"/>
                <w:b/>
                <w:w w:val="80"/>
                <w:sz w:val="17"/>
              </w:rPr>
              <w:t>roundtables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6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Academy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the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Police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Force</w:t>
            </w:r>
            <w:r>
              <w:rPr>
                <w:rFonts w:asci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Bratislava</w:t>
            </w:r>
          </w:p>
        </w:tc>
      </w:tr>
      <w:tr>
        <w:trPr>
          <w:trHeight w:val="237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City</w:t>
            </w:r>
            <w:r>
              <w:rPr>
                <w:rFonts w:asci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of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Seattle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in</w:t>
            </w:r>
            <w:r>
              <w:rPr>
                <w:rFonts w:asci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Slovakia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spacing w:before="18"/>
              <w:ind w:left="122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80"/>
                <w:sz w:val="17"/>
              </w:rPr>
              <w:t>Comenius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University</w:t>
            </w:r>
            <w:r>
              <w:rPr>
                <w:rFonts w:asci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/>
                <w:w w:val="80"/>
                <w:sz w:val="17"/>
              </w:rPr>
              <w:t>Bratislava</w:t>
            </w:r>
          </w:p>
        </w:tc>
      </w:tr>
      <w:tr>
        <w:trPr>
          <w:trHeight w:val="236" w:hRule="atLeast"/>
        </w:trPr>
        <w:tc>
          <w:tcPr>
            <w:tcW w:w="8665" w:type="dxa"/>
            <w:tcBorders>
              <w:top w:val="single" w:sz="6" w:space="0" w:color="D2D2D2"/>
              <w:bottom w:val="single" w:sz="6" w:space="0" w:color="D2D2D2"/>
            </w:tcBorders>
          </w:tcPr>
          <w:p>
            <w:pPr>
              <w:pStyle w:val="TableParagraph"/>
              <w:ind w:left="122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Pavol</w:t>
            </w:r>
            <w:r>
              <w:rPr>
                <w:rFonts w:ascii="Microsoft Sans Serif" w:hAnsi="Microsoft Sans Serif"/>
                <w:spacing w:val="7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Jozef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Šafárik</w:t>
            </w:r>
            <w:r>
              <w:rPr>
                <w:rFonts w:ascii="Microsoft Sans Serif" w:hAnsi="Microsoft Sans Serif"/>
                <w:spacing w:val="8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University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Košice</w:t>
            </w:r>
          </w:p>
        </w:tc>
      </w:tr>
      <w:tr>
        <w:trPr>
          <w:trHeight w:val="239" w:hRule="atLeast"/>
        </w:trPr>
        <w:tc>
          <w:tcPr>
            <w:tcW w:w="8665" w:type="dxa"/>
            <w:tcBorders>
              <w:top w:val="single" w:sz="6" w:space="0" w:color="D2D2D2"/>
              <w:bottom w:val="single" w:sz="12" w:space="0" w:color="4E81BD"/>
            </w:tcBorders>
          </w:tcPr>
          <w:p>
            <w:pPr>
              <w:pStyle w:val="TableParagraph"/>
              <w:ind w:left="122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80"/>
                <w:sz w:val="17"/>
              </w:rPr>
              <w:t>Technical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University</w:t>
            </w:r>
            <w:r>
              <w:rPr>
                <w:rFonts w:ascii="Microsoft Sans Serif" w:hAnsi="Microsoft Sans Serif"/>
                <w:spacing w:val="6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of</w:t>
            </w:r>
            <w:r>
              <w:rPr>
                <w:rFonts w:ascii="Microsoft Sans Serif" w:hAnsi="Microsoft Sans Serif"/>
                <w:spacing w:val="9"/>
                <w:w w:val="80"/>
                <w:sz w:val="17"/>
              </w:rPr>
              <w:t> </w:t>
            </w:r>
            <w:r>
              <w:rPr>
                <w:rFonts w:ascii="Microsoft Sans Serif" w:hAnsi="Microsoft Sans Serif"/>
                <w:w w:val="80"/>
                <w:sz w:val="17"/>
              </w:rPr>
              <w:t>Košice</w:t>
            </w:r>
          </w:p>
        </w:tc>
      </w:tr>
    </w:tbl>
    <w:p>
      <w:pPr>
        <w:spacing w:after="0"/>
        <w:rPr>
          <w:rFonts w:ascii="Microsoft Sans Serif" w:hAnsi="Microsoft Sans Serif"/>
          <w:sz w:val="17"/>
        </w:rPr>
        <w:sectPr>
          <w:headerReference w:type="default" r:id="rId240"/>
          <w:footerReference w:type="default" r:id="rId241"/>
          <w:pgSz w:w="11910" w:h="15880"/>
          <w:pgMar w:header="734" w:footer="731" w:top="1200" w:bottom="920" w:left="1120" w:right="1000"/>
          <w:pgNumType w:start="157"/>
        </w:sectPr>
      </w:pPr>
    </w:p>
    <w:p>
      <w:pPr>
        <w:spacing w:before="83"/>
        <w:ind w:left="10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Higher</w:t>
      </w:r>
      <w:r>
        <w:rPr>
          <w:rFonts w:ascii="Arial"/>
          <w:b/>
          <w:color w:val="231F20"/>
          <w:spacing w:val="-20"/>
          <w:sz w:val="28"/>
        </w:rPr>
        <w:t> </w:t>
      </w:r>
      <w:r>
        <w:rPr>
          <w:rFonts w:ascii="Arial"/>
          <w:b/>
          <w:color w:val="231F20"/>
          <w:sz w:val="28"/>
        </w:rPr>
        <w:t>Education</w:t>
      </w:r>
    </w:p>
    <w:p>
      <w:pPr>
        <w:spacing w:before="119"/>
        <w:ind w:left="10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231F20"/>
          <w:spacing w:val="-1"/>
          <w:sz w:val="40"/>
        </w:rPr>
        <w:t>Improving</w:t>
      </w:r>
      <w:r>
        <w:rPr>
          <w:rFonts w:ascii="Arial"/>
          <w:b/>
          <w:color w:val="231F20"/>
          <w:spacing w:val="-26"/>
          <w:sz w:val="40"/>
        </w:rPr>
        <w:t> </w:t>
      </w:r>
      <w:r>
        <w:rPr>
          <w:rFonts w:ascii="Arial"/>
          <w:b/>
          <w:color w:val="231F20"/>
          <w:spacing w:val="-1"/>
          <w:sz w:val="40"/>
        </w:rPr>
        <w:t>Higher</w:t>
      </w:r>
      <w:r>
        <w:rPr>
          <w:rFonts w:ascii="Arial"/>
          <w:b/>
          <w:color w:val="231F20"/>
          <w:spacing w:val="-26"/>
          <w:sz w:val="40"/>
        </w:rPr>
        <w:t> </w:t>
      </w:r>
      <w:r>
        <w:rPr>
          <w:rFonts w:ascii="Arial"/>
          <w:b/>
          <w:color w:val="231F20"/>
          <w:spacing w:val="-1"/>
          <w:sz w:val="40"/>
        </w:rPr>
        <w:t>Education</w:t>
      </w:r>
      <w:r>
        <w:rPr>
          <w:rFonts w:ascii="Arial"/>
          <w:b/>
          <w:color w:val="231F20"/>
          <w:spacing w:val="-25"/>
          <w:sz w:val="40"/>
        </w:rPr>
        <w:t> </w:t>
      </w:r>
      <w:r>
        <w:rPr>
          <w:rFonts w:ascii="Arial"/>
          <w:b/>
          <w:color w:val="231F20"/>
          <w:spacing w:val="-1"/>
          <w:sz w:val="40"/>
        </w:rPr>
        <w:t>in</w:t>
      </w:r>
      <w:r>
        <w:rPr>
          <w:rFonts w:ascii="Arial"/>
          <w:b/>
          <w:color w:val="231F20"/>
          <w:spacing w:val="-27"/>
          <w:sz w:val="40"/>
        </w:rPr>
        <w:t> </w:t>
      </w:r>
      <w:r>
        <w:rPr>
          <w:rFonts w:ascii="Arial"/>
          <w:b/>
          <w:color w:val="231F20"/>
          <w:spacing w:val="-1"/>
          <w:sz w:val="40"/>
        </w:rPr>
        <w:t>the</w:t>
      </w:r>
      <w:r>
        <w:rPr>
          <w:rFonts w:ascii="Arial"/>
          <w:b/>
          <w:color w:val="231F20"/>
          <w:spacing w:val="-25"/>
          <w:sz w:val="40"/>
        </w:rPr>
        <w:t> </w:t>
      </w:r>
      <w:r>
        <w:rPr>
          <w:rFonts w:ascii="Arial"/>
          <w:b/>
          <w:color w:val="231F20"/>
          <w:spacing w:val="-1"/>
          <w:sz w:val="40"/>
        </w:rPr>
        <w:t>Slovak</w:t>
      </w:r>
      <w:r>
        <w:rPr>
          <w:rFonts w:ascii="Arial"/>
          <w:b/>
          <w:color w:val="231F20"/>
          <w:spacing w:val="-26"/>
          <w:sz w:val="40"/>
        </w:rPr>
        <w:t> </w:t>
      </w:r>
      <w:r>
        <w:rPr>
          <w:rFonts w:ascii="Arial"/>
          <w:b/>
          <w:color w:val="231F20"/>
          <w:spacing w:val="-1"/>
          <w:sz w:val="40"/>
        </w:rPr>
        <w:t>Republic</w:t>
      </w:r>
    </w:p>
    <w:p>
      <w:pPr>
        <w:pStyle w:val="BodyText"/>
        <w:spacing w:before="239"/>
        <w:ind w:left="100" w:right="591"/>
        <w:rPr>
          <w:rFonts w:ascii="Tahoma"/>
        </w:rPr>
      </w:pPr>
      <w:r>
        <w:rPr>
          <w:rFonts w:ascii="Tahoma"/>
          <w:color w:val="231F20"/>
        </w:rPr>
        <w:t>Higher education helps learners acquire the knowledge and skills they need to lead productive working</w:t>
      </w:r>
      <w:r>
        <w:rPr>
          <w:rFonts w:ascii="Tahoma"/>
          <w:color w:val="231F20"/>
          <w:spacing w:val="1"/>
        </w:rPr>
        <w:t> </w:t>
      </w:r>
      <w:r>
        <w:rPr>
          <w:rFonts w:ascii="Tahoma"/>
          <w:color w:val="231F20"/>
        </w:rPr>
        <w:t>lives, and it sparks the innovation that fosters economic growth and social progress. However, creating</w:t>
      </w:r>
      <w:r>
        <w:rPr>
          <w:rFonts w:ascii="Tahoma"/>
          <w:color w:val="231F20"/>
          <w:spacing w:val="1"/>
        </w:rPr>
        <w:t> </w:t>
      </w:r>
      <w:r>
        <w:rPr>
          <w:rFonts w:ascii="Tahoma"/>
          <w:color w:val="231F20"/>
        </w:rPr>
        <w:t>higher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education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systems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that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operate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at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high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level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of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research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teaching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quality,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with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responsiveness</w:t>
      </w:r>
    </w:p>
    <w:p>
      <w:pPr>
        <w:pStyle w:val="BodyText"/>
        <w:spacing w:line="237" w:lineRule="auto"/>
        <w:ind w:left="100"/>
        <w:rPr>
          <w:rFonts w:ascii="Tahoma"/>
        </w:rPr>
      </w:pP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5"/>
        </w:rPr>
        <w:t> </w:t>
      </w:r>
      <w:r>
        <w:rPr>
          <w:rFonts w:ascii="Tahoma"/>
          <w:color w:val="231F20"/>
        </w:rPr>
        <w:t>social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labour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market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demands,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requires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effective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public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policies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institutional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practices.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This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report,</w:t>
      </w:r>
      <w:r>
        <w:rPr>
          <w:rFonts w:ascii="Tahoma"/>
          <w:color w:val="231F20"/>
          <w:spacing w:val="-60"/>
        </w:rPr>
        <w:t> </w:t>
      </w:r>
      <w:r>
        <w:rPr>
          <w:rFonts w:ascii="Tahoma"/>
          <w:color w:val="231F20"/>
        </w:rPr>
        <w:t>which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focuses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on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funding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governance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reforms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improve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higher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education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Slovak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Republic,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is</w:t>
      </w:r>
    </w:p>
    <w:p>
      <w:pPr>
        <w:pStyle w:val="BodyText"/>
        <w:ind w:left="100" w:right="514"/>
        <w:rPr>
          <w:rFonts w:ascii="Tahoma" w:hAnsi="Tahoma"/>
        </w:rPr>
      </w:pPr>
      <w:r>
        <w:rPr>
          <w:rFonts w:ascii="Tahoma" w:hAnsi="Tahoma"/>
          <w:color w:val="231F20"/>
        </w:rPr>
        <w:t>a collaboration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between the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European Commission’s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Directorate‑General for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Structural Reform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Support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(DG</w:t>
      </w:r>
      <w:r>
        <w:rPr>
          <w:rFonts w:ascii="Tahoma" w:hAnsi="Tahoma"/>
          <w:color w:val="231F20"/>
          <w:spacing w:val="-60"/>
        </w:rPr>
        <w:t> </w:t>
      </w:r>
      <w:r>
        <w:rPr>
          <w:rFonts w:ascii="Tahoma" w:hAnsi="Tahoma"/>
          <w:color w:val="231F20"/>
        </w:rPr>
        <w:t>REFORM), the Institute for Strategies and Analysis in the Office of the Government of the Slovak Republic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and the OECD’s Directorate for Education and Skills. Building on stakeholder engagement and comparative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analysis, the report offers an international perspective on the performance of the Slovak higher education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system and provides an action plan focused on governance and funding reforms, placing special emphasis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on</w:t>
      </w:r>
      <w:r>
        <w:rPr>
          <w:rFonts w:ascii="Tahoma" w:hAnsi="Tahoma"/>
          <w:color w:val="231F20"/>
          <w:spacing w:val="-11"/>
        </w:rPr>
        <w:t> </w:t>
      </w:r>
      <w:r>
        <w:rPr>
          <w:rFonts w:ascii="Tahoma" w:hAnsi="Tahoma"/>
          <w:color w:val="231F20"/>
        </w:rPr>
        <w:t>implementation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planning</w:t>
      </w:r>
      <w:r>
        <w:rPr>
          <w:rFonts w:ascii="Tahoma" w:hAnsi="Tahoma"/>
          <w:color w:val="231F20"/>
          <w:spacing w:val="-11"/>
        </w:rPr>
        <w:t> </w:t>
      </w:r>
      <w:r>
        <w:rPr>
          <w:rFonts w:ascii="Tahoma" w:hAnsi="Tahoma"/>
          <w:color w:val="231F20"/>
        </w:rPr>
        <w:t>to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support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reform</w:t>
      </w:r>
      <w:r>
        <w:rPr>
          <w:rFonts w:ascii="Tahoma" w:hAnsi="Tahoma"/>
          <w:color w:val="231F20"/>
          <w:spacing w:val="-11"/>
        </w:rPr>
        <w:t> </w:t>
      </w:r>
      <w:r>
        <w:rPr>
          <w:rFonts w:ascii="Tahoma" w:hAnsi="Tahoma"/>
          <w:color w:val="231F20"/>
        </w:rPr>
        <w:t>success.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18"/>
        </w:rPr>
      </w:pPr>
    </w:p>
    <w:p>
      <w:pPr>
        <w:spacing w:before="106"/>
        <w:ind w:left="0" w:right="217" w:firstLine="0"/>
        <w:jc w:val="right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3630592">
            <wp:simplePos x="0" y="0"/>
            <wp:positionH relativeFrom="page">
              <wp:posOffset>3561144</wp:posOffset>
            </wp:positionH>
            <wp:positionV relativeFrom="paragraph">
              <wp:posOffset>8303</wp:posOffset>
            </wp:positionV>
            <wp:extent cx="815707" cy="815708"/>
            <wp:effectExtent l="0" t="0" r="0" b="0"/>
            <wp:wrapNone/>
            <wp:docPr id="2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07" cy="815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6"/>
        </w:rPr>
        <w:t>PRINT</w:t>
      </w:r>
      <w:r>
        <w:rPr>
          <w:rFonts w:ascii="Arial"/>
          <w:b/>
          <w:color w:val="231F20"/>
          <w:spacing w:val="38"/>
          <w:sz w:val="16"/>
        </w:rPr>
        <w:t> </w:t>
      </w:r>
      <w:r>
        <w:rPr>
          <w:rFonts w:ascii="Arial"/>
          <w:b/>
          <w:color w:val="231F20"/>
          <w:sz w:val="16"/>
        </w:rPr>
        <w:t>ISBN</w:t>
      </w:r>
      <w:r>
        <w:rPr>
          <w:rFonts w:ascii="Arial"/>
          <w:b/>
          <w:color w:val="231F20"/>
          <w:spacing w:val="38"/>
          <w:sz w:val="16"/>
        </w:rPr>
        <w:t> </w:t>
      </w:r>
      <w:r>
        <w:rPr>
          <w:rFonts w:ascii="Arial"/>
          <w:b/>
          <w:color w:val="231F20"/>
          <w:sz w:val="16"/>
        </w:rPr>
        <w:t>978-92-64-81992-4</w:t>
      </w:r>
    </w:p>
    <w:p>
      <w:pPr>
        <w:spacing w:before="16"/>
        <w:ind w:left="0" w:right="212" w:firstLine="0"/>
        <w:jc w:val="right"/>
        <w:rPr>
          <w:rFonts w:ascii="Arial"/>
          <w:b/>
          <w:sz w:val="16"/>
        </w:rPr>
      </w:pPr>
      <w:r>
        <w:rPr/>
        <w:pict>
          <v:group style="position:absolute;margin-left:51.062pt;margin-top:8.346807pt;width:70.8pt;height:47.4pt;mso-position-horizontal-relative:page;mso-position-vertical-relative:paragraph;z-index:15772672" coordorigin="1021,167" coordsize="1416,948">
            <v:rect style="position:absolute;left:1021;top:166;width:1416;height:948" filled="true" fillcolor="#1c4687" stroked="false">
              <v:fill type="solid"/>
            </v:rect>
            <v:shape style="position:absolute;left:1680;top:284;width:99;height:93" coordorigin="1680,284" coordsize="99,93" path="m1729,284l1718,319,1680,319,1711,341,1699,376,1729,355,1760,376,1748,341,1779,319,1741,319,1729,284xe" filled="true" fillcolor="#eeca2a" stroked="false">
              <v:path arrowok="t"/>
              <v:fill type="solid"/>
            </v:shape>
            <v:shape style="position:absolute;left:1411;top:326;width:213;height:206" type="#_x0000_t75" stroked="false">
              <v:imagedata r:id="rId245" o:title=""/>
            </v:shape>
            <v:shape style="position:absolute;left:1369;top:595;width:99;height:93" coordorigin="1370,595" coordsize="99,93" path="m1419,595l1407,630,1370,630,1400,652,1388,687,1419,665,1449,687,1437,652,1468,630,1430,630,1419,595xe" filled="true" fillcolor="#eeca2a" stroked="false">
              <v:path arrowok="t"/>
              <v:fill type="solid"/>
            </v:shape>
            <v:shape style="position:absolute;left:1411;top:750;width:213;height:206" type="#_x0000_t75" stroked="false">
              <v:imagedata r:id="rId246" o:title=""/>
            </v:shape>
            <v:shape style="position:absolute;left:1680;top:905;width:99;height:93" coordorigin="1680,905" coordsize="99,93" path="m1729,905l1718,940,1680,940,1711,962,1699,998,1729,976,1760,998,1748,962,1779,940,1741,940,1729,905xe" filled="true" fillcolor="#eeca2a" stroked="false">
              <v:path arrowok="t"/>
              <v:fill type="solid"/>
            </v:shape>
            <v:shape style="position:absolute;left:1835;top:750;width:213;height:206" type="#_x0000_t75" stroked="false">
              <v:imagedata r:id="rId247" o:title=""/>
            </v:shape>
            <v:shape style="position:absolute;left:1990;top:595;width:99;height:93" coordorigin="1990,595" coordsize="99,93" path="m2039,595l2028,630,1990,630,2021,652,2009,687,2039,665,2070,687,2058,652,2089,630,2051,630,2039,595xe" filled="true" fillcolor="#eeca2a" stroked="false">
              <v:path arrowok="t"/>
              <v:fill type="solid"/>
            </v:shape>
            <v:shape style="position:absolute;left:1835;top:326;width:213;height:205" type="#_x0000_t75" stroked="false">
              <v:imagedata r:id="rId248" o:title=""/>
            </v:shape>
            <w10:wrap type="none"/>
          </v:group>
        </w:pict>
      </w:r>
      <w:r>
        <w:rPr>
          <w:rFonts w:ascii="Arial"/>
          <w:b/>
          <w:color w:val="231F20"/>
          <w:sz w:val="16"/>
        </w:rPr>
        <w:t>PDF</w:t>
      </w:r>
      <w:r>
        <w:rPr>
          <w:rFonts w:ascii="Arial"/>
          <w:b/>
          <w:color w:val="231F20"/>
          <w:spacing w:val="47"/>
          <w:sz w:val="16"/>
        </w:rPr>
        <w:t> </w:t>
      </w:r>
      <w:r>
        <w:rPr>
          <w:rFonts w:ascii="Arial"/>
          <w:b/>
          <w:color w:val="231F20"/>
          <w:sz w:val="16"/>
        </w:rPr>
        <w:t>ISBN</w:t>
      </w:r>
      <w:r>
        <w:rPr>
          <w:rFonts w:ascii="Arial"/>
          <w:b/>
          <w:color w:val="231F20"/>
          <w:spacing w:val="48"/>
          <w:sz w:val="16"/>
        </w:rPr>
        <w:t> </w:t>
      </w:r>
      <w:r>
        <w:rPr>
          <w:rFonts w:ascii="Arial"/>
          <w:b/>
          <w:color w:val="231F20"/>
          <w:sz w:val="16"/>
        </w:rPr>
        <w:t>978-92-64-69925-0</w:t>
      </w:r>
    </w:p>
    <w:p>
      <w:pPr>
        <w:tabs>
          <w:tab w:pos="8144" w:val="left" w:leader="none"/>
        </w:tabs>
        <w:spacing w:before="59"/>
        <w:ind w:left="1535" w:right="0" w:firstLine="0"/>
        <w:jc w:val="center"/>
        <w:rPr>
          <w:rFonts w:ascii="Tahoma"/>
          <w:sz w:val="66"/>
        </w:rPr>
      </w:pPr>
      <w:r>
        <w:rPr/>
        <w:drawing>
          <wp:anchor distT="0" distB="0" distL="0" distR="0" allowOverlap="1" layoutInCell="1" locked="0" behindDoc="1" simplePos="0" relativeHeight="483630080">
            <wp:simplePos x="0" y="0"/>
            <wp:positionH relativeFrom="page">
              <wp:posOffset>5974566</wp:posOffset>
            </wp:positionH>
            <wp:positionV relativeFrom="paragraph">
              <wp:posOffset>112580</wp:posOffset>
            </wp:positionV>
            <wp:extent cx="66675" cy="476250"/>
            <wp:effectExtent l="0" t="0" r="0" b="0"/>
            <wp:wrapNone/>
            <wp:docPr id="2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312732" cy="485090"/>
            <wp:effectExtent l="0" t="0" r="0" b="0"/>
            <wp:docPr id="3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732" cy="4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-9"/>
          <w:sz w:val="20"/>
        </w:rPr>
        <w:t> </w:t>
      </w:r>
      <w:r>
        <w:rPr>
          <w:rFonts w:ascii="Tahoma"/>
          <w:color w:val="231F20"/>
          <w:w w:val="35"/>
          <w:sz w:val="66"/>
        </w:rPr>
        <w:t>9</w:t>
      </w:r>
      <w:r>
        <w:rPr>
          <w:rFonts w:ascii="Tahoma"/>
          <w:color w:val="231F20"/>
          <w:spacing w:val="-41"/>
          <w:sz w:val="66"/>
        </w:rPr>
        <w:t> </w:t>
      </w:r>
      <w:r>
        <w:rPr>
          <w:rFonts w:ascii="Tahoma"/>
          <w:color w:val="231F20"/>
          <w:w w:val="35"/>
          <w:sz w:val="66"/>
        </w:rPr>
        <w:t>STCQE*ibjjce+</w:t>
      </w:r>
    </w:p>
    <w:sectPr>
      <w:headerReference w:type="even" r:id="rId242"/>
      <w:footerReference w:type="even" r:id="rId243"/>
      <w:pgSz w:w="11910" w:h="15880"/>
      <w:pgMar w:header="0" w:footer="0" w:top="860" w:bottom="280" w:left="9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2275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 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2.289993pt;margin-top:746.185608pt;width:289.05pt;height:11pt;mso-position-horizontal-relative:page;mso-position-vertical-relative:page;z-index:-1972224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 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2070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 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2.289993pt;margin-top:746.185608pt;width:289.05pt;height:11pt;mso-position-horizontal-relative:page;mso-position-vertical-relative:page;z-index:-197201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 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1865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 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2.289993pt;margin-top:746.185608pt;width:289.05pt;height:11pt;mso-position-horizontal-relative:page;mso-position-vertical-relative:page;z-index:-1971814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 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1712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 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81.109985pt;margin-top:746.209595pt;width:289pt;height:11pt;mso-position-horizontal-relative:page;mso-position-vertical-relative:page;z-index:-1971660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 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3043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1507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IN 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2.289993pt;margin-top:746.185608pt;width:289.05pt;height:11pt;mso-position-horizontal-relative:page;mso-position-vertical-relative:page;z-index:-1971456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 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135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 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2889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2.289993pt;margin-top:746.185608pt;width:289.05pt;height:11pt;mso-position-horizontal-relative:page;mso-position-vertical-relative:page;z-index:-1972838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 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2684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2.289993pt;margin-top:746.185608pt;width:289.05pt;height:11pt;mso-position-horizontal-relative:page;mso-position-vertical-relative:page;z-index:-197263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 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746.185608pt;width:289pt;height:11pt;mso-position-horizontal-relative:page;mso-position-vertical-relative:page;z-index:-1972480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2.289993pt;margin-top:746.185608pt;width:289.05pt;height:11pt;mso-position-horizontal-relative:page;mso-position-vertical-relative:page;z-index:-1972428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IMPROVING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HIGHER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EDUCATION IN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SLOVAK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REPUBLIC ©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OECD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61.220001pt;margin-top:35.708748pt;width:70.1pt;height:15.55pt;mso-position-horizontal-relative:page;mso-position-vertical-relative:page;z-index:-197309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FOREWORD</w:t>
                </w:r>
                <w:r>
                  <w:rPr>
                    <w:spacing w:val="10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6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29.51001pt;margin-top:35.708748pt;width:103.65pt;height:15.55pt;mso-position-horizontal-relative:page;mso-position-vertical-relative:page;z-index:-197237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1.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INTRODUCTION</w:t>
                </w:r>
                <w:r>
                  <w:rPr>
                    <w:spacing w:val="10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6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2.183998pt;margin-top:35.708748pt;width:106.5pt;height:15.55pt;mso-position-horizontal-relative:page;mso-position-vertical-relative:page;z-index:-1972326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5"/>
                    <w:sz w:val="22"/>
                  </w:rPr>
                  <w:t> </w:t>
                </w:r>
                <w:r>
                  <w:rPr>
                    <w:sz w:val="18"/>
                  </w:rPr>
                  <w:t>1.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INTRODUCTION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049988pt;margin-top:35.708748pt;width:243.1pt;height:15.55pt;mso-position-horizontal-relative:page;mso-position-vertical-relative:page;z-index:-197217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2.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HIGHER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SLOVAK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REPUBLIC</w:t>
                </w:r>
                <w:r>
                  <w:rPr>
                    <w:spacing w:val="10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6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2.183998pt;margin-top:35.708748pt;width:246.15pt;height:15.55pt;mso-position-horizontal-relative:page;mso-position-vertical-relative:page;z-index:-19721216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4"/>
                    <w:sz w:val="22"/>
                  </w:rPr>
                  <w:t> </w:t>
                </w:r>
                <w:r>
                  <w:rPr>
                    <w:sz w:val="18"/>
                  </w:rPr>
                  <w:t>2.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HIGHER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SLOVAK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REPUBLIC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47.220001pt;margin-top:35.708748pt;width:386.1pt;height:15.55pt;mso-position-horizontal-relative:page;mso-position-vertical-relative:page;z-index:-197196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3.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ACTION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PLAN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TO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IMPROVE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HIGHER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SLOVAK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REPUBLIC</w:t>
                </w:r>
                <w:r>
                  <w:rPr>
                    <w:spacing w:val="11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6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2.183998pt;margin-top:35.708748pt;width:388.8pt;height:15.55pt;mso-position-horizontal-relative:page;mso-position-vertical-relative:page;z-index:-1971916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5"/>
                    <w:sz w:val="22"/>
                  </w:rPr>
                  <w:t> </w:t>
                </w:r>
                <w:r>
                  <w:rPr>
                    <w:sz w:val="18"/>
                  </w:rPr>
                  <w:t>3.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ACTION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PLAN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TO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IMPROVE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HIGHER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SLOVAK REPUBLIC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93.809998pt;margin-top:35.708748pt;width:339.45pt;height:15.55pt;mso-position-horizontal-relative:page;mso-position-vertical-relative:page;z-index:-197176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ANNEX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A.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HIGHER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REFORMS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PORTUGAL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FINLAND</w:t>
                </w:r>
                <w:r>
                  <w:rPr>
                    <w:spacing w:val="11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93.809998pt;margin-top:35.708748pt;width:339.45pt;height:15.55pt;mso-position-horizontal-relative:page;mso-position-vertical-relative:page;z-index:-197160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ANNEX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A.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HIGHER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REFORMS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PORTUGAL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FINLAND</w:t>
                </w:r>
                <w:r>
                  <w:rPr>
                    <w:spacing w:val="11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2.183998pt;margin-top:35.708748pt;width:342.2pt;height:15.55pt;mso-position-horizontal-relative:page;mso-position-vertical-relative:page;z-index:-1971558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4"/>
                    <w:sz w:val="22"/>
                  </w:rPr>
                  <w:t> </w:t>
                </w:r>
                <w:r>
                  <w:rPr>
                    <w:sz w:val="18"/>
                  </w:rPr>
                  <w:t>ANNEX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A.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HIGHER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REFORMS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PORTUGAL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FINLAND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1.809998pt;margin-top:35.708748pt;width:291.45pt;height:15.55pt;mso-position-horizontal-relative:page;mso-position-vertical-relative:page;z-index:-197140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ANNEX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B.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PARTICIPATING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STAKEHOLDER ORGANISATIONS</w:t>
                </w:r>
                <w:r>
                  <w:rPr>
                    <w:spacing w:val="10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7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2.109985pt;margin-top:35.708748pt;width:119.05pt;height:15.55pt;mso-position-horizontal-relative:page;mso-position-vertical-relative:page;z-index:-197299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ACKNOWLEDGEMENTS</w:t>
                </w:r>
                <w:r>
                  <w:rPr>
                    <w:spacing w:val="10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35.708748pt;width:118.9pt;height:15.55pt;mso-position-horizontal-relative:page;mso-position-vertical-relative:page;z-index:-197294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rFonts w:ascii="Arial" w:hAnsi="Arial"/>
                    <w:b/>
                    <w:sz w:val="22"/>
                  </w:rPr>
                  <w:t>6</w:t>
                </w:r>
                <w:r>
                  <w:rPr>
                    <w:rFonts w:ascii="Arial" w:hAnsi="Arial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3"/>
                    <w:sz w:val="22"/>
                  </w:rPr>
                  <w:t> </w:t>
                </w:r>
                <w:r>
                  <w:rPr>
                    <w:sz w:val="18"/>
                  </w:rPr>
                  <w:t>ACKNOWLEDGEMENTS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9.190002pt;margin-top:35.708748pt;width:114.1pt;height:15.55pt;mso-position-horizontal-relative:page;mso-position-vertical-relative:page;z-index:-197278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TABLE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CONTENTS</w:t>
                </w:r>
                <w:r>
                  <w:rPr>
                    <w:spacing w:val="11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7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35.708748pt;width:111.8pt;height:15.55pt;mso-position-horizontal-relative:page;mso-position-vertical-relative:page;z-index:-197273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rFonts w:ascii="Arial" w:hAnsi="Arial"/>
                    <w:b/>
                    <w:sz w:val="22"/>
                  </w:rPr>
                  <w:t>8</w:t>
                </w:r>
                <w:r>
                  <w:rPr>
                    <w:rFonts w:ascii="Arial" w:hAnsi="Arial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3"/>
                    <w:sz w:val="22"/>
                  </w:rPr>
                  <w:t> </w:t>
                </w:r>
                <w:r>
                  <w:rPr>
                    <w:sz w:val="18"/>
                  </w:rPr>
                  <w:t>TABLE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CONTENTS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08.98999pt;margin-top:35.708748pt;width:124.2pt;height:15.55pt;mso-position-horizontal-relative:page;mso-position-vertical-relative:page;z-index:-197258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sz w:val="18"/>
                  </w:rPr>
                  <w:t>EXECUTIVE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SUMMARY</w:t>
                </w:r>
                <w:r>
                  <w:rPr>
                    <w:spacing w:val="9"/>
                    <w:sz w:val="18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7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83998pt;margin-top:35.708748pt;width:122.15pt;height:15.55pt;mso-position-horizontal-relative:page;mso-position-vertical-relative:page;z-index:-197253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rFonts w:ascii="Arial" w:hAnsi="Arial"/>
                    <w:b/>
                    <w:sz w:val="22"/>
                  </w:rPr>
                  <w:t>10</w:t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Symbol" w:hAnsi="Symbol"/>
                    <w:sz w:val="22"/>
                  </w:rPr>
                  <w:t></w:t>
                </w:r>
                <w:r>
                  <w:rPr>
                    <w:rFonts w:ascii="Times New Roman" w:hAnsi="Times New Roman"/>
                    <w:spacing w:val="4"/>
                    <w:sz w:val="22"/>
                  </w:rPr>
                  <w:t> </w:t>
                </w:r>
                <w:r>
                  <w:rPr>
                    <w:sz w:val="18"/>
                  </w:rPr>
                  <w:t>EXECUTIVE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SUMMARY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0"/>
      <w:numFmt w:val="bullet"/>
      <w:lvlText w:val="-"/>
      <w:lvlJc w:val="left"/>
      <w:pPr>
        <w:ind w:left="1040" w:hanging="36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7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862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5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1" w:hanging="33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."/>
      <w:lvlJc w:val="left"/>
      <w:pPr>
        <w:ind w:left="999" w:hanging="33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3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15" w:hanging="33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7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5" w:hanging="33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862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5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1" w:hanging="339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62" w:hanging="33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0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4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8" w:hanging="34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862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0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4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8" w:hanging="34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."/>
      <w:lvlJc w:val="left"/>
      <w:pPr>
        <w:ind w:left="183" w:hanging="176"/>
        <w:jc w:val="left"/>
      </w:pPr>
      <w:rPr>
        <w:rFonts w:hint="default" w:ascii="Microsoft Sans Serif" w:hAnsi="Microsoft Sans Serif" w:eastAsia="Microsoft Sans Serif" w:cs="Microsoft Sans Serif"/>
        <w:w w:val="8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0" w:hanging="1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9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8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7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7" w:hanging="17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793" w:hanging="339"/>
      </w:pPr>
      <w:rPr>
        <w:rFonts w:hint="default" w:ascii="Symbol" w:hAnsi="Symbol" w:eastAsia="Symbol" w:cs="Symbol"/>
        <w:color w:val="4E81BD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9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9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3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8" w:hanging="33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793" w:hanging="339"/>
      </w:pPr>
      <w:rPr>
        <w:rFonts w:hint="default" w:ascii="Symbol" w:hAnsi="Symbol" w:eastAsia="Symbol" w:cs="Symbol"/>
        <w:color w:val="4E81BD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9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9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9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8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7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8" w:hanging="33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793" w:hanging="339"/>
      </w:pPr>
      <w:rPr>
        <w:rFonts w:hint="default" w:ascii="Symbol" w:hAnsi="Symbol" w:eastAsia="Symbol" w:cs="Symbol"/>
        <w:color w:val="4E81BD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9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9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3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8" w:hanging="33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794" w:hanging="339"/>
      </w:pPr>
      <w:rPr>
        <w:rFonts w:hint="default" w:ascii="Symbol" w:hAnsi="Symbol" w:eastAsia="Symbol" w:cs="Symbol"/>
        <w:color w:val="4E81BD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o"/>
      <w:lvlJc w:val="left"/>
      <w:pPr>
        <w:ind w:left="1135" w:hanging="341"/>
      </w:pPr>
      <w:rPr>
        <w:rFonts w:hint="default" w:ascii="Courier New" w:hAnsi="Courier New" w:eastAsia="Courier New" w:cs="Courier New"/>
        <w:w w:val="100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9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8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7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7" w:hanging="34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o"/>
      <w:lvlJc w:val="left"/>
      <w:pPr>
        <w:ind w:left="1203" w:hanging="341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9" w:hanging="34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99" w:hanging="33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3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15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7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5" w:hanging="33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999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3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651" w:hanging="4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1" w:hanging="468"/>
        <w:jc w:val="left"/>
      </w:pPr>
      <w:rPr>
        <w:rFonts w:hint="default" w:ascii="Arial" w:hAnsi="Arial" w:eastAsia="Arial" w:cs="Arial"/>
        <w:b/>
        <w:bCs/>
        <w:color w:val="4E81BD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62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99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4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93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1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9" w:hanging="33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03" w:hanging="720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9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62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5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1" w:hanging="33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484" w:hanging="167"/>
        <w:jc w:val="right"/>
      </w:pPr>
      <w:rPr>
        <w:rFonts w:hint="default" w:ascii="Arial" w:hAnsi="Arial" w:eastAsia="Arial" w:cs="Arial"/>
        <w:b/>
        <w:bCs/>
        <w:w w:val="8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4" w:hanging="1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8" w:hanging="1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2" w:hanging="1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6" w:hanging="1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00" w:hanging="1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4" w:hanging="1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68" w:hanging="1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53" w:hanging="16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34" w:hanging="360"/>
      </w:pPr>
      <w:rPr>
        <w:rFonts w:hint="default" w:ascii="Microsoft Sans Serif" w:hAnsi="Microsoft Sans Serif" w:eastAsia="Microsoft Sans Serif" w:cs="Microsoft Sans Serif"/>
        <w:w w:val="82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62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5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1" w:hanging="33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651" w:hanging="4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1" w:hanging="468"/>
        <w:jc w:val="left"/>
      </w:pPr>
      <w:rPr>
        <w:rFonts w:hint="default" w:ascii="Arial" w:hAnsi="Arial" w:eastAsia="Arial" w:cs="Arial"/>
        <w:b/>
        <w:bCs/>
        <w:color w:val="4E81BD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5" w:hanging="4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7" w:hanging="4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4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4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4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4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1" w:hanging="46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62" w:hanging="33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5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1" w:hanging="33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51" w:hanging="4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1" w:hanging="468"/>
        <w:jc w:val="left"/>
      </w:pPr>
      <w:rPr>
        <w:rFonts w:hint="default" w:ascii="Arial" w:hAnsi="Arial" w:eastAsia="Arial" w:cs="Arial"/>
        <w:b/>
        <w:bCs/>
        <w:color w:val="4E81BD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62" w:hanging="339"/>
      </w:pPr>
      <w:rPr>
        <w:rFonts w:hint="default" w:ascii="Symbol" w:hAnsi="Symbol" w:eastAsia="Symbol" w:cs="Symbol"/>
        <w:color w:val="4E81BD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3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5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7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9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2" w:hanging="3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47" w:hanging="956"/>
        <w:jc w:val="left"/>
      </w:pPr>
      <w:rPr>
        <w:rFonts w:hint="default"/>
        <w:b/>
        <w:bCs/>
        <w:w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4" w:hanging="9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9" w:hanging="9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3" w:hanging="9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8" w:hanging="9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3" w:hanging="9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9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9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9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83" w:hanging="195"/>
      </w:pPr>
      <w:rPr>
        <w:rFonts w:hint="default" w:ascii="Arial MT" w:hAnsi="Arial MT" w:eastAsia="Arial MT" w:cs="Arial MT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0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1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1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3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3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4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5" w:hanging="19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4" w:hanging="192"/>
        <w:jc w:val="left"/>
      </w:pPr>
      <w:rPr>
        <w:rFonts w:hint="default" w:ascii="Microsoft Sans Serif" w:hAnsi="Microsoft Sans Serif" w:eastAsia="Microsoft Sans Serif" w:cs="Microsoft Sans Serif"/>
        <w:color w:val="4E81BD"/>
        <w:w w:val="82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5" w:hanging="38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1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3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5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7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9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0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2" w:hanging="389"/>
      </w:pPr>
      <w:rPr>
        <w:rFonts w:hint="default"/>
        <w:lang w:val="en-US" w:eastAsia="en-US" w:bidi="ar-SA"/>
      </w:rPr>
    </w:lvl>
  </w:abstractNum>
  <w:num w:numId="33">
    <w:abstractNumId w:val="32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25"/>
      <w:ind w:left="183"/>
    </w:pPr>
    <w:rPr>
      <w:rFonts w:ascii="Microsoft Sans Serif" w:hAnsi="Microsoft Sans Serif" w:eastAsia="Microsoft Sans Serif" w:cs="Microsoft Sans Serif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9"/>
      <w:ind w:left="466" w:hanging="390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1"/>
      <w:ind w:left="183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83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2"/>
      <w:ind w:left="1431" w:right="322"/>
      <w:outlineLvl w:val="3"/>
    </w:pPr>
    <w:rPr>
      <w:rFonts w:ascii="Arial MT" w:hAnsi="Arial MT" w:eastAsia="Arial MT" w:cs="Arial MT"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50"/>
      <w:ind w:left="320"/>
      <w:outlineLvl w:val="4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83"/>
      <w:jc w:val="both"/>
      <w:outlineLvl w:val="5"/>
    </w:pPr>
    <w:rPr>
      <w:rFonts w:ascii="Arial" w:hAnsi="Arial" w:eastAsia="Arial" w:cs="Arial"/>
      <w:b/>
      <w:bCs/>
      <w:i/>
      <w:i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84"/>
      <w:ind w:left="183"/>
      <w:outlineLvl w:val="6"/>
    </w:pPr>
    <w:rPr>
      <w:rFonts w:ascii="Microsoft Sans Serif" w:hAnsi="Microsoft Sans Serif" w:eastAsia="Microsoft Sans Serif" w:cs="Microsoft Sans Serif"/>
      <w:sz w:val="22"/>
      <w:szCs w:val="22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524"/>
      <w:outlineLvl w:val="7"/>
    </w:pPr>
    <w:rPr>
      <w:rFonts w:ascii="Arial" w:hAnsi="Arial" w:eastAsia="Arial" w:cs="Arial"/>
      <w:i/>
      <w:iCs/>
      <w:sz w:val="22"/>
      <w:szCs w:val="22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83"/>
      <w:jc w:val="both"/>
      <w:outlineLvl w:val="8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4"/>
      <w:ind w:left="862" w:hanging="339"/>
      <w:jc w:val="both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doi.org/10.1787/259e23ba-en" TargetMode="External"/><Relationship Id="rId12" Type="http://schemas.openxmlformats.org/officeDocument/2006/relationships/hyperlink" Target="http://www.oecd.org/about/publishing/corrigenda.htm" TargetMode="External"/><Relationship Id="rId13" Type="http://schemas.openxmlformats.org/officeDocument/2006/relationships/hyperlink" Target="http://www.oecd.org/termsandconditions" TargetMode="Externa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footer" Target="footer7.xml"/><Relationship Id="rId26" Type="http://schemas.openxmlformats.org/officeDocument/2006/relationships/header" Target="header7.xml"/><Relationship Id="rId27" Type="http://schemas.openxmlformats.org/officeDocument/2006/relationships/header" Target="header8.xml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header" Target="header9.xml"/><Relationship Id="rId31" Type="http://schemas.openxmlformats.org/officeDocument/2006/relationships/footer" Target="footer10.xml"/><Relationship Id="rId32" Type="http://schemas.openxmlformats.org/officeDocument/2006/relationships/header" Target="header10.xml"/><Relationship Id="rId33" Type="http://schemas.openxmlformats.org/officeDocument/2006/relationships/header" Target="header11.xml"/><Relationship Id="rId34" Type="http://schemas.openxmlformats.org/officeDocument/2006/relationships/footer" Target="footer11.xml"/><Relationship Id="rId35" Type="http://schemas.openxmlformats.org/officeDocument/2006/relationships/footer" Target="footer12.xml"/><Relationship Id="rId36" Type="http://schemas.openxmlformats.org/officeDocument/2006/relationships/image" Target="media/image6.jpeg"/><Relationship Id="rId37" Type="http://schemas.openxmlformats.org/officeDocument/2006/relationships/hyperlink" Target="https://doi.org/10.1787/38361454-en" TargetMode="External"/><Relationship Id="rId38" Type="http://schemas.openxmlformats.org/officeDocument/2006/relationships/image" Target="media/image7.png"/><Relationship Id="rId39" Type="http://schemas.openxmlformats.org/officeDocument/2006/relationships/hyperlink" Target="https://www.sgi-network.org/2020/" TargetMode="External"/><Relationship Id="rId40" Type="http://schemas.openxmlformats.org/officeDocument/2006/relationships/hyperlink" Target="https://doi.org/10.1787/888934278921" TargetMode="External"/><Relationship Id="rId41" Type="http://schemas.openxmlformats.org/officeDocument/2006/relationships/hyperlink" Target="http://www.slov-lex.sk/legislativne-procesy/-/SK/dokumenty/LP-2021-" TargetMode="External"/><Relationship Id="rId42" Type="http://schemas.openxmlformats.org/officeDocument/2006/relationships/header" Target="header12.xml"/><Relationship Id="rId43" Type="http://schemas.openxmlformats.org/officeDocument/2006/relationships/header" Target="header13.xml"/><Relationship Id="rId44" Type="http://schemas.openxmlformats.org/officeDocument/2006/relationships/footer" Target="footer13.xml"/><Relationship Id="rId45" Type="http://schemas.openxmlformats.org/officeDocument/2006/relationships/footer" Target="footer14.xml"/><Relationship Id="rId46" Type="http://schemas.openxmlformats.org/officeDocument/2006/relationships/image" Target="media/image8.png"/><Relationship Id="rId47" Type="http://schemas.openxmlformats.org/officeDocument/2006/relationships/hyperlink" Target="https://www.cvtisr.sk/cvti-sr-vedecka-kniznica/informacie-o-skolstve/statistiky/casove-rady.html?page_id=9724" TargetMode="External"/><Relationship Id="rId48" Type="http://schemas.openxmlformats.org/officeDocument/2006/relationships/hyperlink" Target="https://doi.org/10.1787/888934278940" TargetMode="External"/><Relationship Id="rId49" Type="http://schemas.openxmlformats.org/officeDocument/2006/relationships/image" Target="media/image9.png"/><Relationship Id="rId50" Type="http://schemas.openxmlformats.org/officeDocument/2006/relationships/image" Target="media/image10.png"/><Relationship Id="rId51" Type="http://schemas.openxmlformats.org/officeDocument/2006/relationships/image" Target="media/image11.png"/><Relationship Id="rId52" Type="http://schemas.openxmlformats.org/officeDocument/2006/relationships/image" Target="media/image12.png"/><Relationship Id="rId53" Type="http://schemas.openxmlformats.org/officeDocument/2006/relationships/image" Target="media/image13.png"/><Relationship Id="rId54" Type="http://schemas.openxmlformats.org/officeDocument/2006/relationships/image" Target="media/image14.png"/><Relationship Id="rId55" Type="http://schemas.openxmlformats.org/officeDocument/2006/relationships/image" Target="media/image15.png"/><Relationship Id="rId56" Type="http://schemas.openxmlformats.org/officeDocument/2006/relationships/image" Target="media/image16.png"/><Relationship Id="rId57" Type="http://schemas.openxmlformats.org/officeDocument/2006/relationships/image" Target="media/image17.png"/><Relationship Id="rId58" Type="http://schemas.openxmlformats.org/officeDocument/2006/relationships/image" Target="media/image18.png"/><Relationship Id="rId59" Type="http://schemas.openxmlformats.org/officeDocument/2006/relationships/image" Target="media/image19.png"/><Relationship Id="rId60" Type="http://schemas.openxmlformats.org/officeDocument/2006/relationships/hyperlink" Target="https://www.minedu.sk/vyrocne-spravy-o-stave-vysokeho-skolstva/" TargetMode="External"/><Relationship Id="rId61" Type="http://schemas.openxmlformats.org/officeDocument/2006/relationships/hyperlink" Target="https://www.cvtisr.sk/cvti-sr-vedecka-kniznica/informacie-o-skolstve/statistiky/statisticka-rocenka-publikacia/statisticka-rocenka-vysoke-skoly.html?page_id=9596" TargetMode="External"/><Relationship Id="rId62" Type="http://schemas.openxmlformats.org/officeDocument/2006/relationships/hyperlink" Target="https://doi.org/10.1787/888934278959" TargetMode="External"/><Relationship Id="rId63" Type="http://schemas.openxmlformats.org/officeDocument/2006/relationships/image" Target="media/image20.png"/><Relationship Id="rId64" Type="http://schemas.openxmlformats.org/officeDocument/2006/relationships/hyperlink" Target="https://doi.org/10.1787/888934278978" TargetMode="External"/><Relationship Id="rId65" Type="http://schemas.openxmlformats.org/officeDocument/2006/relationships/hyperlink" Target="http://www.vyskumnaagentura.sk/en/" TargetMode="External"/><Relationship Id="rId66" Type="http://schemas.openxmlformats.org/officeDocument/2006/relationships/hyperlink" Target="https://www.opvai.sk/" TargetMode="External"/><Relationship Id="rId67" Type="http://schemas.openxmlformats.org/officeDocument/2006/relationships/hyperlink" Target="https://www.apvv.sk/?lang=en" TargetMode="External"/><Relationship Id="rId68" Type="http://schemas.openxmlformats.org/officeDocument/2006/relationships/hyperlink" Target="https://www.minedu.sk/podpora-vysokoskolskej-vedy-a-techniky-vega-kega/" TargetMode="External"/><Relationship Id="rId69" Type="http://schemas.openxmlformats.org/officeDocument/2006/relationships/hyperlink" Target="https://www.cvtisr.sk/" TargetMode="External"/><Relationship Id="rId70" Type="http://schemas.openxmlformats.org/officeDocument/2006/relationships/hyperlink" Target="https://www.nucem.sk/en" TargetMode="External"/><Relationship Id="rId71" Type="http://schemas.openxmlformats.org/officeDocument/2006/relationships/hyperlink" Target="https://siov.sk/" TargetMode="External"/><Relationship Id="rId72" Type="http://schemas.openxmlformats.org/officeDocument/2006/relationships/hyperlink" Target="https://www.statpedu.sk/en/" TargetMode="External"/><Relationship Id="rId73" Type="http://schemas.openxmlformats.org/officeDocument/2006/relationships/hyperlink" Target="https://mpc-edu.sk/" TargetMode="External"/><Relationship Id="rId74" Type="http://schemas.openxmlformats.org/officeDocument/2006/relationships/hyperlink" Target="https://doi.org/10.1787/69096873-en" TargetMode="External"/><Relationship Id="rId75" Type="http://schemas.openxmlformats.org/officeDocument/2006/relationships/image" Target="media/image21.png"/><Relationship Id="rId76" Type="http://schemas.openxmlformats.org/officeDocument/2006/relationships/hyperlink" Target="https://doi.org/10.1787/888934278997" TargetMode="External"/><Relationship Id="rId77" Type="http://schemas.openxmlformats.org/officeDocument/2006/relationships/image" Target="media/image22.png"/><Relationship Id="rId78" Type="http://schemas.openxmlformats.org/officeDocument/2006/relationships/hyperlink" Target="https://doi.org/10.1787/888934279016" TargetMode="External"/><Relationship Id="rId79" Type="http://schemas.openxmlformats.org/officeDocument/2006/relationships/image" Target="media/image23.png"/><Relationship Id="rId80" Type="http://schemas.openxmlformats.org/officeDocument/2006/relationships/hyperlink" Target="https://doi.org/10.1787/888934279035" TargetMode="External"/><Relationship Id="rId81" Type="http://schemas.openxmlformats.org/officeDocument/2006/relationships/image" Target="media/image24.png"/><Relationship Id="rId82" Type="http://schemas.openxmlformats.org/officeDocument/2006/relationships/hyperlink" Target="https://doi.org/10.1787/2e2f4eea-en" TargetMode="External"/><Relationship Id="rId83" Type="http://schemas.openxmlformats.org/officeDocument/2006/relationships/hyperlink" Target="https://doi.org/10.1787/888934279054" TargetMode="External"/><Relationship Id="rId84" Type="http://schemas.openxmlformats.org/officeDocument/2006/relationships/image" Target="media/image25.png"/><Relationship Id="rId85" Type="http://schemas.openxmlformats.org/officeDocument/2006/relationships/hyperlink" Target="https://doi.org/10.1787/bb688e68-en" TargetMode="External"/><Relationship Id="rId86" Type="http://schemas.openxmlformats.org/officeDocument/2006/relationships/hyperlink" Target="https://doi.org/10.1787/888934279073" TargetMode="External"/><Relationship Id="rId87" Type="http://schemas.openxmlformats.org/officeDocument/2006/relationships/hyperlink" Target="https://doi.org/10.1787/edu-data-en" TargetMode="External"/><Relationship Id="rId88" Type="http://schemas.openxmlformats.org/officeDocument/2006/relationships/image" Target="media/image26.png"/><Relationship Id="rId89" Type="http://schemas.openxmlformats.org/officeDocument/2006/relationships/hyperlink" Target="https://doi.org/10.1787/888934279092" TargetMode="External"/><Relationship Id="rId90" Type="http://schemas.openxmlformats.org/officeDocument/2006/relationships/hyperlink" Target="https://stats.oecd.org/Index.aspx?DataSetCode=HISTPOP" TargetMode="External"/><Relationship Id="rId91" Type="http://schemas.openxmlformats.org/officeDocument/2006/relationships/hyperlink" Target="https://www.oecd.org/sti/scoreboard.htm" TargetMode="External"/><Relationship Id="rId92" Type="http://schemas.openxmlformats.org/officeDocument/2006/relationships/image" Target="media/image27.png"/><Relationship Id="rId93" Type="http://schemas.openxmlformats.org/officeDocument/2006/relationships/image" Target="media/image28.png"/><Relationship Id="rId94" Type="http://schemas.openxmlformats.org/officeDocument/2006/relationships/image" Target="media/image29.png"/><Relationship Id="rId95" Type="http://schemas.openxmlformats.org/officeDocument/2006/relationships/image" Target="media/image30.png"/><Relationship Id="rId96" Type="http://schemas.openxmlformats.org/officeDocument/2006/relationships/image" Target="media/image31.png"/><Relationship Id="rId97" Type="http://schemas.openxmlformats.org/officeDocument/2006/relationships/hyperlink" Target="https://doi.org/10.1787/888934279111" TargetMode="External"/><Relationship Id="rId98" Type="http://schemas.openxmlformats.org/officeDocument/2006/relationships/hyperlink" Target="https://saavs.sk/" TargetMode="External"/><Relationship Id="rId99" Type="http://schemas.openxmlformats.org/officeDocument/2006/relationships/hyperlink" Target="https://erc.europa.eu/" TargetMode="External"/><Relationship Id="rId100" Type="http://schemas.openxmlformats.org/officeDocument/2006/relationships/hyperlink" Target="http://www.cvtisr.sk/cvti-sr-vedecka-kniznica/informacie-" TargetMode="External"/><Relationship Id="rId101" Type="http://schemas.openxmlformats.org/officeDocument/2006/relationships/hyperlink" Target="http://www.cvtisr.sk/cvti-sr-vedecka-kniznica/informacie-o-skolstve/statistiky/statisticka-" TargetMode="External"/><Relationship Id="rId102" Type="http://schemas.openxmlformats.org/officeDocument/2006/relationships/hyperlink" Target="http://appsso.eurostat.ec.europa.eu/nui/show.do?dataset=demo_pjan" TargetMode="External"/><Relationship Id="rId103" Type="http://schemas.openxmlformats.org/officeDocument/2006/relationships/hyperlink" Target="http://www.minedu.sk/data/att/18483.pdf" TargetMode="External"/><Relationship Id="rId104" Type="http://schemas.openxmlformats.org/officeDocument/2006/relationships/hyperlink" Target="http://www.mirri.gov.sk/wp-" TargetMode="External"/><Relationship Id="rId105" Type="http://schemas.openxmlformats.org/officeDocument/2006/relationships/hyperlink" Target="http://www.minedu.sk/vyrocne-spravy-o-stave-vysokeho-" TargetMode="External"/><Relationship Id="rId106" Type="http://schemas.openxmlformats.org/officeDocument/2006/relationships/hyperlink" Target="http://www.minedu.sk/data/att/10640.pdf" TargetMode="External"/><Relationship Id="rId107" Type="http://schemas.openxmlformats.org/officeDocument/2006/relationships/hyperlink" Target="http://www.slov-lex.sk/pravne-predpisy/SK/ZZ/2018/269/20181101" TargetMode="External"/><Relationship Id="rId108" Type="http://schemas.openxmlformats.org/officeDocument/2006/relationships/hyperlink" Target="http://www.zakonypreludi.sk/zz/2002-131" TargetMode="External"/><Relationship Id="rId109" Type="http://schemas.openxmlformats.org/officeDocument/2006/relationships/hyperlink" Target="http://www.oecd.org/economy/growth/Slovak-Republic-country-note-going-" TargetMode="External"/><Relationship Id="rId110" Type="http://schemas.openxmlformats.org/officeDocument/2006/relationships/hyperlink" Target="http://www.oecd.org/sti/scoreboard.htm" TargetMode="External"/><Relationship Id="rId111" Type="http://schemas.openxmlformats.org/officeDocument/2006/relationships/hyperlink" Target="http://www.topuniversities.com/university-rankings/world-university-rankings/2021" TargetMode="External"/><Relationship Id="rId112" Type="http://schemas.openxmlformats.org/officeDocument/2006/relationships/hyperlink" Target="http://dx.doi.org/10.5817/CZ.MUNI.P210" TargetMode="External"/><Relationship Id="rId113" Type="http://schemas.openxmlformats.org/officeDocument/2006/relationships/hyperlink" Target="http://www.shanghairanking.com/rankings/arwu/2020" TargetMode="External"/><Relationship Id="rId114" Type="http://schemas.openxmlformats.org/officeDocument/2006/relationships/hyperlink" Target="http://svizualizace.tc.cas.cz/maps/main.html" TargetMode="External"/><Relationship Id="rId115" Type="http://schemas.openxmlformats.org/officeDocument/2006/relationships/hyperlink" Target="http://www.timeshighereducation.com/world-university-rankings/2021/world-" TargetMode="External"/><Relationship Id="rId116" Type="http://schemas.openxmlformats.org/officeDocument/2006/relationships/hyperlink" Target="http://www.timeshighereducation.com/world-university-rankings/2021/young-university-" TargetMode="External"/><Relationship Id="rId117" Type="http://schemas.openxmlformats.org/officeDocument/2006/relationships/hyperlink" Target="http://dx.doi.org/10.1007/bf01450272" TargetMode="External"/><Relationship Id="rId118" Type="http://schemas.openxmlformats.org/officeDocument/2006/relationships/hyperlink" Target="http://www.usnews.com/education/best-global-universities/rankings" TargetMode="External"/><Relationship Id="rId119" Type="http://schemas.openxmlformats.org/officeDocument/2006/relationships/hyperlink" Target="http://www.minedu.sk/data/att/16941.pdf" TargetMode="External"/><Relationship Id="rId120" Type="http://schemas.openxmlformats.org/officeDocument/2006/relationships/header" Target="header14.xml"/><Relationship Id="rId121" Type="http://schemas.openxmlformats.org/officeDocument/2006/relationships/header" Target="header15.xml"/><Relationship Id="rId122" Type="http://schemas.openxmlformats.org/officeDocument/2006/relationships/footer" Target="footer15.xml"/><Relationship Id="rId123" Type="http://schemas.openxmlformats.org/officeDocument/2006/relationships/footer" Target="footer16.xml"/><Relationship Id="rId124" Type="http://schemas.openxmlformats.org/officeDocument/2006/relationships/hyperlink" Target="https://www.minedu.sk/data/att/10640.pdf" TargetMode="External"/><Relationship Id="rId125" Type="http://schemas.openxmlformats.org/officeDocument/2006/relationships/hyperlink" Target="https://www.minedu.sk/data/att/20126.pdf" TargetMode="External"/><Relationship Id="rId126" Type="http://schemas.openxmlformats.org/officeDocument/2006/relationships/hyperlink" Target="https://en.todarozum.sk/" TargetMode="External"/><Relationship Id="rId127" Type="http://schemas.openxmlformats.org/officeDocument/2006/relationships/hyperlink" Target="https://assets.publishing.service.gov.uk/government/uploads/system/uploads/attachment_data/file/658490/Teaching_Excellence_and_Student_Outcomes_Framework_Specification.pdf" TargetMode="External"/><Relationship Id="rId128" Type="http://schemas.openxmlformats.org/officeDocument/2006/relationships/hyperlink" Target="https://assets.publishing.service.gov.uk/government/uploads/system/uploads/attachment_data/file/940301/5._ONS_Statistical_Evaluation_-_accessible_Sept_2020.pdf" TargetMode="External"/><Relationship Id="rId129" Type="http://schemas.openxmlformats.org/officeDocument/2006/relationships/image" Target="media/image32.png"/><Relationship Id="rId130" Type="http://schemas.openxmlformats.org/officeDocument/2006/relationships/image" Target="media/image33.png"/><Relationship Id="rId131" Type="http://schemas.openxmlformats.org/officeDocument/2006/relationships/hyperlink" Target="https://doi.org/10.1787/888934279130" TargetMode="External"/><Relationship Id="rId132" Type="http://schemas.openxmlformats.org/officeDocument/2006/relationships/image" Target="media/image34.png"/><Relationship Id="rId133" Type="http://schemas.openxmlformats.org/officeDocument/2006/relationships/image" Target="media/image35.png"/><Relationship Id="rId134" Type="http://schemas.openxmlformats.org/officeDocument/2006/relationships/hyperlink" Target="https://oe.cd/israel-disclaimer" TargetMode="External"/><Relationship Id="rId135" Type="http://schemas.openxmlformats.org/officeDocument/2006/relationships/hyperlink" Target="https://doi.org/10.1787/888934279149" TargetMode="External"/><Relationship Id="rId136" Type="http://schemas.openxmlformats.org/officeDocument/2006/relationships/hyperlink" Target="https://dx.doi.org/10.1787/69096873-en" TargetMode="External"/><Relationship Id="rId137" Type="http://schemas.openxmlformats.org/officeDocument/2006/relationships/image" Target="media/image36.png"/><Relationship Id="rId138" Type="http://schemas.openxmlformats.org/officeDocument/2006/relationships/image" Target="media/image37.png"/><Relationship Id="rId139" Type="http://schemas.openxmlformats.org/officeDocument/2006/relationships/image" Target="media/image38.png"/><Relationship Id="rId140" Type="http://schemas.openxmlformats.org/officeDocument/2006/relationships/image" Target="media/image39.png"/><Relationship Id="rId141" Type="http://schemas.openxmlformats.org/officeDocument/2006/relationships/image" Target="media/image40.png"/><Relationship Id="rId142" Type="http://schemas.openxmlformats.org/officeDocument/2006/relationships/image" Target="media/image41.png"/><Relationship Id="rId143" Type="http://schemas.openxmlformats.org/officeDocument/2006/relationships/image" Target="media/image42.png"/><Relationship Id="rId144" Type="http://schemas.openxmlformats.org/officeDocument/2006/relationships/hyperlink" Target="https://www.minedu.sk/677-sk/financovanie/" TargetMode="External"/><Relationship Id="rId145" Type="http://schemas.openxmlformats.org/officeDocument/2006/relationships/hyperlink" Target="https://doi.org/10.1787/888934279168" TargetMode="External"/><Relationship Id="rId146" Type="http://schemas.openxmlformats.org/officeDocument/2006/relationships/hyperlink" Target="https://profesijnybakalar.sk/" TargetMode="External"/><Relationship Id="rId147" Type="http://schemas.openxmlformats.org/officeDocument/2006/relationships/hyperlink" Target="https://uplatnenie.sk/" TargetMode="External"/><Relationship Id="rId148" Type="http://schemas.openxmlformats.org/officeDocument/2006/relationships/hyperlink" Target="https://www.stabilizacnepozicky.sk/" TargetMode="External"/><Relationship Id="rId149" Type="http://schemas.openxmlformats.org/officeDocument/2006/relationships/hyperlink" Target="https://dx.doi.org/10.1787/bb688e68-en" TargetMode="External"/><Relationship Id="rId150" Type="http://schemas.openxmlformats.org/officeDocument/2006/relationships/hyperlink" Target="https://www.ewi-vlaanderen.be/nieuws/vlaamse-regering-keurt-bof-besluit-definitief-goed-35-miljoen-euro-extra-voor-universiteiten" TargetMode="External"/><Relationship Id="rId151" Type="http://schemas.openxmlformats.org/officeDocument/2006/relationships/hyperlink" Target="https://www.eua.eu/downloads/publications/university%20autonomy%20in%20europe%20iii%20the%20scorecard%202017.pdf" TargetMode="External"/><Relationship Id="rId152" Type="http://schemas.openxmlformats.org/officeDocument/2006/relationships/image" Target="media/image43.png"/><Relationship Id="rId153" Type="http://schemas.openxmlformats.org/officeDocument/2006/relationships/hyperlink" Target="https://www.zakonypreludi.sk/zz/2002-131" TargetMode="External"/><Relationship Id="rId154" Type="http://schemas.openxmlformats.org/officeDocument/2006/relationships/image" Target="media/image44.jpeg"/><Relationship Id="rId155" Type="http://schemas.openxmlformats.org/officeDocument/2006/relationships/hyperlink" Target="https://finlex.fi/fi/laki/kaannokset/1997/en19970645_20061453.pdf" TargetMode="External"/><Relationship Id="rId156" Type="http://schemas.openxmlformats.org/officeDocument/2006/relationships/hyperlink" Target="https://www.finlex.fi/en/laki/kaannokset/2009/en20090558.pdf" TargetMode="External"/><Relationship Id="rId157" Type="http://schemas.openxmlformats.org/officeDocument/2006/relationships/hyperlink" Target="https://data.dre.pt/eli/lei/62/2007/09/10/p/dre/pt/html" TargetMode="External"/><Relationship Id="rId158" Type="http://schemas.openxmlformats.org/officeDocument/2006/relationships/hyperlink" Target="http://www.cnrs.fr/fr/cnrsinfo/classement-de-shanghai-2020-la-recherche-francaise-" TargetMode="External"/><Relationship Id="rId159" Type="http://schemas.openxmlformats.org/officeDocument/2006/relationships/hyperlink" Target="http://dx.doi.org/10.1177/0002716214541042" TargetMode="External"/><Relationship Id="rId160" Type="http://schemas.openxmlformats.org/officeDocument/2006/relationships/hyperlink" Target="http://www.ebrd.com/documents/comms-and-bis/country-" TargetMode="External"/><Relationship Id="rId161" Type="http://schemas.openxmlformats.org/officeDocument/2006/relationships/hyperlink" Target="http://www.ecoom.be/en/vabb-" TargetMode="External"/><Relationship Id="rId162" Type="http://schemas.openxmlformats.org/officeDocument/2006/relationships/hyperlink" Target="http://dx.doi.org/10.2478/jdis-2018-0020" TargetMode="External"/><Relationship Id="rId163" Type="http://schemas.openxmlformats.org/officeDocument/2006/relationships/hyperlink" Target="http://www.joanneum.at/fileadmin/user_upload/ETER_AnalyticalReport_01_final.pdf" TargetMode="External"/><Relationship Id="rId164" Type="http://schemas.openxmlformats.org/officeDocument/2006/relationships/hyperlink" Target="http://appsso.eurostat.ec.europa.eu/nui/show.do?dataset=educ_uoe_perd02&amp;lang=en" TargetMode="External"/><Relationship Id="rId165" Type="http://schemas.openxmlformats.org/officeDocument/2006/relationships/hyperlink" Target="http://www.finlex.fi/en/laki/kaannokset/2009/en20090558.pdf" TargetMode="External"/><Relationship Id="rId166" Type="http://schemas.openxmlformats.org/officeDocument/2006/relationships/hyperlink" Target="http://www.ewi-vlaanderen.be/nieuws/vlaamse-regering-" TargetMode="External"/><Relationship Id="rId167" Type="http://schemas.openxmlformats.org/officeDocument/2006/relationships/hyperlink" Target="http://www.fnpv.sk/chcem-pozicku-student" TargetMode="External"/><Relationship Id="rId168" Type="http://schemas.openxmlformats.org/officeDocument/2006/relationships/hyperlink" Target="http://www.education.gouv.fr/reperes-et-references-statistiques-2020-" TargetMode="External"/><Relationship Id="rId169" Type="http://schemas.openxmlformats.org/officeDocument/2006/relationships/hyperlink" Target="http://www.ub-cooperation.eu/index/slovakiabus" TargetMode="External"/><Relationship Id="rId170" Type="http://schemas.openxmlformats.org/officeDocument/2006/relationships/hyperlink" Target="http://m.likumi.lv/doc.php?id=266406" TargetMode="External"/><Relationship Id="rId171" Type="http://schemas.openxmlformats.org/officeDocument/2006/relationships/hyperlink" Target="http://www.partnerskadohoda.gov.sk/eurofondy-cerpanie-penazi-eu-dosiahlo-k-" TargetMode="External"/><Relationship Id="rId172" Type="http://schemas.openxmlformats.org/officeDocument/2006/relationships/hyperlink" Target="http://dx.doi.org/10.3917/rfap.169.0037" TargetMode="External"/><Relationship Id="rId173" Type="http://schemas.openxmlformats.org/officeDocument/2006/relationships/hyperlink" Target="http://www.iua.ie/publications/code-of-governance-for-irish-universities-" TargetMode="External"/><Relationship Id="rId174" Type="http://schemas.openxmlformats.org/officeDocument/2006/relationships/hyperlink" Target="http://dx.doi.org/10.2760/70120" TargetMode="External"/><Relationship Id="rId175" Type="http://schemas.openxmlformats.org/officeDocument/2006/relationships/hyperlink" Target="http://www.izm.gov.lv/lv/informativais-zinojums-par-izglitibas-attistibas-pamatnostadnu-2014-" TargetMode="External"/><Relationship Id="rId176" Type="http://schemas.openxmlformats.org/officeDocument/2006/relationships/hyperlink" Target="http://www.advance-he.ac.uk/sites/default/files/2019-05/Insight%20Guide%20-" TargetMode="External"/><Relationship Id="rId177" Type="http://schemas.openxmlformats.org/officeDocument/2006/relationships/hyperlink" Target="http://www.legifrance.gouv.fr/jorf/id/JORFTEXT000037800979/" TargetMode="External"/><Relationship Id="rId178" Type="http://schemas.openxmlformats.org/officeDocument/2006/relationships/hyperlink" Target="http://www.legifrance.gouv.fr/codes/section_lc/LEGITEXT000006071191/LEGISCTA000027" TargetMode="External"/><Relationship Id="rId179" Type="http://schemas.openxmlformats.org/officeDocument/2006/relationships/hyperlink" Target="http://www.legifrance.gouv.fr/dossierlegislatif/JORFDOLE000027197524/" TargetMode="External"/><Relationship Id="rId180" Type="http://schemas.openxmlformats.org/officeDocument/2006/relationships/hyperlink" Target="http://www.minedu.sk/data/att/11874.pdf" TargetMode="External"/><Relationship Id="rId181" Type="http://schemas.openxmlformats.org/officeDocument/2006/relationships/hyperlink" Target="http://www.minedu.sk/677-sk/financovanie/" TargetMode="External"/><Relationship Id="rId182" Type="http://schemas.openxmlformats.org/officeDocument/2006/relationships/hyperlink" Target="http://www.minedu.sk/data/att/20126.pdf" TargetMode="External"/><Relationship Id="rId183" Type="http://schemas.openxmlformats.org/officeDocument/2006/relationships/hyperlink" Target="http://www.minedu.sk/21395-sk/revizia-vydavkov-na-" TargetMode="External"/><Relationship Id="rId184" Type="http://schemas.openxmlformats.org/officeDocument/2006/relationships/hyperlink" Target="http://www.oecd.org/sdd/labour-stats/Job-quality-OECD.pdf" TargetMode="External"/><Relationship Id="rId185" Type="http://schemas.openxmlformats.org/officeDocument/2006/relationships/hyperlink" Target="http://www.officeforstudents.org.uk/media/1406/ofs2018_01.pdf" TargetMode="External"/><Relationship Id="rId186" Type="http://schemas.openxmlformats.org/officeDocument/2006/relationships/hyperlink" Target="http://dx.doi.org/10.1093/reseval/rvs019" TargetMode="External"/><Relationship Id="rId187" Type="http://schemas.openxmlformats.org/officeDocument/2006/relationships/hyperlink" Target="http://www.eua.eu/downloads/publications/university%20autonomy%20in%20europe%20iii%25" TargetMode="External"/><Relationship Id="rId188" Type="http://schemas.openxmlformats.org/officeDocument/2006/relationships/hyperlink" Target="http://www.srk.sk/sk/aktuality/407-slovenske-univerzitu-budu-sucastou-iniciativy-european-" TargetMode="External"/><Relationship Id="rId189" Type="http://schemas.openxmlformats.org/officeDocument/2006/relationships/hyperlink" Target="http://www.gov.uk/government/publications/independent-review-of-tef-report" TargetMode="External"/><Relationship Id="rId190" Type="http://schemas.openxmlformats.org/officeDocument/2006/relationships/hyperlink" Target="http://www.uplatnenie.sk/" TargetMode="External"/><Relationship Id="rId191" Type="http://schemas.openxmlformats.org/officeDocument/2006/relationships/hyperlink" Target="http://www.gov.uk/government/publications/evaluation-of-provider-level-tef-2016-to-2017-" TargetMode="External"/><Relationship Id="rId192" Type="http://schemas.openxmlformats.org/officeDocument/2006/relationships/header" Target="header16.xml"/><Relationship Id="rId193" Type="http://schemas.openxmlformats.org/officeDocument/2006/relationships/footer" Target="footer17.xml"/><Relationship Id="rId194" Type="http://schemas.openxmlformats.org/officeDocument/2006/relationships/header" Target="header17.xml"/><Relationship Id="rId195" Type="http://schemas.openxmlformats.org/officeDocument/2006/relationships/footer" Target="footer18.xml"/><Relationship Id="rId196" Type="http://schemas.openxmlformats.org/officeDocument/2006/relationships/footer" Target="footer19.xml"/><Relationship Id="rId197" Type="http://schemas.openxmlformats.org/officeDocument/2006/relationships/header" Target="header18.xml"/><Relationship Id="rId198" Type="http://schemas.openxmlformats.org/officeDocument/2006/relationships/hyperlink" Target="https://doi.org/10.1787/f8d7880d-en" TargetMode="External"/><Relationship Id="rId199" Type="http://schemas.openxmlformats.org/officeDocument/2006/relationships/header" Target="header19.xml"/><Relationship Id="rId200" Type="http://schemas.openxmlformats.org/officeDocument/2006/relationships/header" Target="header20.xml"/><Relationship Id="rId201" Type="http://schemas.openxmlformats.org/officeDocument/2006/relationships/footer" Target="footer20.xml"/><Relationship Id="rId202" Type="http://schemas.openxmlformats.org/officeDocument/2006/relationships/footer" Target="footer21.xml"/><Relationship Id="rId203" Type="http://schemas.openxmlformats.org/officeDocument/2006/relationships/hyperlink" Target="https://doi.org/10.1787/9789264308138-en" TargetMode="External"/><Relationship Id="rId204" Type="http://schemas.openxmlformats.org/officeDocument/2006/relationships/image" Target="media/image45.jpeg"/><Relationship Id="rId205" Type="http://schemas.openxmlformats.org/officeDocument/2006/relationships/hyperlink" Target="http://www.university-autonomy.eu/" TargetMode="External"/><Relationship Id="rId206" Type="http://schemas.openxmlformats.org/officeDocument/2006/relationships/hyperlink" Target="https://www.fibrenamics.com/en/business/partners/bosch-innovative-car-hmi" TargetMode="External"/><Relationship Id="rId207" Type="http://schemas.openxmlformats.org/officeDocument/2006/relationships/hyperlink" Target="https://www.eng.uminho.pt/en/researchinnovate/projectsinindustry/Pages/programmeinnovativecarhmi.aspx" TargetMode="External"/><Relationship Id="rId208" Type="http://schemas.openxmlformats.org/officeDocument/2006/relationships/hyperlink" Target="https://innovativecarhmi.com/factory-of-the-future#factory-of-the-future1" TargetMode="External"/><Relationship Id="rId209" Type="http://schemas.openxmlformats.org/officeDocument/2006/relationships/hyperlink" Target="https://eacea.ec.europa.eu/national-policies/eurydice/content/higher-education-funding-25_en" TargetMode="External"/><Relationship Id="rId210" Type="http://schemas.openxmlformats.org/officeDocument/2006/relationships/hyperlink" Target="https://www.aalto.fi/sites/g/files/flghsv161/files/2019-09/aalto_tenure_track_policies_and_procedures_eng_20190307.pdf" TargetMode="External"/><Relationship Id="rId211" Type="http://schemas.openxmlformats.org/officeDocument/2006/relationships/hyperlink" Target="https://www.itu.int/en/ITU-D/Capacity-Building/Documents/ITU-Academia%20Partnership%20Meeting%202017/Presentations/Session%204/3TiinaTuulos.pdf" TargetMode="External"/><Relationship Id="rId212" Type="http://schemas.openxmlformats.org/officeDocument/2006/relationships/hyperlink" Target="https://www.helsinki.fi/en/university/careers-at-the-university-of-helsinki/tenure-track/a-tailored-career-path" TargetMode="External"/><Relationship Id="rId213" Type="http://schemas.openxmlformats.org/officeDocument/2006/relationships/image" Target="media/image46.jpeg"/><Relationship Id="rId214" Type="http://schemas.openxmlformats.org/officeDocument/2006/relationships/hyperlink" Target="http://www.aalto.fi/sites/g/files/flghsv161/files/2020-" TargetMode="External"/><Relationship Id="rId215" Type="http://schemas.openxmlformats.org/officeDocument/2006/relationships/hyperlink" Target="http://www.aalto.fi/sites/g/files/flghsv161/files/2019-" TargetMode="External"/><Relationship Id="rId216" Type="http://schemas.openxmlformats.org/officeDocument/2006/relationships/hyperlink" Target="http://www.dges.gov.pt/pt/noticia/conselho-coordenador-do-ensino-superior" TargetMode="External"/><Relationship Id="rId217" Type="http://schemas.openxmlformats.org/officeDocument/2006/relationships/hyperlink" Target="http://www.eter-project.com/" TargetMode="External"/><Relationship Id="rId218" Type="http://schemas.openxmlformats.org/officeDocument/2006/relationships/hyperlink" Target="http://www.fibrenamics.com/en/business/partners/bosch-innovative-car-hmi" TargetMode="External"/><Relationship Id="rId219" Type="http://schemas.openxmlformats.org/officeDocument/2006/relationships/hyperlink" Target="http://www.jstor.org/stable/1503784" TargetMode="External"/><Relationship Id="rId220" Type="http://schemas.openxmlformats.org/officeDocument/2006/relationships/hyperlink" Target="http://www.aviisi.fi/2016/11/tampere-3-seems-to-be-cracking-but-so-did-" TargetMode="External"/><Relationship Id="rId221" Type="http://schemas.openxmlformats.org/officeDocument/2006/relationships/hyperlink" Target="http://dx.doi.org/10.2307/20045309" TargetMode="External"/><Relationship Id="rId222" Type="http://schemas.openxmlformats.org/officeDocument/2006/relationships/hyperlink" Target="http://www.finlex.fi/fi/laki/kaannokset/2014/en20140932_20160563.pdf" TargetMode="External"/><Relationship Id="rId223" Type="http://schemas.openxmlformats.org/officeDocument/2006/relationships/hyperlink" Target="http://www.universityworldnews.com/post.php?story=2019011013130145" TargetMode="External"/><Relationship Id="rId224" Type="http://schemas.openxmlformats.org/officeDocument/2006/relationships/hyperlink" Target="http://www.stat.fi/til/evaa/index_en.html" TargetMode="External"/><Relationship Id="rId225" Type="http://schemas.openxmlformats.org/officeDocument/2006/relationships/hyperlink" Target="http://library.oapen.org/handle/20.500.12657/28911" TargetMode="External"/><Relationship Id="rId226" Type="http://schemas.openxmlformats.org/officeDocument/2006/relationships/hyperlink" Target="http://www.cedefop.europa.eu/en/news-and-press/news/finland-polytechnics-reform-" TargetMode="External"/><Relationship Id="rId227" Type="http://schemas.openxmlformats.org/officeDocument/2006/relationships/hyperlink" Target="http://www.helsinki.fi/en/news/higher-education-science-" TargetMode="External"/><Relationship Id="rId228" Type="http://schemas.openxmlformats.org/officeDocument/2006/relationships/hyperlink" Target="http://dx.doi.org/10.1111/j.1468-" TargetMode="External"/><Relationship Id="rId229" Type="http://schemas.openxmlformats.org/officeDocument/2006/relationships/hyperlink" Target="http://nord-vet.dk/indhold/uploads/History-of-Finnish-VET-29062014final.pdf" TargetMode="External"/><Relationship Id="rId230" Type="http://schemas.openxmlformats.org/officeDocument/2006/relationships/hyperlink" Target="http://www.itu.int/en/ITU-D/Capacity-Building/Documents/ITU-AcademiaPartnershipMeeting" TargetMode="External"/><Relationship Id="rId231" Type="http://schemas.openxmlformats.org/officeDocument/2006/relationships/hyperlink" Target="http://www.unifi.fi/in-english/" TargetMode="External"/><Relationship Id="rId232" Type="http://schemas.openxmlformats.org/officeDocument/2006/relationships/hyperlink" Target="http://www.eng.uminho.pt/en/researchinnovate/projectsinindustry/Pages/programmeinnovati" TargetMode="External"/><Relationship Id="rId233" Type="http://schemas.openxmlformats.org/officeDocument/2006/relationships/hyperlink" Target="http://www.helsinki.fi/en/university/careers-" TargetMode="External"/><Relationship Id="rId234" Type="http://schemas.openxmlformats.org/officeDocument/2006/relationships/hyperlink" Target="http://www.utu.fi/en/university-" TargetMode="External"/><Relationship Id="rId235" Type="http://schemas.openxmlformats.org/officeDocument/2006/relationships/hyperlink" Target="http://dx.doi.org/10.1007/978-1-4020-4616-2_3" TargetMode="External"/><Relationship Id="rId236" Type="http://schemas.openxmlformats.org/officeDocument/2006/relationships/hyperlink" Target="http://dx.doi.org/10.1080/13583883.2016.1205123" TargetMode="External"/><Relationship Id="rId237" Type="http://schemas.openxmlformats.org/officeDocument/2006/relationships/hyperlink" Target="http://dx.doi.org/10.1007/978-3-030-50555-4_9" TargetMode="External"/><Relationship Id="rId238" Type="http://schemas.openxmlformats.org/officeDocument/2006/relationships/header" Target="header21.xml"/><Relationship Id="rId239" Type="http://schemas.openxmlformats.org/officeDocument/2006/relationships/footer" Target="footer22.xml"/><Relationship Id="rId240" Type="http://schemas.openxmlformats.org/officeDocument/2006/relationships/header" Target="header22.xml"/><Relationship Id="rId241" Type="http://schemas.openxmlformats.org/officeDocument/2006/relationships/footer" Target="footer23.xml"/><Relationship Id="rId242" Type="http://schemas.openxmlformats.org/officeDocument/2006/relationships/header" Target="header23.xml"/><Relationship Id="rId243" Type="http://schemas.openxmlformats.org/officeDocument/2006/relationships/footer" Target="footer24.xml"/><Relationship Id="rId244" Type="http://schemas.openxmlformats.org/officeDocument/2006/relationships/image" Target="media/image47.png"/><Relationship Id="rId245" Type="http://schemas.openxmlformats.org/officeDocument/2006/relationships/image" Target="media/image48.png"/><Relationship Id="rId246" Type="http://schemas.openxmlformats.org/officeDocument/2006/relationships/image" Target="media/image49.png"/><Relationship Id="rId247" Type="http://schemas.openxmlformats.org/officeDocument/2006/relationships/image" Target="media/image50.png"/><Relationship Id="rId248" Type="http://schemas.openxmlformats.org/officeDocument/2006/relationships/image" Target="media/image51.png"/><Relationship Id="rId249" Type="http://schemas.openxmlformats.org/officeDocument/2006/relationships/image" Target="media/image52.png"/><Relationship Id="rId250" Type="http://schemas.openxmlformats.org/officeDocument/2006/relationships/image" Target="media/image53.png"/><Relationship Id="rId2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Mangeol</dc:creator>
  <dc:title>Improving Higher Education in the Slovak Republic</dc:title>
  <dcterms:created xsi:type="dcterms:W3CDTF">2021-11-16T10:30:23Z</dcterms:created>
  <dcterms:modified xsi:type="dcterms:W3CDTF">2021-11-16T10:30:23Z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2021-11-16T00:00:00Z</vt:filetime>
  </property>
</Properties>
</file>