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E2" w:rsidRPr="00B670E2" w:rsidRDefault="00B670E2" w:rsidP="00B670E2">
      <w:pPr>
        <w:shd w:val="clear" w:color="auto" w:fill="FFFFFF"/>
        <w:spacing w:after="72" w:line="240" w:lineRule="auto"/>
        <w:textAlignment w:val="baseline"/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</w:pPr>
      <w:proofErr w:type="spellStart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>Application</w:t>
      </w:r>
      <w:proofErr w:type="spellEnd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>for</w:t>
      </w:r>
      <w:proofErr w:type="spellEnd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>the</w:t>
      </w:r>
      <w:proofErr w:type="spellEnd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 xml:space="preserve"> change in </w:t>
      </w:r>
      <w:proofErr w:type="spellStart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>the</w:t>
      </w:r>
      <w:proofErr w:type="spellEnd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>data</w:t>
      </w:r>
      <w:proofErr w:type="spellEnd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 xml:space="preserve"> on </w:t>
      </w:r>
      <w:proofErr w:type="spellStart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>the</w:t>
      </w:r>
      <w:proofErr w:type="spellEnd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 xml:space="preserve"> study </w:t>
      </w:r>
      <w:proofErr w:type="spellStart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>programme</w:t>
      </w:r>
      <w:proofErr w:type="spellEnd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>according</w:t>
      </w:r>
      <w:proofErr w:type="spellEnd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 xml:space="preserve"> to § 39 par. 2 of </w:t>
      </w:r>
      <w:proofErr w:type="spellStart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>Act</w:t>
      </w:r>
      <w:proofErr w:type="spellEnd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 xml:space="preserve"> no. 269/2018 </w:t>
      </w:r>
      <w:proofErr w:type="spellStart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>Coll</w:t>
      </w:r>
      <w:proofErr w:type="spellEnd"/>
      <w:r w:rsidRPr="00B670E2">
        <w:rPr>
          <w:rFonts w:ascii="inherit" w:eastAsia="Times New Roman" w:hAnsi="inherit" w:cs="Arial"/>
          <w:b/>
          <w:color w:val="3D3D3D"/>
          <w:sz w:val="28"/>
          <w:szCs w:val="28"/>
          <w:lang w:eastAsia="sk-SK"/>
        </w:rPr>
        <w:t>.</w:t>
      </w:r>
    </w:p>
    <w:p w:rsidR="003008A2" w:rsidRDefault="003008A2" w:rsidP="003008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</w:p>
    <w:p w:rsidR="00011777" w:rsidRDefault="003008A2" w:rsidP="003008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applies</w:t>
      </w:r>
      <w:proofErr w:type="spellEnd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 change </w:t>
      </w:r>
      <w:r w:rsidR="00011777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in </w:t>
      </w:r>
      <w:proofErr w:type="spellStart"/>
      <w:r w:rsidR="00011777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011777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data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011777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according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§ 39 par. 2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Act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no. 269/2018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Coll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.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011777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gency</w:t>
      </w:r>
      <w:proofErr w:type="spellEnd"/>
      <w:r w:rsidR="00011777">
        <w:rPr>
          <w:rFonts w:ascii="inherit" w:eastAsia="Times New Roman" w:hAnsi="inherit" w:cs="Arial"/>
          <w:color w:val="3D3D3D"/>
          <w:sz w:val="21"/>
          <w:szCs w:val="21"/>
          <w:lang w:val="en-US" w:eastAsia="sk-SK"/>
        </w:rPr>
        <w:t>’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s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information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system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="00011777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(</w:t>
      </w:r>
      <w:hyperlink r:id="rId4" w:history="1">
        <w:r w:rsidR="00011777" w:rsidRPr="003008A2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https://is.saavs.sk/</w:t>
        </w:r>
      </w:hyperlink>
      <w:r w:rsidR="00011777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).</w:t>
      </w:r>
    </w:p>
    <w:p w:rsidR="003008A2" w:rsidRPr="00011777" w:rsidRDefault="003008A2" w:rsidP="003008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</w:pP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If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the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higher</w:t>
      </w:r>
      <w:proofErr w:type="spellEnd"/>
      <w:r w:rsid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education</w:t>
      </w:r>
      <w:proofErr w:type="spellEnd"/>
      <w:r w:rsid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institution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does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not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have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access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to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the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="00011777"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A</w:t>
      </w:r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gency</w:t>
      </w:r>
      <w:proofErr w:type="spellEnd"/>
      <w:r w:rsidR="00011777" w:rsidRPr="00011777">
        <w:rPr>
          <w:rFonts w:ascii="inherit" w:eastAsia="Times New Roman" w:hAnsi="inherit" w:cs="Arial"/>
          <w:i/>
          <w:color w:val="3D3D3D"/>
          <w:sz w:val="21"/>
          <w:szCs w:val="21"/>
          <w:lang w:val="en-US" w:eastAsia="sk-SK"/>
        </w:rPr>
        <w:t>’</w:t>
      </w:r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s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information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system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,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it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will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request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access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via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the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address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hyperlink r:id="rId5" w:history="1">
        <w:r w:rsidR="00011777" w:rsidRPr="003008A2">
          <w:rPr>
            <w:rFonts w:ascii="inherit" w:eastAsia="Times New Roman" w:hAnsi="inherit" w:cs="Arial"/>
            <w:i/>
            <w:iCs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ziadosti@saavs.sk</w:t>
        </w:r>
      </w:hyperlink>
      <w:r w:rsidR="00011777" w:rsidRPr="003008A2">
        <w:rPr>
          <w:rFonts w:ascii="inherit" w:eastAsia="Times New Roman" w:hAnsi="inherit" w:cs="Arial"/>
          <w:i/>
          <w:iCs/>
          <w:color w:val="3D3D3D"/>
          <w:sz w:val="21"/>
          <w:szCs w:val="21"/>
          <w:bdr w:val="none" w:sz="0" w:space="0" w:color="auto" w:frame="1"/>
          <w:lang w:eastAsia="sk-SK"/>
        </w:rPr>
        <w:t>,</w:t>
      </w:r>
      <w:r w:rsidR="00011777">
        <w:rPr>
          <w:rFonts w:ascii="inherit" w:eastAsia="Times New Roman" w:hAnsi="inherit" w:cs="Arial"/>
          <w:i/>
          <w:iCs/>
          <w:color w:val="3D3D3D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informing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the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A</w:t>
      </w:r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gency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of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the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name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,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surname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, e-mail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address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and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telephone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contact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of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the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person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authorized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to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enter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the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SAA</w:t>
      </w:r>
      <w:r w:rsid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HE </w:t>
      </w:r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IS on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behalf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of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the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institution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and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submit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 xml:space="preserve"> </w:t>
      </w:r>
      <w:proofErr w:type="spellStart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applications</w:t>
      </w:r>
      <w:proofErr w:type="spellEnd"/>
      <w:r w:rsidRPr="00011777">
        <w:rPr>
          <w:rFonts w:ascii="inherit" w:eastAsia="Times New Roman" w:hAnsi="inherit" w:cs="Arial"/>
          <w:i/>
          <w:color w:val="3D3D3D"/>
          <w:sz w:val="21"/>
          <w:szCs w:val="21"/>
          <w:lang w:eastAsia="sk-SK"/>
        </w:rPr>
        <w:t>.</w:t>
      </w:r>
    </w:p>
    <w:p w:rsidR="003008A2" w:rsidRPr="003008A2" w:rsidRDefault="003008A2" w:rsidP="003008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</w:p>
    <w:p w:rsidR="00011777" w:rsidRDefault="003C135E" w:rsidP="00011777">
      <w:pPr>
        <w:shd w:val="clear" w:color="auto" w:fill="FFFFFF"/>
        <w:spacing w:after="72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hyperlink r:id="rId6" w:history="1">
        <w:proofErr w:type="spellStart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Specimen</w:t>
        </w:r>
        <w:proofErr w:type="spellEnd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 of </w:t>
        </w:r>
        <w:proofErr w:type="spellStart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the</w:t>
        </w:r>
        <w:proofErr w:type="spellEnd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 </w:t>
        </w:r>
        <w:proofErr w:type="spellStart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application</w:t>
        </w:r>
        <w:proofErr w:type="spellEnd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 </w:t>
        </w:r>
        <w:proofErr w:type="spellStart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for</w:t>
        </w:r>
        <w:proofErr w:type="spellEnd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 change in </w:t>
        </w:r>
        <w:proofErr w:type="spellStart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the</w:t>
        </w:r>
        <w:proofErr w:type="spellEnd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 </w:t>
        </w:r>
        <w:proofErr w:type="spellStart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data</w:t>
        </w:r>
        <w:proofErr w:type="spellEnd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 on </w:t>
        </w:r>
        <w:proofErr w:type="spellStart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the</w:t>
        </w:r>
        <w:proofErr w:type="spellEnd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 study </w:t>
        </w:r>
        <w:proofErr w:type="spellStart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programme</w:t>
        </w:r>
        <w:proofErr w:type="spellEnd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 </w:t>
        </w:r>
        <w:proofErr w:type="spellStart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according</w:t>
        </w:r>
        <w:proofErr w:type="spellEnd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 to </w:t>
        </w:r>
        <w:r w:rsidR="00011777" w:rsidRPr="003008A2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§ 39 </w:t>
        </w:r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par</w:t>
        </w:r>
        <w:r w:rsidR="00011777" w:rsidRPr="003008A2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.2 </w:t>
        </w:r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of </w:t>
        </w:r>
        <w:proofErr w:type="spellStart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Act</w:t>
        </w:r>
        <w:proofErr w:type="spellEnd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 no. </w:t>
        </w:r>
        <w:r w:rsidR="00011777" w:rsidRPr="003008A2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269/2018 </w:t>
        </w:r>
        <w:proofErr w:type="spellStart"/>
        <w:r w:rsidR="00011777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Coll</w:t>
        </w:r>
        <w:proofErr w:type="spellEnd"/>
        <w:r w:rsidR="00011777" w:rsidRPr="003008A2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.</w:t>
        </w:r>
      </w:hyperlink>
    </w:p>
    <w:p w:rsidR="003008A2" w:rsidRPr="003008A2" w:rsidRDefault="003008A2" w:rsidP="003008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</w:p>
    <w:p w:rsidR="003008A2" w:rsidRPr="003008A2" w:rsidRDefault="003008A2" w:rsidP="003008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Agency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accepts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chan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ge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data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on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from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1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January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2022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until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first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information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submitted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by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institutions</w:t>
      </w:r>
      <w:proofErr w:type="spellEnd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according</w:t>
      </w:r>
      <w:proofErr w:type="spellEnd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hyperlink r:id="rId7" w:anchor="paragraf-37.odsek-1" w:history="1">
        <w:r w:rsidR="00B670E2" w:rsidRPr="003008A2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 xml:space="preserve">§ 37 </w:t>
        </w:r>
        <w:r w:rsidR="00B670E2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para</w:t>
        </w:r>
        <w:r w:rsidR="00B670E2" w:rsidRPr="003008A2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. 1</w:t>
        </w:r>
      </w:hyperlink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that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has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</w:t>
      </w:r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o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mplied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internal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system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with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tandards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internal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system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but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no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later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than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31 August 2022,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only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if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these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changes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result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from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need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comply</w:t>
      </w:r>
      <w:proofErr w:type="spellEnd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with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tandards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.</w:t>
      </w:r>
    </w:p>
    <w:p w:rsidR="003008A2" w:rsidRPr="003008A2" w:rsidRDefault="003008A2" w:rsidP="003008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</w:p>
    <w:p w:rsidR="003008A2" w:rsidRPr="003008A2" w:rsidRDefault="003008A2" w:rsidP="003008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can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:</w:t>
      </w:r>
    </w:p>
    <w:p w:rsidR="003008A2" w:rsidRPr="003008A2" w:rsidRDefault="003008A2" w:rsidP="003008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</w:p>
    <w:p w:rsidR="003008A2" w:rsidRPr="003008A2" w:rsidRDefault="003008A2" w:rsidP="002F5D8C">
      <w:pPr>
        <w:shd w:val="clear" w:color="auto" w:fill="FFFFFF"/>
        <w:spacing w:before="120" w:after="12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A) a change in a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 Study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Field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or a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combination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two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tudy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Fields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which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 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degree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obtained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by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completing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if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this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change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justified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connection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with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transformation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system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tudy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Fields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,</w:t>
      </w:r>
    </w:p>
    <w:p w:rsidR="003008A2" w:rsidRPr="003008A2" w:rsidRDefault="003008A2" w:rsidP="002F5D8C">
      <w:pPr>
        <w:shd w:val="clear" w:color="auto" w:fill="FFFFFF"/>
        <w:spacing w:before="120" w:after="12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B) </w:t>
      </w:r>
      <w:r w:rsid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a 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change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vision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from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seat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other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than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seat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or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a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seat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F5D8C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="002F5D8C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or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,</w:t>
      </w:r>
    </w:p>
    <w:p w:rsidR="002F5D8C" w:rsidRPr="003008A2" w:rsidRDefault="003008A2" w:rsidP="002F5D8C">
      <w:pPr>
        <w:shd w:val="clear" w:color="auto" w:fill="FFFFFF"/>
        <w:spacing w:before="120" w:after="12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C) change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F5D8C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or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at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which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programme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takes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place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,</w:t>
      </w:r>
    </w:p>
    <w:p w:rsidR="003008A2" w:rsidRPr="003008A2" w:rsidRDefault="003C135E" w:rsidP="002F5D8C">
      <w:pPr>
        <w:shd w:val="clear" w:color="auto" w:fill="FFFFFF"/>
        <w:spacing w:before="120" w:after="12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D) change</w:t>
      </w:r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if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new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better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describes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content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ion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.</w:t>
      </w:r>
    </w:p>
    <w:p w:rsidR="003008A2" w:rsidRPr="003008A2" w:rsidRDefault="003008A2" w:rsidP="003008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also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possible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apply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several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changes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data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one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.</w:t>
      </w:r>
    </w:p>
    <w:p w:rsidR="003008A2" w:rsidRPr="003008A2" w:rsidRDefault="003008A2" w:rsidP="003008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</w:p>
    <w:p w:rsidR="003008A2" w:rsidRPr="003008A2" w:rsidRDefault="002F5D8C" w:rsidP="003008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A </w:t>
      </w:r>
      <w:proofErr w:type="spellStart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when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creating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an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SAA</w:t>
      </w:r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HE IS</w:t>
      </w:r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part</w:t>
      </w:r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I., II. and V.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fill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required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data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(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marked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*).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After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creating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(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Create</w:t>
      </w:r>
      <w:proofErr w:type="spellEnd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button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),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valid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data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about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will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be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started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from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register of study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.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checks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correctness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read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data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and in part V. of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characterizes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and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justifies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required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data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changes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as </w:t>
      </w:r>
      <w:proofErr w:type="spellStart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follows</w:t>
      </w:r>
      <w:proofErr w:type="spellEnd"/>
      <w:r w:rsidR="003008A2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:</w:t>
      </w:r>
    </w:p>
    <w:p w:rsidR="00B670E2" w:rsidRDefault="003008A2" w:rsidP="002F5D8C">
      <w:pPr>
        <w:shd w:val="clear" w:color="auto" w:fill="FFFFFF"/>
        <w:spacing w:before="120" w:after="12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A)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If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requests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 change of 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Study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Field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or a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combination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two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Study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Fields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V.A.1.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will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present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proposal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 new 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Study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Field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Proposal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second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tudy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Field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V.A.2.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possible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propose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only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if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a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combination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tudy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ields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. 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 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V.A.3.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justif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change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tudy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ield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or 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Study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ields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connection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with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transformation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system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tudy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ields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and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degree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content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compliance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with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proposed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tudy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Field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or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ields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following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Art. 2 par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. 5 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of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tandards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Part IX.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attach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assignment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evidence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proposed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tudy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Field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(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.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g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description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recommended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etc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.).</w:t>
      </w:r>
    </w:p>
    <w:p w:rsidR="003008A2" w:rsidRPr="003008A2" w:rsidRDefault="003008A2" w:rsidP="002F5D8C">
      <w:pPr>
        <w:shd w:val="clear" w:color="auto" w:fill="FFFFFF"/>
        <w:spacing w:before="120" w:after="12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B)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If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requests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 change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provision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from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seat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other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than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seat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="00F41EEB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or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to a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seat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or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V.B.1.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select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from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list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at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whose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headquarters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will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take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If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will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not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take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at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but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at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seat</w:t>
      </w:r>
      <w:proofErr w:type="spellEnd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, in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V.B.1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will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choose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"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does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not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take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at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" or "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not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divided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into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faculties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". 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 Part V.B.2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="00F41EEB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justifies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change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providing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and in Part IX.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attaches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lastRenderedPageBreak/>
        <w:t>evidence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this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change (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description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registered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tatute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F41EEB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proved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St</w:t>
      </w:r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atute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).</w:t>
      </w:r>
    </w:p>
    <w:p w:rsidR="00B670E2" w:rsidRPr="003008A2" w:rsidRDefault="003008A2" w:rsidP="002F5D8C">
      <w:pPr>
        <w:shd w:val="clear" w:color="auto" w:fill="FFFFFF"/>
        <w:spacing w:before="120" w:after="12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C)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If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requests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 change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or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at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which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takes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V.C.1.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state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new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or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according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code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list of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.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V.C.2.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state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reasons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change and in Part IX.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attaches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evidence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change (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registered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Statute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approved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Statute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).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possible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change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a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="002E4528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or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register of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if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these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data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are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updated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code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list of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proofErr w:type="spellEnd"/>
      <w:r w:rsidR="002E4528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or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code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list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faculties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university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portal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. </w:t>
      </w:r>
      <w:proofErr w:type="spellStart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Before</w:t>
      </w:r>
      <w:proofErr w:type="spellEnd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applying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="002E4528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will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ensure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previous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registration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a change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="002E4528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code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list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or a change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faculty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code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list of </w:t>
      </w:r>
      <w:proofErr w:type="spellStart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faculties</w:t>
      </w:r>
      <w:proofErr w:type="spellEnd"/>
      <w:r w:rsidR="002F5D8C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.</w:t>
      </w:r>
    </w:p>
    <w:p w:rsidR="003008A2" w:rsidRDefault="003008A2" w:rsidP="00493741">
      <w:pPr>
        <w:shd w:val="clear" w:color="auto" w:fill="FFFFFF"/>
        <w:spacing w:before="120" w:after="12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D)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If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requests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 change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part V.D.1.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will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state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proposal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new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V.D.2.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characterizes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changes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content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due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com</w:t>
      </w:r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piance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with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tandards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and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item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V.D.3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justification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better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compliance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new title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with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content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. 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A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="002E4528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part IX. </w:t>
      </w:r>
      <w:proofErr w:type="spellStart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att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aches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supporting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evidence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a change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</w:t>
      </w:r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(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.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g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.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description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and a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recommended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with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indication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planned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changes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etc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.). A change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can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be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entered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in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register of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only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if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change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results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from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need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comply</w:t>
      </w:r>
      <w:proofErr w:type="spellEnd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with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with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tandards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</w:t>
      </w:r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tudy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and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new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name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better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describes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content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. </w:t>
      </w:r>
    </w:p>
    <w:p w:rsidR="00B670E2" w:rsidRPr="00B670E2" w:rsidRDefault="00B670E2" w:rsidP="00B670E2">
      <w:pPr>
        <w:shd w:val="clear" w:color="auto" w:fill="FFFFFF"/>
        <w:spacing w:after="72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After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applying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(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Submit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button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),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</w:t>
      </w:r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gencys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information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system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generates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an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form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,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which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higher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education</w:t>
      </w:r>
      <w:proofErr w:type="spellEnd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institution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sends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</w:t>
      </w:r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gency</w:t>
      </w:r>
      <w:proofErr w:type="spellEnd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3C135E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via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e-mail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aft</w:t>
      </w:r>
      <w:bookmarkStart w:id="0" w:name="_GoBack"/>
      <w:bookmarkEnd w:id="0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er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being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signed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by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statutes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.</w:t>
      </w:r>
    </w:p>
    <w:p w:rsidR="00B670E2" w:rsidRPr="00B670E2" w:rsidRDefault="002E4528" w:rsidP="00B670E2">
      <w:pPr>
        <w:shd w:val="clear" w:color="auto" w:fill="FFFFFF"/>
        <w:spacing w:after="72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proofErr w:type="spellStart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</w:t>
      </w:r>
      <w:proofErr w:type="spellEnd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for</w:t>
      </w:r>
      <w:proofErr w:type="spellEnd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change </w:t>
      </w:r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in </w:t>
      </w:r>
      <w:proofErr w:type="spellStart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data</w:t>
      </w:r>
      <w:proofErr w:type="spellEnd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on </w:t>
      </w:r>
      <w:proofErr w:type="spellStart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study </w:t>
      </w:r>
      <w:proofErr w:type="spellStart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program</w:t>
      </w:r>
      <w:r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me</w:t>
      </w:r>
      <w:proofErr w:type="spellEnd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according</w:t>
      </w:r>
      <w:proofErr w:type="spellEnd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§39 par. 2 </w:t>
      </w:r>
      <w:proofErr w:type="spellStart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is</w:t>
      </w:r>
      <w:proofErr w:type="spellEnd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free</w:t>
      </w:r>
      <w:proofErr w:type="spellEnd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charge</w:t>
      </w:r>
      <w:proofErr w:type="spellEnd"/>
      <w:r w:rsidR="00B670E2"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.</w:t>
      </w:r>
    </w:p>
    <w:p w:rsidR="002F5D8C" w:rsidRPr="003008A2" w:rsidRDefault="00B670E2" w:rsidP="002F5D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Questions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regarding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submission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of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applications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can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be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sent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to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proofErr w:type="spellStart"/>
      <w:r w:rsidR="002E4528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</w:t>
      </w:r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gency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at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the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email </w:t>
      </w:r>
      <w:proofErr w:type="spellStart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address</w:t>
      </w:r>
      <w:proofErr w:type="spellEnd"/>
      <w:r w:rsidRPr="00B670E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 xml:space="preserve"> </w:t>
      </w:r>
      <w:hyperlink r:id="rId8" w:history="1">
        <w:r w:rsidR="002F5D8C" w:rsidRPr="003008A2">
          <w:rPr>
            <w:rFonts w:ascii="inherit" w:eastAsia="Times New Roman" w:hAnsi="inherit" w:cs="Arial"/>
            <w:color w:val="003BAD"/>
            <w:sz w:val="21"/>
            <w:szCs w:val="21"/>
            <w:u w:val="single"/>
            <w:bdr w:val="none" w:sz="0" w:space="0" w:color="auto" w:frame="1"/>
            <w:lang w:eastAsia="sk-SK"/>
          </w:rPr>
          <w:t>ziadosti@saavs.sk</w:t>
        </w:r>
      </w:hyperlink>
      <w:r w:rsidR="002F5D8C" w:rsidRPr="003008A2">
        <w:rPr>
          <w:rFonts w:ascii="inherit" w:eastAsia="Times New Roman" w:hAnsi="inherit" w:cs="Arial"/>
          <w:color w:val="3D3D3D"/>
          <w:sz w:val="21"/>
          <w:szCs w:val="21"/>
          <w:lang w:eastAsia="sk-SK"/>
        </w:rPr>
        <w:t>.</w:t>
      </w:r>
    </w:p>
    <w:p w:rsidR="00B670E2" w:rsidRPr="00AD521E" w:rsidRDefault="00B670E2" w:rsidP="00B670E2">
      <w:pPr>
        <w:shd w:val="clear" w:color="auto" w:fill="FFFFFF"/>
        <w:spacing w:after="72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sk-SK"/>
        </w:rPr>
      </w:pPr>
    </w:p>
    <w:sectPr w:rsidR="00B670E2" w:rsidRPr="00AD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1E"/>
    <w:rsid w:val="00011777"/>
    <w:rsid w:val="002E4528"/>
    <w:rsid w:val="002F5D8C"/>
    <w:rsid w:val="003008A2"/>
    <w:rsid w:val="003C135E"/>
    <w:rsid w:val="00493741"/>
    <w:rsid w:val="00AB698F"/>
    <w:rsid w:val="00AD521E"/>
    <w:rsid w:val="00B670E2"/>
    <w:rsid w:val="00F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3371"/>
  <w15:chartTrackingRefBased/>
  <w15:docId w15:val="{90876FF2-10AA-4FC2-889A-2C83FAEE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D5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52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category-button">
    <w:name w:val="category-button"/>
    <w:basedOn w:val="Predvolenpsmoodseku"/>
    <w:rsid w:val="00AD521E"/>
  </w:style>
  <w:style w:type="character" w:styleId="Hypertextovprepojenie">
    <w:name w:val="Hyperlink"/>
    <w:basedOn w:val="Predvolenpsmoodseku"/>
    <w:uiPriority w:val="99"/>
    <w:semiHidden/>
    <w:unhideWhenUsed/>
    <w:rsid w:val="00AD521E"/>
    <w:rPr>
      <w:color w:val="0000FF"/>
      <w:u w:val="single"/>
    </w:rPr>
  </w:style>
  <w:style w:type="character" w:customStyle="1" w:styleId="posted-on">
    <w:name w:val="posted-on"/>
    <w:basedOn w:val="Predvolenpsmoodseku"/>
    <w:rsid w:val="00AD521E"/>
  </w:style>
  <w:style w:type="paragraph" w:styleId="Normlnywebov">
    <w:name w:val="Normal (Web)"/>
    <w:basedOn w:val="Normlny"/>
    <w:uiPriority w:val="99"/>
    <w:semiHidden/>
    <w:unhideWhenUsed/>
    <w:rsid w:val="00AD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08A2"/>
    <w:rPr>
      <w:b/>
      <w:bCs/>
    </w:rPr>
  </w:style>
  <w:style w:type="character" w:styleId="Zvraznenie">
    <w:name w:val="Emphasis"/>
    <w:basedOn w:val="Predvolenpsmoodseku"/>
    <w:uiPriority w:val="20"/>
    <w:qFormat/>
    <w:rsid w:val="003008A2"/>
    <w:rPr>
      <w:i/>
      <w:iCs/>
    </w:rPr>
  </w:style>
  <w:style w:type="paragraph" w:styleId="Odsekzoznamu">
    <w:name w:val="List Paragraph"/>
    <w:basedOn w:val="Normlny"/>
    <w:uiPriority w:val="34"/>
    <w:qFormat/>
    <w:rsid w:val="00B6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196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449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0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770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dosti@saavs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pravne-predpisy/SK/ZZ/2018/269/202201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avs.sk/wp-content/uploads/2021/12/Predloha-ziadosti-o-zmenu-udajov-o-studijnom-programe-podla-%C2%A7-39-ods.2-zakona-c.-2692018-Z.-z..pdf" TargetMode="External"/><Relationship Id="rId5" Type="http://schemas.openxmlformats.org/officeDocument/2006/relationships/hyperlink" Target="mailto:ziadosti@saavs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s.saavs.s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2022-01-16T17:03:00Z</dcterms:created>
  <dcterms:modified xsi:type="dcterms:W3CDTF">2022-01-16T20:37:00Z</dcterms:modified>
</cp:coreProperties>
</file>