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6122" w:val="left" w:leader="none"/>
        </w:tabs>
        <w:ind w:left="116"/>
        <w:rPr>
          <w:rFonts w:ascii="Times New Roman"/>
        </w:rPr>
      </w:pPr>
      <w:r>
        <w:rPr>
          <w:rFonts w:ascii="Times New Roman"/>
        </w:rPr>
        <w:drawing>
          <wp:inline distT="0" distB="0" distL="0" distR="0">
            <wp:extent cx="1802352" cy="480155"/>
            <wp:effectExtent l="0" t="0" r="0" b="0"/>
            <wp:docPr id="1" name="image1.jpeg" descr="Résultat de recherche d'images pour &quot;government office of slovak republic&quot;"/>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02352" cy="480155"/>
                    </a:xfrm>
                    <a:prstGeom prst="rect">
                      <a:avLst/>
                    </a:prstGeom>
                  </pic:spPr>
                </pic:pic>
              </a:graphicData>
            </a:graphic>
          </wp:inline>
        </w:drawing>
      </w:r>
      <w:r>
        <w:rPr>
          <w:rFonts w:ascii="Times New Roman"/>
        </w:rPr>
      </w:r>
      <w:r>
        <w:rPr>
          <w:rFonts w:ascii="Times New Roman"/>
          <w:spacing w:val="136"/>
        </w:rPr>
        <w:t> </w:t>
      </w:r>
      <w:r>
        <w:rPr>
          <w:rFonts w:ascii="Times New Roman"/>
          <w:spacing w:val="136"/>
          <w:position w:val="22"/>
        </w:rPr>
        <w:drawing>
          <wp:inline distT="0" distB="0" distL="0" distR="0">
            <wp:extent cx="1725164" cy="448055"/>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725164" cy="448055"/>
                    </a:xfrm>
                    <a:prstGeom prst="rect">
                      <a:avLst/>
                    </a:prstGeom>
                  </pic:spPr>
                </pic:pic>
              </a:graphicData>
            </a:graphic>
          </wp:inline>
        </w:drawing>
      </w:r>
      <w:r>
        <w:rPr>
          <w:rFonts w:ascii="Times New Roman"/>
          <w:spacing w:val="136"/>
          <w:position w:val="22"/>
        </w:rPr>
      </w:r>
      <w:r>
        <w:rPr>
          <w:rFonts w:ascii="Times New Roman"/>
          <w:spacing w:val="136"/>
          <w:position w:val="22"/>
        </w:rPr>
        <w:tab/>
      </w:r>
      <w:r>
        <w:rPr>
          <w:rFonts w:ascii="Times New Roman"/>
          <w:spacing w:val="136"/>
          <w:position w:val="7"/>
        </w:rPr>
        <w:pict>
          <v:group style="width:197pt;height:59.95pt;mso-position-horizontal-relative:char;mso-position-vertical-relative:line" coordorigin="0,0" coordsize="3940,1199">
            <v:shape style="position:absolute;left:0;top:0;width:1750;height:1199" type="#_x0000_t75" stroked="false">
              <v:imagedata r:id="rId7" o:title=""/>
            </v:shape>
            <v:shape style="position:absolute;left:1750;top:409;width:2190;height:789" type="#_x0000_t75" stroked="false">
              <v:imagedata r:id="rId8" o:title=""/>
            </v:shape>
          </v:group>
        </w:pict>
      </w:r>
      <w:r>
        <w:rPr>
          <w:rFonts w:ascii="Times New Roman"/>
          <w:spacing w:val="136"/>
          <w:position w:val="7"/>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6"/>
        <w:rPr>
          <w:rFonts w:ascii="Times New Roman"/>
          <w:sz w:val="16"/>
        </w:rPr>
      </w:pPr>
    </w:p>
    <w:p>
      <w:pPr>
        <w:pStyle w:val="Heading1"/>
        <w:spacing w:before="92"/>
        <w:ind w:left="1506" w:right="822"/>
        <w:jc w:val="center"/>
      </w:pPr>
      <w:r>
        <w:rPr>
          <w:color w:val="4E81BC"/>
        </w:rPr>
        <w:t>“Improving Higher Education in Slovakia” – Findings and Next Steps</w:t>
      </w:r>
    </w:p>
    <w:p>
      <w:pPr>
        <w:spacing w:before="219"/>
        <w:ind w:left="1442" w:right="822" w:firstLine="0"/>
        <w:jc w:val="center"/>
        <w:rPr>
          <w:rFonts w:ascii="Arial" w:hAnsi="Arial"/>
          <w:sz w:val="24"/>
        </w:rPr>
      </w:pPr>
      <w:r>
        <w:rPr/>
        <w:pict>
          <v:shape style="position:absolute;margin-left:93.272003pt;margin-top:32.345833pt;width:367.75pt;height:388.5pt;mso-position-horizontal-relative:page;mso-position-vertical-relative:paragraph;z-index:-251777024" coordorigin="1865,647" coordsize="7355,7770" path="m4651,7483l4642,7395,4625,7305,4607,7239,4584,7172,4557,7104,4526,7034,4489,6963,4448,6891,4402,6817,4363,6759,4338,6724,4338,7423,4335,7500,4322,7574,4298,7645,4262,7714,4214,7782,4154,7848,3966,8036,2245,6316,2431,6130,2502,6066,2575,6016,2650,5981,2726,5961,2805,5952,2885,5954,2967,5965,3052,5987,3121,6012,3191,6042,3261,6078,3333,6120,3405,6168,3466,6212,3526,6259,3587,6309,3647,6361,3707,6417,3767,6475,3830,6539,3888,6601,3944,6662,3995,6722,4043,6781,4087,6838,4127,6894,4178,6972,4221,7047,4258,7120,4287,7191,4311,7261,4330,7344,4338,7423,4338,6724,4322,6701,4277,6642,4229,6581,4179,6521,4125,6459,4069,6397,4009,6334,3947,6271,3885,6210,3823,6152,3761,6097,3700,6045,3639,5996,3582,5952,3578,5949,3517,5906,3457,5866,3377,5817,3299,5774,3221,5736,3143,5703,3067,5676,2992,5654,2904,5635,2818,5626,2734,5625,2652,5632,2572,5647,2507,5666,2443,5693,2380,5728,2318,5770,2257,5819,2197,5875,1886,6186,1876,6199,1869,6216,1865,6235,1866,6257,1873,6283,1887,6311,1908,6341,1938,6373,3910,8345,3942,8374,3972,8396,3999,8409,4024,8415,4047,8417,4067,8414,4084,8407,4097,8397,4388,8106,4444,8047,4452,8036,4492,7986,4535,7924,4570,7862,4599,7798,4621,7733,4640,7652,4650,7569,4651,7483m6264,6213l6263,6204,6258,6195,6254,6186,6246,6176,6238,6168,6230,6160,6220,6152,6208,6143,6194,6132,6177,6121,6090,6066,5565,5754,5512,5722,5428,5672,5379,5644,5287,5594,5244,5572,5202,5553,5163,5536,5124,5521,5087,5508,5051,5498,5017,5491,4992,5486,4983,5484,4952,5481,4921,5480,4891,5482,4862,5486,4874,5438,4882,5390,4886,5342,4888,5293,4885,5243,4879,5193,4869,5143,4854,5091,4835,5040,4813,4988,4785,4935,4752,4881,4715,4829,4672,4775,4625,4720,4614,4709,4614,5308,4609,5349,4600,5389,4585,5429,4564,5469,4537,5507,4504,5544,4325,5722,3580,4977,3734,4823,3760,4797,3785,4775,3807,4756,3828,4740,3847,4727,3865,4715,3884,4705,3904,4698,3966,4681,4028,4676,4090,4684,4153,4705,4216,4736,4280,4778,4345,4829,4410,4889,4448,4929,4482,4970,4514,5011,4542,5054,4566,5097,4585,5139,4599,5182,4608,5224,4614,5266,4614,5308,4614,4709,4583,4676,4572,4665,4514,4610,4457,4560,4399,4515,4342,4475,4284,4441,4227,4413,4169,4389,4112,4370,4054,4357,3998,4349,3943,4348,3888,4351,3834,4360,3781,4376,3729,4396,3677,4422,3660,4433,3643,4446,3605,4473,3586,4490,3564,4510,3540,4532,3515,4557,3297,4775,3223,4849,3213,4862,3206,4879,3203,4898,3203,4920,3210,4946,3224,4974,3245,5004,3275,5036,5330,7092,5340,7099,5360,7107,5370,7107,5380,7104,5390,7101,5400,7097,5410,7092,5421,7087,5431,7079,5443,7070,5455,7059,5468,7047,5480,7033,5491,7021,5501,7009,5509,6999,5515,6988,5519,6978,5522,6968,5525,6959,5528,6949,5528,6939,5524,6929,5520,6919,5513,6909,4563,5959,4685,5837,4717,5809,4750,5786,4785,5770,4821,5759,4859,5754,4899,5754,4940,5757,4982,5765,5027,5778,5072,5793,5119,5813,5168,5836,5218,5863,5269,5891,5323,5922,5378,5955,6037,6357,6049,6364,6060,6369,6070,6373,6081,6379,6094,6380,6106,6378,6117,6376,6127,6373,6137,6368,6147,6361,6157,6353,6169,6343,6182,6332,6195,6320,6210,6304,6222,6290,6233,6277,6242,6265,6250,6255,6255,6245,6259,6235,6262,6226,6264,6213m7568,4920l7567,4910,7564,4899,7558,4888,7550,4877,7540,4865,7526,4854,7511,4843,7492,4830,7470,4815,7199,4642,6408,4142,6408,4456,5931,4933,5742,4642,5714,4599,5152,3728,5065,3594,5066,3594,5066,3594,5066,3593,6408,4456,6408,4142,5540,3593,4956,3222,4945,3215,4933,3209,4922,3204,4912,3201,4902,3199,4892,3199,4882,3201,4872,3204,4861,3207,4849,3213,4838,3220,4825,3229,4812,3240,4799,3253,4784,3268,4767,3284,4752,3299,4739,3313,4727,3326,4717,3338,4709,3349,4702,3360,4697,3371,4694,3382,4691,3392,4690,3402,4690,3411,4692,3421,4695,3431,4700,3441,4705,3452,4711,3463,4795,3594,4841,3667,5431,4599,5459,4642,6305,5978,6319,5999,6332,6017,6344,6033,6356,6046,6367,6057,6378,6065,6389,6071,6399,6074,6410,6076,6420,6074,6432,6070,6444,6064,6456,6055,6468,6044,6482,6031,6497,6017,6511,6003,6523,5989,6534,5977,6543,5965,6549,5955,6555,5945,6558,5935,6559,5925,6560,5913,6561,5903,6555,5891,6552,5881,6546,5869,6538,5857,6161,5277,6119,5213,6399,4933,6690,4642,7346,5062,7360,5070,7371,5075,7381,5079,7391,5082,7401,5083,7412,5079,7421,5077,7430,5073,7440,5067,7452,5060,7463,5050,7475,5039,7489,5025,7505,5009,7521,4993,7534,4978,7545,4965,7555,4953,7562,4942,7567,4931,7568,4920m7966,4511l7965,4501,7960,4490,7956,4480,7950,4472,7021,3542,7265,3298,7496,3067,7502,3062,7503,3054,7503,3044,7502,3034,7499,3023,7492,3010,7487,3000,7480,2989,7472,2977,7462,2965,7451,2952,7439,2938,7425,2924,7409,2908,7392,2891,7376,2875,7361,2862,7347,2850,7335,2840,7324,2832,7314,2826,7304,2822,7292,2816,7281,2814,7272,2813,7263,2815,7257,2817,6777,3298,6025,2546,6528,2043,6533,2038,6536,2032,6536,2021,6535,2012,6532,2001,6525,1988,6520,1978,6513,1967,6505,1955,6495,1942,6484,1929,6471,1915,6457,1900,6441,1884,6425,1868,6409,1854,6395,1840,6381,1828,6368,1818,6356,1809,6344,1802,6334,1796,6320,1789,6309,1787,6300,1786,6290,1786,6284,1788,5661,2411,5650,2425,5643,2441,5640,2460,5641,2482,5647,2508,5662,2536,5683,2567,5712,2599,7768,4654,7776,4660,7786,4664,7798,4669,7807,4670,7818,4666,7827,4664,7837,4660,7848,4655,7858,4649,7869,4641,7881,4632,7893,4621,7905,4609,7918,4596,7929,4583,7938,4572,7947,4561,7952,4550,7957,4540,7960,4531,7962,4522,7966,4511m9220,3257l9220,3247,9216,3237,9212,3227,9205,3217,9196,3209,7462,1474,7279,1292,7665,906,7671,900,7674,893,7674,883,7673,873,7671,862,7664,849,7659,839,7652,829,7643,817,7633,805,7621,792,7608,778,7594,763,7578,746,7562,730,7547,716,7532,703,7518,690,7506,680,7494,671,7483,664,7472,658,7459,650,7448,648,7439,647,7428,647,7421,651,6455,1616,6452,1623,6453,1633,6453,1643,6456,1653,6463,1667,6469,1677,6477,1688,6486,1700,6496,1712,6508,1727,6521,1742,6535,1757,6551,1774,6567,1789,6583,1803,6597,1816,6611,1827,6623,1837,6635,1846,6645,1853,6668,1865,6678,1869,6689,1869,6698,1870,6700,1869,6705,1866,7097,1474,9022,3400,9032,3407,9042,3411,9052,3415,9061,3416,9072,3412,9082,3409,9091,3406,9102,3401,9113,3395,9123,3387,9135,3378,9147,3367,9160,3355,9172,3342,9183,3329,9193,3318,9201,3307,9206,3296,9211,3286,9214,3277,9216,3267,9220,3257e" filled="true" fillcolor="#c0c0c0" stroked="false">
            <v:path arrowok="t"/>
            <v:fill opacity="32896f" type="solid"/>
            <w10:wrap type="none"/>
          </v:shape>
        </w:pict>
      </w:r>
      <w:r>
        <w:rPr>
          <w:rFonts w:ascii="Arial" w:hAnsi="Arial"/>
          <w:color w:val="4E81BC"/>
          <w:sz w:val="24"/>
        </w:rPr>
        <w:t>Thursday 25 November, 10:00 – 11:30 CET</w:t>
      </w:r>
    </w:p>
    <w:p>
      <w:pPr>
        <w:pStyle w:val="BodyText"/>
        <w:rPr>
          <w:sz w:val="26"/>
        </w:rPr>
      </w:pPr>
    </w:p>
    <w:p>
      <w:pPr>
        <w:pStyle w:val="BodyText"/>
        <w:rPr>
          <w:sz w:val="26"/>
        </w:rPr>
      </w:pPr>
    </w:p>
    <w:p>
      <w:pPr>
        <w:pStyle w:val="Heading1"/>
        <w:spacing w:before="170"/>
      </w:pPr>
      <w:r>
        <w:rPr>
          <w:color w:val="4E81BC"/>
        </w:rPr>
        <w:t>Context and purpose</w:t>
      </w:r>
    </w:p>
    <w:p>
      <w:pPr>
        <w:pStyle w:val="BodyText"/>
        <w:spacing w:before="4"/>
        <w:rPr>
          <w:b/>
          <w:sz w:val="24"/>
        </w:rPr>
      </w:pPr>
    </w:p>
    <w:p>
      <w:pPr>
        <w:pStyle w:val="BodyText"/>
        <w:spacing w:line="271" w:lineRule="auto"/>
        <w:ind w:left="763" w:right="143"/>
        <w:jc w:val="both"/>
      </w:pPr>
      <w:r>
        <w:rPr/>
        <w:t>The Institute for Strategies and Analyses of the Slovak Republic, the Slovak Accreditation Agency for Higher Education, the European Commission and the OECD are organising a virtual meeting to discuss the findings and recommendations of the project ‘’Improving Higher Education in Slovakia’’ and hear from Slovak stakeholders about initiatives they are taking to advance the quality of higher education in the country.</w:t>
      </w:r>
    </w:p>
    <w:p>
      <w:pPr>
        <w:pStyle w:val="BodyText"/>
        <w:spacing w:line="271" w:lineRule="auto" w:before="122"/>
        <w:ind w:left="763" w:right="141"/>
        <w:jc w:val="both"/>
      </w:pPr>
      <w:r>
        <w:rPr/>
        <w:t>This</w:t>
      </w:r>
      <w:r>
        <w:rPr>
          <w:spacing w:val="-10"/>
        </w:rPr>
        <w:t> </w:t>
      </w:r>
      <w:r>
        <w:rPr/>
        <w:t>project,</w:t>
      </w:r>
      <w:r>
        <w:rPr>
          <w:spacing w:val="-10"/>
        </w:rPr>
        <w:t> </w:t>
      </w:r>
      <w:r>
        <w:rPr/>
        <w:t>which</w:t>
      </w:r>
      <w:r>
        <w:rPr>
          <w:spacing w:val="-10"/>
        </w:rPr>
        <w:t> </w:t>
      </w:r>
      <w:r>
        <w:rPr/>
        <w:t>ran</w:t>
      </w:r>
      <w:r>
        <w:rPr>
          <w:spacing w:val="-8"/>
        </w:rPr>
        <w:t> </w:t>
      </w:r>
      <w:r>
        <w:rPr/>
        <w:t>from</w:t>
      </w:r>
      <w:r>
        <w:rPr>
          <w:spacing w:val="-8"/>
        </w:rPr>
        <w:t> </w:t>
      </w:r>
      <w:r>
        <w:rPr/>
        <w:t>June</w:t>
      </w:r>
      <w:r>
        <w:rPr>
          <w:spacing w:val="-10"/>
        </w:rPr>
        <w:t> </w:t>
      </w:r>
      <w:r>
        <w:rPr/>
        <w:t>2020</w:t>
      </w:r>
      <w:r>
        <w:rPr>
          <w:spacing w:val="-9"/>
        </w:rPr>
        <w:t> </w:t>
      </w:r>
      <w:r>
        <w:rPr/>
        <w:t>to</w:t>
      </w:r>
      <w:r>
        <w:rPr>
          <w:spacing w:val="-8"/>
        </w:rPr>
        <w:t> </w:t>
      </w:r>
      <w:r>
        <w:rPr/>
        <w:t>October</w:t>
      </w:r>
      <w:r>
        <w:rPr>
          <w:spacing w:val="-9"/>
        </w:rPr>
        <w:t> </w:t>
      </w:r>
      <w:r>
        <w:rPr/>
        <w:t>2021,</w:t>
      </w:r>
      <w:r>
        <w:rPr>
          <w:spacing w:val="-10"/>
        </w:rPr>
        <w:t> </w:t>
      </w:r>
      <w:r>
        <w:rPr/>
        <w:t>aimed</w:t>
      </w:r>
      <w:r>
        <w:rPr>
          <w:spacing w:val="-10"/>
        </w:rPr>
        <w:t> </w:t>
      </w:r>
      <w:r>
        <w:rPr/>
        <w:t>to</w:t>
      </w:r>
      <w:r>
        <w:rPr>
          <w:spacing w:val="-11"/>
        </w:rPr>
        <w:t> </w:t>
      </w:r>
      <w:r>
        <w:rPr/>
        <w:t>support</w:t>
      </w:r>
      <w:r>
        <w:rPr>
          <w:spacing w:val="-9"/>
        </w:rPr>
        <w:t> </w:t>
      </w:r>
      <w:r>
        <w:rPr/>
        <w:t>Slovak</w:t>
      </w:r>
      <w:r>
        <w:rPr>
          <w:spacing w:val="-7"/>
        </w:rPr>
        <w:t> </w:t>
      </w:r>
      <w:r>
        <w:rPr/>
        <w:t>authorities</w:t>
      </w:r>
      <w:r>
        <w:rPr>
          <w:spacing w:val="-7"/>
        </w:rPr>
        <w:t> </w:t>
      </w:r>
      <w:r>
        <w:rPr/>
        <w:t>in</w:t>
      </w:r>
      <w:r>
        <w:rPr>
          <w:spacing w:val="-8"/>
        </w:rPr>
        <w:t> </w:t>
      </w:r>
      <w:r>
        <w:rPr/>
        <w:t>addressing key challenges in higher education. In particular, it examined how governance and funding reforms may support the continuous improvement of higher education in</w:t>
      </w:r>
      <w:r>
        <w:rPr>
          <w:spacing w:val="-7"/>
        </w:rPr>
        <w:t> </w:t>
      </w:r>
      <w:r>
        <w:rPr/>
        <w:t>Slovakia.</w:t>
      </w:r>
    </w:p>
    <w:p>
      <w:pPr>
        <w:pStyle w:val="BodyText"/>
        <w:spacing w:line="271" w:lineRule="auto" w:before="120"/>
        <w:ind w:left="763" w:right="144"/>
        <w:jc w:val="both"/>
      </w:pPr>
      <w:r>
        <w:rPr/>
        <w:t>The project involved a series of interviews and roundtable discussions with a range of Slovak higher education stakeholders, and the regular provision of views and input by a Working Group composed of policy makers from the Ministry of Education, Science, Research and Sport, the Slovak Accreditation Agency for Higher Education, the Institute for Educational Policies, and the Research Agency.</w:t>
      </w:r>
    </w:p>
    <w:p>
      <w:pPr>
        <w:pStyle w:val="BodyText"/>
        <w:spacing w:line="273" w:lineRule="auto" w:before="120"/>
        <w:ind w:left="763" w:right="156"/>
        <w:jc w:val="both"/>
      </w:pPr>
      <w:r>
        <w:rPr/>
        <w:t>The final report containing findings and recommendations is available on the OECD’s iLibrary in English. The “action plan” of the report is also available in Slovak.</w:t>
      </w:r>
    </w:p>
    <w:p>
      <w:pPr>
        <w:pStyle w:val="BodyText"/>
        <w:spacing w:before="3"/>
        <w:rPr>
          <w:sz w:val="31"/>
        </w:rPr>
      </w:pPr>
    </w:p>
    <w:p>
      <w:pPr>
        <w:pStyle w:val="Heading1"/>
      </w:pPr>
      <w:r>
        <w:rPr>
          <w:color w:val="4E81BC"/>
        </w:rPr>
        <w:t>Draft agenda</w:t>
      </w:r>
    </w:p>
    <w:p>
      <w:pPr>
        <w:pStyle w:val="BodyText"/>
        <w:spacing w:before="10" w:after="1"/>
        <w:rPr>
          <w:b/>
          <w:sz w:val="21"/>
        </w:rPr>
      </w:pPr>
    </w:p>
    <w:tbl>
      <w:tblPr>
        <w:tblW w:w="0" w:type="auto"/>
        <w:jc w:val="left"/>
        <w:tblInd w:w="758" w:type="dxa"/>
        <w:tblBorders>
          <w:top w:val="single" w:sz="12" w:space="0" w:color="4E81BC"/>
          <w:left w:val="single" w:sz="12" w:space="0" w:color="4E81BC"/>
          <w:bottom w:val="single" w:sz="12" w:space="0" w:color="4E81BC"/>
          <w:right w:val="single" w:sz="12" w:space="0" w:color="4E81BC"/>
          <w:insideH w:val="single" w:sz="12" w:space="0" w:color="4E81BC"/>
          <w:insideV w:val="single" w:sz="12" w:space="0" w:color="4E81BC"/>
        </w:tblBorders>
        <w:tblLayout w:type="fixed"/>
        <w:tblCellMar>
          <w:top w:w="0" w:type="dxa"/>
          <w:left w:w="0" w:type="dxa"/>
          <w:bottom w:w="0" w:type="dxa"/>
          <w:right w:w="0" w:type="dxa"/>
        </w:tblCellMar>
        <w:tblLook w:val="01E0"/>
      </w:tblPr>
      <w:tblGrid>
        <w:gridCol w:w="1628"/>
        <w:gridCol w:w="7685"/>
      </w:tblGrid>
      <w:tr>
        <w:trPr>
          <w:trHeight w:val="493" w:hRule="atLeast"/>
        </w:trPr>
        <w:tc>
          <w:tcPr>
            <w:tcW w:w="1628" w:type="dxa"/>
            <w:tcBorders>
              <w:left w:val="nil"/>
              <w:bottom w:val="single" w:sz="6" w:space="0" w:color="4E81BC"/>
              <w:right w:val="nil"/>
            </w:tcBorders>
          </w:tcPr>
          <w:p>
            <w:pPr>
              <w:pStyle w:val="TableParagraph"/>
              <w:rPr>
                <w:rFonts w:ascii="Times New Roman"/>
                <w:sz w:val="20"/>
              </w:rPr>
            </w:pPr>
          </w:p>
        </w:tc>
        <w:tc>
          <w:tcPr>
            <w:tcW w:w="7685" w:type="dxa"/>
            <w:tcBorders>
              <w:left w:val="nil"/>
              <w:bottom w:val="single" w:sz="6" w:space="0" w:color="4E81BC"/>
              <w:right w:val="nil"/>
            </w:tcBorders>
          </w:tcPr>
          <w:p>
            <w:pPr>
              <w:pStyle w:val="TableParagraph"/>
              <w:spacing w:before="119"/>
              <w:ind w:left="492"/>
              <w:rPr>
                <w:b/>
                <w:sz w:val="22"/>
              </w:rPr>
            </w:pPr>
            <w:r>
              <w:rPr>
                <w:b/>
                <w:sz w:val="22"/>
              </w:rPr>
              <w:t>Draft agenda – Thursday 25 November 2021, Zoom meeting</w:t>
            </w:r>
          </w:p>
        </w:tc>
      </w:tr>
      <w:tr>
        <w:trPr>
          <w:trHeight w:val="3309" w:hRule="atLeast"/>
        </w:trPr>
        <w:tc>
          <w:tcPr>
            <w:tcW w:w="1628" w:type="dxa"/>
            <w:tcBorders>
              <w:top w:val="single" w:sz="6" w:space="0" w:color="4E81BC"/>
              <w:left w:val="nil"/>
              <w:right w:val="single" w:sz="6" w:space="0" w:color="BEBEBE"/>
            </w:tcBorders>
          </w:tcPr>
          <w:p>
            <w:pPr>
              <w:pStyle w:val="TableParagraph"/>
              <w:spacing w:before="187"/>
              <w:ind w:left="120"/>
              <w:rPr>
                <w:b/>
                <w:sz w:val="22"/>
              </w:rPr>
            </w:pPr>
            <w:r>
              <w:rPr>
                <w:b/>
                <w:sz w:val="22"/>
              </w:rPr>
              <w:t>10:00 – 10:20</w:t>
            </w:r>
          </w:p>
        </w:tc>
        <w:tc>
          <w:tcPr>
            <w:tcW w:w="7685" w:type="dxa"/>
            <w:tcBorders>
              <w:top w:val="single" w:sz="6" w:space="0" w:color="4E81BC"/>
              <w:left w:val="single" w:sz="6" w:space="0" w:color="BEBEBE"/>
              <w:right w:val="nil"/>
            </w:tcBorders>
          </w:tcPr>
          <w:p>
            <w:pPr>
              <w:pStyle w:val="TableParagraph"/>
              <w:spacing w:before="187"/>
              <w:ind w:left="100"/>
              <w:rPr>
                <w:b/>
                <w:sz w:val="22"/>
              </w:rPr>
            </w:pPr>
            <w:r>
              <w:rPr>
                <w:b/>
                <w:sz w:val="22"/>
              </w:rPr>
              <w:t>Welcome and opening remarks</w:t>
            </w:r>
          </w:p>
          <w:p>
            <w:pPr>
              <w:pStyle w:val="TableParagraph"/>
              <w:spacing w:before="11"/>
              <w:rPr>
                <w:rFonts w:ascii="Arial"/>
                <w:b/>
                <w:sz w:val="19"/>
              </w:rPr>
            </w:pPr>
          </w:p>
          <w:p>
            <w:pPr>
              <w:pStyle w:val="TableParagraph"/>
              <w:numPr>
                <w:ilvl w:val="0"/>
                <w:numId w:val="1"/>
              </w:numPr>
              <w:tabs>
                <w:tab w:pos="820" w:val="left" w:leader="none"/>
                <w:tab w:pos="821" w:val="left" w:leader="none"/>
              </w:tabs>
              <w:spacing w:line="268" w:lineRule="exact" w:before="0" w:after="0"/>
              <w:ind w:left="820" w:right="0" w:hanging="361"/>
              <w:jc w:val="left"/>
              <w:rPr>
                <w:sz w:val="22"/>
              </w:rPr>
            </w:pPr>
            <w:r>
              <w:rPr>
                <w:sz w:val="22"/>
              </w:rPr>
              <w:t>Eduard Heger, Prime Minister of the Slovak Republic (video</w:t>
            </w:r>
            <w:r>
              <w:rPr>
                <w:spacing w:val="-14"/>
                <w:sz w:val="22"/>
              </w:rPr>
              <w:t> </w:t>
            </w:r>
            <w:r>
              <w:rPr>
                <w:sz w:val="22"/>
              </w:rPr>
              <w:t>message)</w:t>
            </w:r>
          </w:p>
          <w:p>
            <w:pPr>
              <w:pStyle w:val="TableParagraph"/>
              <w:numPr>
                <w:ilvl w:val="0"/>
                <w:numId w:val="1"/>
              </w:numPr>
              <w:tabs>
                <w:tab w:pos="820" w:val="left" w:leader="none"/>
                <w:tab w:pos="821" w:val="left" w:leader="none"/>
              </w:tabs>
              <w:spacing w:line="244" w:lineRule="auto" w:before="0" w:after="0"/>
              <w:ind w:left="820" w:right="643" w:hanging="360"/>
              <w:jc w:val="left"/>
              <w:rPr>
                <w:sz w:val="22"/>
              </w:rPr>
            </w:pPr>
            <w:r>
              <w:rPr>
                <w:sz w:val="22"/>
              </w:rPr>
              <w:t>Branislav Gröhling, Minister of Education, Science, Research and Sport of the Slovak Republic (video</w:t>
            </w:r>
            <w:r>
              <w:rPr>
                <w:spacing w:val="-2"/>
                <w:sz w:val="22"/>
              </w:rPr>
              <w:t> </w:t>
            </w:r>
            <w:r>
              <w:rPr>
                <w:sz w:val="22"/>
              </w:rPr>
              <w:t>message)</w:t>
            </w:r>
          </w:p>
          <w:p>
            <w:pPr>
              <w:pStyle w:val="TableParagraph"/>
              <w:numPr>
                <w:ilvl w:val="0"/>
                <w:numId w:val="1"/>
              </w:numPr>
              <w:tabs>
                <w:tab w:pos="820" w:val="left" w:leader="none"/>
                <w:tab w:pos="821" w:val="left" w:leader="none"/>
              </w:tabs>
              <w:spacing w:line="244" w:lineRule="auto" w:before="0" w:after="0"/>
              <w:ind w:left="820" w:right="106" w:hanging="360"/>
              <w:jc w:val="left"/>
              <w:rPr>
                <w:sz w:val="22"/>
              </w:rPr>
            </w:pPr>
            <w:r>
              <w:rPr>
                <w:sz w:val="22"/>
              </w:rPr>
              <w:t>Robert Redhammer, Chairman of the Executive Board, Slovak Accreditation Agency for Higher</w:t>
            </w:r>
            <w:r>
              <w:rPr>
                <w:spacing w:val="-1"/>
                <w:sz w:val="22"/>
              </w:rPr>
              <w:t> </w:t>
            </w:r>
            <w:r>
              <w:rPr>
                <w:sz w:val="22"/>
              </w:rPr>
              <w:t>Education</w:t>
            </w:r>
          </w:p>
          <w:p>
            <w:pPr>
              <w:pStyle w:val="TableParagraph"/>
              <w:numPr>
                <w:ilvl w:val="0"/>
                <w:numId w:val="1"/>
              </w:numPr>
              <w:tabs>
                <w:tab w:pos="820" w:val="left" w:leader="none"/>
                <w:tab w:pos="821" w:val="left" w:leader="none"/>
              </w:tabs>
              <w:spacing w:line="244" w:lineRule="auto" w:before="0" w:after="0"/>
              <w:ind w:left="820" w:right="102" w:hanging="360"/>
              <w:jc w:val="left"/>
              <w:rPr>
                <w:sz w:val="22"/>
              </w:rPr>
            </w:pPr>
            <w:r>
              <w:rPr>
                <w:sz w:val="22"/>
              </w:rPr>
              <w:t>Ágota Kovács, Policy Officer, Directorate-General for Structural Reform Support (DG Reform), European</w:t>
            </w:r>
            <w:r>
              <w:rPr>
                <w:spacing w:val="-1"/>
                <w:sz w:val="22"/>
              </w:rPr>
              <w:t> </w:t>
            </w:r>
            <w:r>
              <w:rPr>
                <w:sz w:val="22"/>
              </w:rPr>
              <w:t>Commission</w:t>
            </w:r>
          </w:p>
          <w:p>
            <w:pPr>
              <w:pStyle w:val="TableParagraph"/>
              <w:numPr>
                <w:ilvl w:val="0"/>
                <w:numId w:val="1"/>
              </w:numPr>
              <w:tabs>
                <w:tab w:pos="820" w:val="left" w:leader="none"/>
                <w:tab w:pos="821" w:val="left" w:leader="none"/>
              </w:tabs>
              <w:spacing w:line="247" w:lineRule="auto" w:before="0" w:after="0"/>
              <w:ind w:left="820" w:right="104" w:hanging="360"/>
              <w:jc w:val="left"/>
              <w:rPr>
                <w:sz w:val="22"/>
              </w:rPr>
            </w:pPr>
            <w:r>
              <w:rPr>
                <w:sz w:val="22"/>
              </w:rPr>
              <w:t>Paulo Santiago, Head of the Policy Advice and Implementation Division, Directorate for Education and Skills,</w:t>
            </w:r>
            <w:r>
              <w:rPr>
                <w:spacing w:val="-4"/>
                <w:sz w:val="22"/>
              </w:rPr>
              <w:t> </w:t>
            </w:r>
            <w:r>
              <w:rPr>
                <w:sz w:val="22"/>
              </w:rPr>
              <w:t>OECD</w:t>
            </w:r>
          </w:p>
        </w:tc>
      </w:tr>
    </w:tbl>
    <w:p>
      <w:pPr>
        <w:spacing w:after="0" w:line="247" w:lineRule="auto"/>
        <w:jc w:val="left"/>
        <w:rPr>
          <w:sz w:val="22"/>
        </w:rPr>
        <w:sectPr>
          <w:type w:val="continuous"/>
          <w:pgSz w:w="11910" w:h="16840"/>
          <w:pgMar w:top="1220" w:bottom="280" w:left="540" w:right="1160"/>
        </w:sectPr>
      </w:pPr>
    </w:p>
    <w:p>
      <w:pPr>
        <w:spacing w:before="87"/>
        <w:ind w:left="763" w:right="0" w:firstLine="0"/>
        <w:jc w:val="left"/>
        <w:rPr>
          <w:rFonts w:ascii="Symbol" w:hAnsi="Symbol"/>
          <w:sz w:val="22"/>
        </w:rPr>
      </w:pPr>
      <w:r>
        <w:rPr>
          <w:rFonts w:ascii="Arial" w:hAnsi="Arial"/>
          <w:b/>
          <w:sz w:val="22"/>
        </w:rPr>
        <w:t>2 </w:t>
      </w:r>
      <w:r>
        <w:rPr>
          <w:rFonts w:ascii="Symbol" w:hAnsi="Symbol"/>
          <w:sz w:val="22"/>
        </w:rPr>
        <w:t></w:t>
      </w:r>
    </w:p>
    <w:p>
      <w:pPr>
        <w:pStyle w:val="BodyText"/>
        <w:spacing w:before="5"/>
        <w:rPr>
          <w:rFonts w:ascii="Symbol" w:hAnsi="Symbol"/>
          <w:sz w:val="24"/>
        </w:rPr>
      </w:pPr>
    </w:p>
    <w:tbl>
      <w:tblPr>
        <w:tblW w:w="0" w:type="auto"/>
        <w:jc w:val="left"/>
        <w:tblInd w:w="742" w:type="dxa"/>
        <w:tblBorders>
          <w:top w:val="single" w:sz="12" w:space="0" w:color="4E81BC"/>
          <w:left w:val="single" w:sz="12" w:space="0" w:color="4E81BC"/>
          <w:bottom w:val="single" w:sz="12" w:space="0" w:color="4E81BC"/>
          <w:right w:val="single" w:sz="12" w:space="0" w:color="4E81BC"/>
          <w:insideH w:val="single" w:sz="12" w:space="0" w:color="4E81BC"/>
          <w:insideV w:val="single" w:sz="12" w:space="0" w:color="4E81BC"/>
        </w:tblBorders>
        <w:tblLayout w:type="fixed"/>
        <w:tblCellMar>
          <w:top w:w="0" w:type="dxa"/>
          <w:left w:w="0" w:type="dxa"/>
          <w:bottom w:w="0" w:type="dxa"/>
          <w:right w:w="0" w:type="dxa"/>
        </w:tblCellMar>
        <w:tblLook w:val="01E0"/>
      </w:tblPr>
      <w:tblGrid>
        <w:gridCol w:w="1630"/>
        <w:gridCol w:w="7685"/>
      </w:tblGrid>
      <w:tr>
        <w:trPr>
          <w:trHeight w:val="4387" w:hRule="atLeast"/>
        </w:trPr>
        <w:tc>
          <w:tcPr>
            <w:tcW w:w="1630" w:type="dxa"/>
            <w:tcBorders>
              <w:left w:val="nil"/>
              <w:bottom w:val="single" w:sz="6" w:space="0" w:color="BEBEBE"/>
              <w:right w:val="single" w:sz="6" w:space="0" w:color="BEBEBE"/>
            </w:tcBorders>
          </w:tcPr>
          <w:p>
            <w:pPr>
              <w:pStyle w:val="TableParagraph"/>
              <w:spacing w:before="187"/>
              <w:ind w:left="136"/>
              <w:rPr>
                <w:b/>
                <w:sz w:val="22"/>
              </w:rPr>
            </w:pPr>
            <w:r>
              <w:rPr>
                <w:b/>
                <w:sz w:val="22"/>
              </w:rPr>
              <w:t>10:20 –</w:t>
            </w:r>
            <w:r>
              <w:rPr>
                <w:b/>
                <w:spacing w:val="-8"/>
                <w:sz w:val="22"/>
              </w:rPr>
              <w:t> </w:t>
            </w:r>
            <w:r>
              <w:rPr>
                <w:b/>
                <w:sz w:val="22"/>
              </w:rPr>
              <w:t>11:10</w:t>
            </w:r>
          </w:p>
          <w:p>
            <w:pPr>
              <w:pStyle w:val="TableParagraph"/>
              <w:spacing w:before="3"/>
              <w:rPr>
                <w:rFonts w:ascii="Symbol" w:hAnsi="Symbol"/>
                <w:sz w:val="23"/>
              </w:rPr>
            </w:pPr>
          </w:p>
          <w:p>
            <w:pPr>
              <w:pStyle w:val="TableParagraph"/>
              <w:ind w:left="136"/>
              <w:rPr>
                <w:sz w:val="22"/>
              </w:rPr>
            </w:pPr>
            <w:r>
              <w:rPr>
                <w:sz w:val="22"/>
              </w:rPr>
              <w:t>10:20 –</w:t>
            </w:r>
            <w:r>
              <w:rPr>
                <w:spacing w:val="-4"/>
                <w:sz w:val="22"/>
              </w:rPr>
              <w:t> </w:t>
            </w:r>
            <w:r>
              <w:rPr>
                <w:sz w:val="22"/>
              </w:rPr>
              <w:t>10:35</w:t>
            </w:r>
          </w:p>
          <w:p>
            <w:pPr>
              <w:pStyle w:val="TableParagraph"/>
              <w:rPr>
                <w:rFonts w:ascii="Symbol" w:hAnsi="Symbol"/>
                <w:sz w:val="24"/>
              </w:rPr>
            </w:pPr>
          </w:p>
          <w:p>
            <w:pPr>
              <w:pStyle w:val="TableParagraph"/>
              <w:rPr>
                <w:rFonts w:ascii="Symbol" w:hAnsi="Symbol"/>
                <w:sz w:val="24"/>
              </w:rPr>
            </w:pPr>
          </w:p>
          <w:p>
            <w:pPr>
              <w:pStyle w:val="TableParagraph"/>
              <w:spacing w:before="7"/>
              <w:rPr>
                <w:rFonts w:ascii="Symbol" w:hAnsi="Symbol"/>
                <w:sz w:val="19"/>
              </w:rPr>
            </w:pPr>
          </w:p>
          <w:p>
            <w:pPr>
              <w:pStyle w:val="TableParagraph"/>
              <w:ind w:left="136"/>
              <w:rPr>
                <w:sz w:val="22"/>
              </w:rPr>
            </w:pPr>
            <w:r>
              <w:rPr>
                <w:sz w:val="22"/>
              </w:rPr>
              <w:t>10:35 –</w:t>
            </w:r>
            <w:r>
              <w:rPr>
                <w:spacing w:val="-4"/>
                <w:sz w:val="22"/>
              </w:rPr>
              <w:t> </w:t>
            </w:r>
            <w:r>
              <w:rPr>
                <w:sz w:val="22"/>
              </w:rPr>
              <w:t>11:10</w:t>
            </w:r>
          </w:p>
        </w:tc>
        <w:tc>
          <w:tcPr>
            <w:tcW w:w="7685" w:type="dxa"/>
            <w:tcBorders>
              <w:left w:val="single" w:sz="6" w:space="0" w:color="BEBEBE"/>
              <w:bottom w:val="single" w:sz="6" w:space="0" w:color="BEBEBE"/>
              <w:right w:val="nil"/>
            </w:tcBorders>
          </w:tcPr>
          <w:p>
            <w:pPr>
              <w:pStyle w:val="TableParagraph"/>
              <w:spacing w:before="187"/>
              <w:ind w:left="114"/>
              <w:jc w:val="both"/>
              <w:rPr>
                <w:b/>
                <w:sz w:val="22"/>
              </w:rPr>
            </w:pPr>
            <w:r>
              <w:rPr>
                <w:b/>
                <w:sz w:val="22"/>
              </w:rPr>
              <w:t>Presentations of OECD findings and national perspectives</w:t>
            </w:r>
          </w:p>
          <w:p>
            <w:pPr>
              <w:pStyle w:val="TableParagraph"/>
              <w:spacing w:before="6"/>
              <w:rPr>
                <w:rFonts w:ascii="Symbol" w:hAnsi="Symbol"/>
                <w:sz w:val="22"/>
              </w:rPr>
            </w:pPr>
          </w:p>
          <w:p>
            <w:pPr>
              <w:pStyle w:val="TableParagraph"/>
              <w:spacing w:line="252" w:lineRule="exact"/>
              <w:ind w:left="114"/>
              <w:jc w:val="both"/>
              <w:rPr>
                <w:sz w:val="22"/>
              </w:rPr>
            </w:pPr>
            <w:r>
              <w:rPr>
                <w:sz w:val="22"/>
              </w:rPr>
              <w:t>OECD findings</w:t>
            </w:r>
          </w:p>
          <w:p>
            <w:pPr>
              <w:pStyle w:val="TableParagraph"/>
              <w:numPr>
                <w:ilvl w:val="0"/>
                <w:numId w:val="2"/>
              </w:numPr>
              <w:tabs>
                <w:tab w:pos="836" w:val="left" w:leader="none"/>
              </w:tabs>
              <w:spacing w:line="247" w:lineRule="auto" w:before="0" w:after="0"/>
              <w:ind w:left="835" w:right="94" w:hanging="360"/>
              <w:jc w:val="both"/>
              <w:rPr>
                <w:sz w:val="22"/>
              </w:rPr>
            </w:pPr>
            <w:r>
              <w:rPr>
                <w:sz w:val="22"/>
              </w:rPr>
              <w:t>Patricia Mangeol, Lead Analyst, Higher Education Policy, Policy Advice and Implementation Division, Directorate for Education and Skills,</w:t>
            </w:r>
            <w:r>
              <w:rPr>
                <w:spacing w:val="-12"/>
                <w:sz w:val="22"/>
              </w:rPr>
              <w:t> </w:t>
            </w:r>
            <w:r>
              <w:rPr>
                <w:sz w:val="22"/>
              </w:rPr>
              <w:t>OECD</w:t>
            </w:r>
          </w:p>
          <w:p>
            <w:pPr>
              <w:pStyle w:val="TableParagraph"/>
              <w:spacing w:before="2"/>
              <w:rPr>
                <w:rFonts w:ascii="Symbol" w:hAnsi="Symbol"/>
                <w:sz w:val="21"/>
              </w:rPr>
            </w:pPr>
          </w:p>
          <w:p>
            <w:pPr>
              <w:pStyle w:val="TableParagraph"/>
              <w:spacing w:line="252" w:lineRule="exact"/>
              <w:ind w:left="114"/>
              <w:jc w:val="both"/>
              <w:rPr>
                <w:sz w:val="22"/>
              </w:rPr>
            </w:pPr>
            <w:r>
              <w:rPr>
                <w:sz w:val="22"/>
              </w:rPr>
              <w:t>National perspectives</w:t>
            </w:r>
          </w:p>
          <w:p>
            <w:pPr>
              <w:pStyle w:val="TableParagraph"/>
              <w:numPr>
                <w:ilvl w:val="0"/>
                <w:numId w:val="2"/>
              </w:numPr>
              <w:tabs>
                <w:tab w:pos="836" w:val="left" w:leader="none"/>
              </w:tabs>
              <w:spacing w:line="244" w:lineRule="auto" w:before="0" w:after="0"/>
              <w:ind w:left="835" w:right="89" w:hanging="360"/>
              <w:jc w:val="both"/>
              <w:rPr>
                <w:sz w:val="22"/>
              </w:rPr>
            </w:pPr>
            <w:r>
              <w:rPr>
                <w:sz w:val="22"/>
              </w:rPr>
              <w:t>Matej Bílik, Former Vice-President for Foreign Affairs, Student Council for Higher Education</w:t>
            </w:r>
          </w:p>
          <w:p>
            <w:pPr>
              <w:pStyle w:val="TableParagraph"/>
              <w:numPr>
                <w:ilvl w:val="0"/>
                <w:numId w:val="2"/>
              </w:numPr>
              <w:tabs>
                <w:tab w:pos="836" w:val="left" w:leader="none"/>
              </w:tabs>
              <w:spacing w:line="264" w:lineRule="exact" w:before="0" w:after="0"/>
              <w:ind w:left="835" w:right="0" w:hanging="361"/>
              <w:jc w:val="both"/>
              <w:rPr>
                <w:sz w:val="22"/>
              </w:rPr>
            </w:pPr>
            <w:r>
              <w:rPr>
                <w:sz w:val="22"/>
              </w:rPr>
              <w:t>Prof. Pavol Sovák, Rector, Pavol Jozef Safarik University in</w:t>
            </w:r>
            <w:r>
              <w:rPr>
                <w:spacing w:val="-9"/>
                <w:sz w:val="22"/>
              </w:rPr>
              <w:t> </w:t>
            </w:r>
            <w:r>
              <w:rPr>
                <w:sz w:val="22"/>
              </w:rPr>
              <w:t>Košice</w:t>
            </w:r>
          </w:p>
          <w:p>
            <w:pPr>
              <w:pStyle w:val="TableParagraph"/>
              <w:numPr>
                <w:ilvl w:val="0"/>
                <w:numId w:val="2"/>
              </w:numPr>
              <w:tabs>
                <w:tab w:pos="836" w:val="left" w:leader="none"/>
              </w:tabs>
              <w:spacing w:line="247" w:lineRule="auto" w:before="0" w:after="0"/>
              <w:ind w:left="835" w:right="92" w:hanging="360"/>
              <w:jc w:val="both"/>
              <w:rPr>
                <w:sz w:val="22"/>
              </w:rPr>
            </w:pPr>
            <w:r>
              <w:rPr>
                <w:sz w:val="22"/>
              </w:rPr>
              <w:t>Renata Hall, Coordinator of the Analytical Team, Slovak Accreditation Agency for Higher</w:t>
            </w:r>
            <w:r>
              <w:rPr>
                <w:spacing w:val="-1"/>
                <w:sz w:val="22"/>
              </w:rPr>
              <w:t> </w:t>
            </w:r>
            <w:r>
              <w:rPr>
                <w:sz w:val="22"/>
              </w:rPr>
              <w:t>Education</w:t>
            </w:r>
          </w:p>
          <w:p>
            <w:pPr>
              <w:pStyle w:val="TableParagraph"/>
              <w:numPr>
                <w:ilvl w:val="0"/>
                <w:numId w:val="2"/>
              </w:numPr>
              <w:tabs>
                <w:tab w:pos="836" w:val="left" w:leader="none"/>
              </w:tabs>
              <w:spacing w:line="247" w:lineRule="auto" w:before="0" w:after="0"/>
              <w:ind w:left="835" w:right="89" w:hanging="360"/>
              <w:jc w:val="both"/>
              <w:rPr>
                <w:sz w:val="22"/>
              </w:rPr>
            </w:pPr>
            <w:r>
              <w:rPr>
                <w:sz w:val="22"/>
              </w:rPr>
              <w:t>Martin Kanovský, Head of Department for Strategies for Research and Higher Education Institutions, Ministry of Education, Science, Research and Sport of the Slovak</w:t>
            </w:r>
            <w:r>
              <w:rPr>
                <w:spacing w:val="-1"/>
                <w:sz w:val="22"/>
              </w:rPr>
              <w:t> </w:t>
            </w:r>
            <w:r>
              <w:rPr>
                <w:sz w:val="22"/>
              </w:rPr>
              <w:t>Republic</w:t>
            </w:r>
          </w:p>
        </w:tc>
      </w:tr>
      <w:tr>
        <w:trPr>
          <w:trHeight w:val="2247" w:hRule="atLeast"/>
        </w:trPr>
        <w:tc>
          <w:tcPr>
            <w:tcW w:w="1630" w:type="dxa"/>
            <w:tcBorders>
              <w:top w:val="single" w:sz="6" w:space="0" w:color="BEBEBE"/>
              <w:left w:val="nil"/>
              <w:right w:val="single" w:sz="6" w:space="0" w:color="BEBEBE"/>
            </w:tcBorders>
          </w:tcPr>
          <w:p>
            <w:pPr>
              <w:pStyle w:val="TableParagraph"/>
              <w:spacing w:before="189"/>
              <w:ind w:left="136"/>
              <w:rPr>
                <w:b/>
                <w:sz w:val="22"/>
              </w:rPr>
            </w:pPr>
            <w:r>
              <w:rPr>
                <w:b/>
                <w:sz w:val="22"/>
              </w:rPr>
              <w:t>11:10 – 11:30</w:t>
            </w:r>
          </w:p>
        </w:tc>
        <w:tc>
          <w:tcPr>
            <w:tcW w:w="7685" w:type="dxa"/>
            <w:tcBorders>
              <w:top w:val="single" w:sz="6" w:space="0" w:color="BEBEBE"/>
              <w:left w:val="single" w:sz="6" w:space="0" w:color="BEBEBE"/>
              <w:right w:val="nil"/>
            </w:tcBorders>
          </w:tcPr>
          <w:p>
            <w:pPr>
              <w:pStyle w:val="TableParagraph"/>
              <w:spacing w:before="189"/>
              <w:ind w:left="114"/>
              <w:rPr>
                <w:b/>
                <w:sz w:val="22"/>
              </w:rPr>
            </w:pPr>
            <w:r>
              <w:rPr>
                <w:b/>
                <w:sz w:val="22"/>
              </w:rPr>
              <w:t>Q&amp;A and concluding remarks</w:t>
            </w:r>
          </w:p>
          <w:p>
            <w:pPr>
              <w:pStyle w:val="TableParagraph"/>
              <w:spacing w:before="6"/>
              <w:rPr>
                <w:rFonts w:ascii="Symbol" w:hAnsi="Symbol"/>
                <w:sz w:val="18"/>
              </w:rPr>
            </w:pPr>
          </w:p>
          <w:p>
            <w:pPr>
              <w:pStyle w:val="TableParagraph"/>
              <w:numPr>
                <w:ilvl w:val="0"/>
                <w:numId w:val="3"/>
              </w:numPr>
              <w:tabs>
                <w:tab w:pos="834" w:val="left" w:leader="none"/>
                <w:tab w:pos="836" w:val="left" w:leader="none"/>
              </w:tabs>
              <w:spacing w:line="244" w:lineRule="auto" w:before="1" w:after="0"/>
              <w:ind w:left="835" w:right="89" w:hanging="360"/>
              <w:jc w:val="left"/>
              <w:rPr>
                <w:sz w:val="22"/>
              </w:rPr>
            </w:pPr>
            <w:r>
              <w:rPr>
                <w:sz w:val="22"/>
              </w:rPr>
              <w:t>Q&amp;A with participants moderated by Paulo Santiago, Head of the Policy Advice and Implementation Division, Directorate for Education and Skills,</w:t>
            </w:r>
            <w:r>
              <w:rPr>
                <w:spacing w:val="-9"/>
                <w:sz w:val="22"/>
              </w:rPr>
              <w:t> </w:t>
            </w:r>
            <w:r>
              <w:rPr>
                <w:sz w:val="22"/>
              </w:rPr>
              <w:t>OECD</w:t>
            </w:r>
          </w:p>
          <w:p>
            <w:pPr>
              <w:pStyle w:val="TableParagraph"/>
              <w:numPr>
                <w:ilvl w:val="0"/>
                <w:numId w:val="3"/>
              </w:numPr>
              <w:tabs>
                <w:tab w:pos="834" w:val="left" w:leader="none"/>
                <w:tab w:pos="836" w:val="left" w:leader="none"/>
              </w:tabs>
              <w:spacing w:line="244" w:lineRule="auto" w:before="0" w:after="0"/>
              <w:ind w:left="835" w:right="94" w:hanging="360"/>
              <w:jc w:val="left"/>
              <w:rPr>
                <w:sz w:val="22"/>
              </w:rPr>
            </w:pPr>
            <w:r>
              <w:rPr>
                <w:sz w:val="22"/>
              </w:rPr>
              <w:t>Veronika Rybánska, Director, Institute for Strategies and Analyses, Government Office of the Slovak</w:t>
            </w:r>
            <w:r>
              <w:rPr>
                <w:spacing w:val="-1"/>
                <w:sz w:val="22"/>
              </w:rPr>
              <w:t> </w:t>
            </w:r>
            <w:r>
              <w:rPr>
                <w:sz w:val="22"/>
              </w:rPr>
              <w:t>Republic</w:t>
            </w:r>
          </w:p>
        </w:tc>
      </w:tr>
    </w:tbl>
    <w:sectPr>
      <w:pgSz w:w="11910" w:h="16840"/>
      <w:pgMar w:top="1140" w:bottom="280" w:left="54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35" w:hanging="360"/>
      </w:pPr>
      <w:rPr>
        <w:rFonts w:hint="default" w:ascii="Symbol" w:hAnsi="Symbol" w:eastAsia="Symbol" w:cs="Symbol"/>
        <w:w w:val="100"/>
        <w:sz w:val="22"/>
        <w:szCs w:val="22"/>
        <w:lang w:val="en-US" w:eastAsia="en-US" w:bidi="en-US"/>
      </w:rPr>
    </w:lvl>
    <w:lvl w:ilvl="1">
      <w:start w:val="0"/>
      <w:numFmt w:val="bullet"/>
      <w:lvlText w:val="•"/>
      <w:lvlJc w:val="left"/>
      <w:pPr>
        <w:ind w:left="1523" w:hanging="360"/>
      </w:pPr>
      <w:rPr>
        <w:rFonts w:hint="default"/>
        <w:lang w:val="en-US" w:eastAsia="en-US" w:bidi="en-US"/>
      </w:rPr>
    </w:lvl>
    <w:lvl w:ilvl="2">
      <w:start w:val="0"/>
      <w:numFmt w:val="bullet"/>
      <w:lvlText w:val="•"/>
      <w:lvlJc w:val="left"/>
      <w:pPr>
        <w:ind w:left="2207" w:hanging="360"/>
      </w:pPr>
      <w:rPr>
        <w:rFonts w:hint="default"/>
        <w:lang w:val="en-US" w:eastAsia="en-US" w:bidi="en-US"/>
      </w:rPr>
    </w:lvl>
    <w:lvl w:ilvl="3">
      <w:start w:val="0"/>
      <w:numFmt w:val="bullet"/>
      <w:lvlText w:val="•"/>
      <w:lvlJc w:val="left"/>
      <w:pPr>
        <w:ind w:left="2891" w:hanging="360"/>
      </w:pPr>
      <w:rPr>
        <w:rFonts w:hint="default"/>
        <w:lang w:val="en-US" w:eastAsia="en-US" w:bidi="en-US"/>
      </w:rPr>
    </w:lvl>
    <w:lvl w:ilvl="4">
      <w:start w:val="0"/>
      <w:numFmt w:val="bullet"/>
      <w:lvlText w:val="•"/>
      <w:lvlJc w:val="left"/>
      <w:pPr>
        <w:ind w:left="3575" w:hanging="360"/>
      </w:pPr>
      <w:rPr>
        <w:rFonts w:hint="default"/>
        <w:lang w:val="en-US" w:eastAsia="en-US" w:bidi="en-US"/>
      </w:rPr>
    </w:lvl>
    <w:lvl w:ilvl="5">
      <w:start w:val="0"/>
      <w:numFmt w:val="bullet"/>
      <w:lvlText w:val="•"/>
      <w:lvlJc w:val="left"/>
      <w:pPr>
        <w:ind w:left="4258" w:hanging="360"/>
      </w:pPr>
      <w:rPr>
        <w:rFonts w:hint="default"/>
        <w:lang w:val="en-US" w:eastAsia="en-US" w:bidi="en-US"/>
      </w:rPr>
    </w:lvl>
    <w:lvl w:ilvl="6">
      <w:start w:val="0"/>
      <w:numFmt w:val="bullet"/>
      <w:lvlText w:val="•"/>
      <w:lvlJc w:val="left"/>
      <w:pPr>
        <w:ind w:left="4942" w:hanging="360"/>
      </w:pPr>
      <w:rPr>
        <w:rFonts w:hint="default"/>
        <w:lang w:val="en-US" w:eastAsia="en-US" w:bidi="en-US"/>
      </w:rPr>
    </w:lvl>
    <w:lvl w:ilvl="7">
      <w:start w:val="0"/>
      <w:numFmt w:val="bullet"/>
      <w:lvlText w:val="•"/>
      <w:lvlJc w:val="left"/>
      <w:pPr>
        <w:ind w:left="5626" w:hanging="360"/>
      </w:pPr>
      <w:rPr>
        <w:rFonts w:hint="default"/>
        <w:lang w:val="en-US" w:eastAsia="en-US" w:bidi="en-US"/>
      </w:rPr>
    </w:lvl>
    <w:lvl w:ilvl="8">
      <w:start w:val="0"/>
      <w:numFmt w:val="bullet"/>
      <w:lvlText w:val="•"/>
      <w:lvlJc w:val="left"/>
      <w:pPr>
        <w:ind w:left="6310" w:hanging="360"/>
      </w:pPr>
      <w:rPr>
        <w:rFonts w:hint="default"/>
        <w:lang w:val="en-US" w:eastAsia="en-US" w:bidi="en-US"/>
      </w:rPr>
    </w:lvl>
  </w:abstractNum>
  <w:abstractNum w:abstractNumId="1">
    <w:multiLevelType w:val="hybridMultilevel"/>
    <w:lvl w:ilvl="0">
      <w:start w:val="0"/>
      <w:numFmt w:val="bullet"/>
      <w:lvlText w:val=""/>
      <w:lvlJc w:val="left"/>
      <w:pPr>
        <w:ind w:left="835" w:hanging="360"/>
      </w:pPr>
      <w:rPr>
        <w:rFonts w:hint="default" w:ascii="Symbol" w:hAnsi="Symbol" w:eastAsia="Symbol" w:cs="Symbol"/>
        <w:w w:val="100"/>
        <w:sz w:val="22"/>
        <w:szCs w:val="22"/>
        <w:lang w:val="en-US" w:eastAsia="en-US" w:bidi="en-US"/>
      </w:rPr>
    </w:lvl>
    <w:lvl w:ilvl="1">
      <w:start w:val="0"/>
      <w:numFmt w:val="bullet"/>
      <w:lvlText w:val="•"/>
      <w:lvlJc w:val="left"/>
      <w:pPr>
        <w:ind w:left="1523" w:hanging="360"/>
      </w:pPr>
      <w:rPr>
        <w:rFonts w:hint="default"/>
        <w:lang w:val="en-US" w:eastAsia="en-US" w:bidi="en-US"/>
      </w:rPr>
    </w:lvl>
    <w:lvl w:ilvl="2">
      <w:start w:val="0"/>
      <w:numFmt w:val="bullet"/>
      <w:lvlText w:val="•"/>
      <w:lvlJc w:val="left"/>
      <w:pPr>
        <w:ind w:left="2207" w:hanging="360"/>
      </w:pPr>
      <w:rPr>
        <w:rFonts w:hint="default"/>
        <w:lang w:val="en-US" w:eastAsia="en-US" w:bidi="en-US"/>
      </w:rPr>
    </w:lvl>
    <w:lvl w:ilvl="3">
      <w:start w:val="0"/>
      <w:numFmt w:val="bullet"/>
      <w:lvlText w:val="•"/>
      <w:lvlJc w:val="left"/>
      <w:pPr>
        <w:ind w:left="2891" w:hanging="360"/>
      </w:pPr>
      <w:rPr>
        <w:rFonts w:hint="default"/>
        <w:lang w:val="en-US" w:eastAsia="en-US" w:bidi="en-US"/>
      </w:rPr>
    </w:lvl>
    <w:lvl w:ilvl="4">
      <w:start w:val="0"/>
      <w:numFmt w:val="bullet"/>
      <w:lvlText w:val="•"/>
      <w:lvlJc w:val="left"/>
      <w:pPr>
        <w:ind w:left="3575" w:hanging="360"/>
      </w:pPr>
      <w:rPr>
        <w:rFonts w:hint="default"/>
        <w:lang w:val="en-US" w:eastAsia="en-US" w:bidi="en-US"/>
      </w:rPr>
    </w:lvl>
    <w:lvl w:ilvl="5">
      <w:start w:val="0"/>
      <w:numFmt w:val="bullet"/>
      <w:lvlText w:val="•"/>
      <w:lvlJc w:val="left"/>
      <w:pPr>
        <w:ind w:left="4258" w:hanging="360"/>
      </w:pPr>
      <w:rPr>
        <w:rFonts w:hint="default"/>
        <w:lang w:val="en-US" w:eastAsia="en-US" w:bidi="en-US"/>
      </w:rPr>
    </w:lvl>
    <w:lvl w:ilvl="6">
      <w:start w:val="0"/>
      <w:numFmt w:val="bullet"/>
      <w:lvlText w:val="•"/>
      <w:lvlJc w:val="left"/>
      <w:pPr>
        <w:ind w:left="4942" w:hanging="360"/>
      </w:pPr>
      <w:rPr>
        <w:rFonts w:hint="default"/>
        <w:lang w:val="en-US" w:eastAsia="en-US" w:bidi="en-US"/>
      </w:rPr>
    </w:lvl>
    <w:lvl w:ilvl="7">
      <w:start w:val="0"/>
      <w:numFmt w:val="bullet"/>
      <w:lvlText w:val="•"/>
      <w:lvlJc w:val="left"/>
      <w:pPr>
        <w:ind w:left="5626" w:hanging="360"/>
      </w:pPr>
      <w:rPr>
        <w:rFonts w:hint="default"/>
        <w:lang w:val="en-US" w:eastAsia="en-US" w:bidi="en-US"/>
      </w:rPr>
    </w:lvl>
    <w:lvl w:ilvl="8">
      <w:start w:val="0"/>
      <w:numFmt w:val="bullet"/>
      <w:lvlText w:val="•"/>
      <w:lvlJc w:val="left"/>
      <w:pPr>
        <w:ind w:left="6310" w:hanging="360"/>
      </w:pPr>
      <w:rPr>
        <w:rFonts w:hint="default"/>
        <w:lang w:val="en-US" w:eastAsia="en-US" w:bidi="en-US"/>
      </w:rPr>
    </w:lvl>
  </w:abstractNum>
  <w:abstractNum w:abstractNumId="0">
    <w:multiLevelType w:val="hybridMultilevel"/>
    <w:lvl w:ilvl="0">
      <w:start w:val="0"/>
      <w:numFmt w:val="bullet"/>
      <w:lvlText w:val=""/>
      <w:lvlJc w:val="left"/>
      <w:pPr>
        <w:ind w:left="820" w:hanging="360"/>
      </w:pPr>
      <w:rPr>
        <w:rFonts w:hint="default" w:ascii="Symbol" w:hAnsi="Symbol" w:eastAsia="Symbol" w:cs="Symbol"/>
        <w:w w:val="100"/>
        <w:sz w:val="22"/>
        <w:szCs w:val="22"/>
        <w:lang w:val="en-US" w:eastAsia="en-US" w:bidi="en-US"/>
      </w:rPr>
    </w:lvl>
    <w:lvl w:ilvl="1">
      <w:start w:val="0"/>
      <w:numFmt w:val="bullet"/>
      <w:lvlText w:val="•"/>
      <w:lvlJc w:val="left"/>
      <w:pPr>
        <w:ind w:left="1505" w:hanging="360"/>
      </w:pPr>
      <w:rPr>
        <w:rFonts w:hint="default"/>
        <w:lang w:val="en-US" w:eastAsia="en-US" w:bidi="en-US"/>
      </w:rPr>
    </w:lvl>
    <w:lvl w:ilvl="2">
      <w:start w:val="0"/>
      <w:numFmt w:val="bullet"/>
      <w:lvlText w:val="•"/>
      <w:lvlJc w:val="left"/>
      <w:pPr>
        <w:ind w:left="2191" w:hanging="360"/>
      </w:pPr>
      <w:rPr>
        <w:rFonts w:hint="default"/>
        <w:lang w:val="en-US" w:eastAsia="en-US" w:bidi="en-US"/>
      </w:rPr>
    </w:lvl>
    <w:lvl w:ilvl="3">
      <w:start w:val="0"/>
      <w:numFmt w:val="bullet"/>
      <w:lvlText w:val="•"/>
      <w:lvlJc w:val="left"/>
      <w:pPr>
        <w:ind w:left="2877" w:hanging="360"/>
      </w:pPr>
      <w:rPr>
        <w:rFonts w:hint="default"/>
        <w:lang w:val="en-US" w:eastAsia="en-US" w:bidi="en-US"/>
      </w:rPr>
    </w:lvl>
    <w:lvl w:ilvl="4">
      <w:start w:val="0"/>
      <w:numFmt w:val="bullet"/>
      <w:lvlText w:val="•"/>
      <w:lvlJc w:val="left"/>
      <w:pPr>
        <w:ind w:left="3563" w:hanging="360"/>
      </w:pPr>
      <w:rPr>
        <w:rFonts w:hint="default"/>
        <w:lang w:val="en-US" w:eastAsia="en-US" w:bidi="en-US"/>
      </w:rPr>
    </w:lvl>
    <w:lvl w:ilvl="5">
      <w:start w:val="0"/>
      <w:numFmt w:val="bullet"/>
      <w:lvlText w:val="•"/>
      <w:lvlJc w:val="left"/>
      <w:pPr>
        <w:ind w:left="4248" w:hanging="360"/>
      </w:pPr>
      <w:rPr>
        <w:rFonts w:hint="default"/>
        <w:lang w:val="en-US" w:eastAsia="en-US" w:bidi="en-US"/>
      </w:rPr>
    </w:lvl>
    <w:lvl w:ilvl="6">
      <w:start w:val="0"/>
      <w:numFmt w:val="bullet"/>
      <w:lvlText w:val="•"/>
      <w:lvlJc w:val="left"/>
      <w:pPr>
        <w:ind w:left="4934" w:hanging="360"/>
      </w:pPr>
      <w:rPr>
        <w:rFonts w:hint="default"/>
        <w:lang w:val="en-US" w:eastAsia="en-US" w:bidi="en-US"/>
      </w:rPr>
    </w:lvl>
    <w:lvl w:ilvl="7">
      <w:start w:val="0"/>
      <w:numFmt w:val="bullet"/>
      <w:lvlText w:val="•"/>
      <w:lvlJc w:val="left"/>
      <w:pPr>
        <w:ind w:left="5620" w:hanging="360"/>
      </w:pPr>
      <w:rPr>
        <w:rFonts w:hint="default"/>
        <w:lang w:val="en-US" w:eastAsia="en-US" w:bidi="en-US"/>
      </w:rPr>
    </w:lvl>
    <w:lvl w:ilvl="8">
      <w:start w:val="0"/>
      <w:numFmt w:val="bullet"/>
      <w:lvlText w:val="•"/>
      <w:lvlJc w:val="left"/>
      <w:pPr>
        <w:ind w:left="6306"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763"/>
      <w:jc w:val="both"/>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Narrow" w:hAnsi="Arial Narrow" w:eastAsia="Arial Narrow" w:cs="Arial Narrow"/>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Mangeol</dc:creator>
  <cp:keywords>DOCUMENT CODE</cp:keywords>
  <dc:subject>[Subtitle]</dc:subject>
  <dc:title>[Title]</dc:title>
  <dcterms:created xsi:type="dcterms:W3CDTF">2021-11-16T10:28:54Z</dcterms:created>
  <dcterms:modified xsi:type="dcterms:W3CDTF">2021-11-16T10:28:54Z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Microsoft® Word 2016</vt:lpwstr>
  </property>
  <property fmtid="{D5CDD505-2E9C-101B-9397-08002B2CF9AE}" pid="4" name="LastSaved">
    <vt:filetime>2021-11-16T00:00:00Z</vt:filetime>
  </property>
</Properties>
</file>