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F1C4D" w14:textId="0BE0AF80" w:rsidR="00A62BF6" w:rsidRDefault="00A62BF6" w:rsidP="00A62BF6">
      <w:pPr>
        <w:pStyle w:val="Bodytext30"/>
        <w:spacing w:after="0"/>
        <w:jc w:val="center"/>
      </w:pPr>
      <w:r>
        <w:rPr>
          <w:noProof/>
        </w:rPr>
        <w:drawing>
          <wp:anchor distT="0" distB="0" distL="114300" distR="114300" simplePos="0" relativeHeight="251658240" behindDoc="0" locked="0" layoutInCell="1" allowOverlap="1" wp14:anchorId="70C11346" wp14:editId="1B2D6A7F">
            <wp:simplePos x="0" y="0"/>
            <wp:positionH relativeFrom="column">
              <wp:posOffset>-7620</wp:posOffset>
            </wp:positionH>
            <wp:positionV relativeFrom="paragraph">
              <wp:posOffset>0</wp:posOffset>
            </wp:positionV>
            <wp:extent cx="5756910" cy="1256665"/>
            <wp:effectExtent l="0" t="0" r="0" b="635"/>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1256665"/>
                    </a:xfrm>
                    <a:prstGeom prst="rect">
                      <a:avLst/>
                    </a:prstGeom>
                    <a:noFill/>
                    <a:ln>
                      <a:noFill/>
                    </a:ln>
                  </pic:spPr>
                </pic:pic>
              </a:graphicData>
            </a:graphic>
          </wp:anchor>
        </w:drawing>
      </w:r>
    </w:p>
    <w:p w14:paraId="23C40EC1" w14:textId="77777777" w:rsidR="00A62BF6" w:rsidRDefault="00A62BF6">
      <w:pPr>
        <w:pStyle w:val="Bodytext30"/>
        <w:spacing w:after="0"/>
      </w:pPr>
    </w:p>
    <w:p w14:paraId="6FF2878E" w14:textId="77777777" w:rsidR="00A62BF6" w:rsidRDefault="00A62BF6">
      <w:pPr>
        <w:pStyle w:val="Bodytext30"/>
        <w:spacing w:after="0"/>
      </w:pPr>
    </w:p>
    <w:p w14:paraId="362C4491" w14:textId="77777777" w:rsidR="00A62BF6" w:rsidRDefault="00A62BF6">
      <w:pPr>
        <w:pStyle w:val="Bodytext30"/>
        <w:spacing w:after="0"/>
      </w:pPr>
    </w:p>
    <w:p w14:paraId="09563BE2" w14:textId="77777777" w:rsidR="00A62BF6" w:rsidRDefault="00A62BF6">
      <w:pPr>
        <w:pStyle w:val="Bodytext30"/>
        <w:spacing w:after="0"/>
      </w:pPr>
    </w:p>
    <w:p w14:paraId="4F7FA675" w14:textId="5B4F394E" w:rsidR="009F049C" w:rsidRDefault="00DD745D">
      <w:pPr>
        <w:pStyle w:val="Bodytext30"/>
        <w:spacing w:after="0"/>
      </w:pPr>
      <w:r>
        <w:t>QUANTITATIVE OVERVIEWS</w:t>
      </w:r>
    </w:p>
    <w:p w14:paraId="4F7FA676" w14:textId="77777777" w:rsidR="009F049C" w:rsidRDefault="00DD745D">
      <w:pPr>
        <w:pStyle w:val="Bodytext30"/>
        <w:spacing w:after="0"/>
      </w:pPr>
      <w:r>
        <w:t>DEMOGRAPHIC DEVELOPMENTS</w:t>
      </w:r>
    </w:p>
    <w:p w14:paraId="4F7FA677" w14:textId="77777777" w:rsidR="009F049C" w:rsidRDefault="00DD745D">
      <w:pPr>
        <w:pStyle w:val="Bodytext30"/>
        <w:spacing w:after="140"/>
      </w:pPr>
      <w:r>
        <w:t>IN SLOVAK HIGHER EDUCATION FOR 1989-2020</w:t>
      </w:r>
    </w:p>
    <w:p w14:paraId="4F7FA678" w14:textId="77777777" w:rsidR="009F049C" w:rsidRDefault="00DD745D">
      <w:pPr>
        <w:pStyle w:val="P68B1DB1-Style141"/>
        <w:spacing w:after="460" w:line="389" w:lineRule="auto"/>
        <w:ind w:left="1300"/>
        <w:rPr>
          <w:sz w:val="24"/>
        </w:rPr>
      </w:pPr>
      <w:r>
        <w:t>Thematic report</w:t>
      </w:r>
    </w:p>
    <w:p w14:paraId="4F7FA679" w14:textId="23C2A2C5" w:rsidR="009F049C" w:rsidRDefault="00DD745D">
      <w:pPr>
        <w:pStyle w:val="Bodytext10"/>
        <w:spacing w:after="1880" w:line="389" w:lineRule="auto"/>
        <w:ind w:left="1300"/>
        <w:rPr>
          <w:sz w:val="24"/>
        </w:rPr>
      </w:pPr>
      <w:r>
        <w:t xml:space="preserve">From publicly available data </w:t>
      </w:r>
      <w:proofErr w:type="spellStart"/>
      <w:r>
        <w:t>compiled</w:t>
      </w:r>
      <w:proofErr w:type="spellEnd"/>
      <w:r>
        <w:t xml:space="preserve"> </w:t>
      </w:r>
      <w:r w:rsidR="00A62BF6">
        <w:t xml:space="preserve">by </w:t>
      </w:r>
      <w:r>
        <w:rPr>
          <w:b/>
        </w:rPr>
        <w:t xml:space="preserve">Matej </w:t>
      </w:r>
      <w:proofErr w:type="spellStart"/>
      <w:r>
        <w:rPr>
          <w:b/>
        </w:rPr>
        <w:t>Bílik</w:t>
      </w:r>
      <w:proofErr w:type="spellEnd"/>
      <w:r>
        <w:rPr>
          <w:b/>
        </w:rPr>
        <w:t xml:space="preserve">, Peter Maňo Analytical </w:t>
      </w:r>
      <w:r>
        <w:t>Department of SAA</w:t>
      </w:r>
      <w:r w:rsidR="00A62BF6">
        <w:t>HE</w:t>
      </w:r>
    </w:p>
    <w:p w14:paraId="4F7FA67A" w14:textId="77777777" w:rsidR="009F049C" w:rsidRDefault="00DD745D">
      <w:pPr>
        <w:pStyle w:val="P68B1DB1-Style142"/>
        <w:spacing w:after="0" w:line="240" w:lineRule="auto"/>
        <w:ind w:left="1300"/>
        <w:rPr>
          <w:sz w:val="24"/>
        </w:rPr>
        <w:sectPr w:rsidR="009F049C">
          <w:pgSz w:w="11900" w:h="16840"/>
          <w:pgMar w:top="1854" w:right="1422" w:bottom="1854" w:left="1412" w:header="1426" w:footer="1426" w:gutter="0"/>
          <w:pgNumType w:start="1"/>
          <w:cols w:space="720"/>
          <w:noEndnote/>
          <w:docGrid w:linePitch="360"/>
        </w:sectPr>
      </w:pPr>
      <w:r>
        <w:t>Bratislava, 20 December 2021</w:t>
      </w:r>
    </w:p>
    <w:p w14:paraId="4F7FA67C" w14:textId="77777777" w:rsidR="009F049C" w:rsidRDefault="00DD745D">
      <w:pPr>
        <w:pStyle w:val="Bodytext20"/>
        <w:spacing w:after="840"/>
      </w:pPr>
      <w:r>
        <w:lastRenderedPageBreak/>
        <w:t>SLOVAK ACCREDITATION AGENCY FOR HIGHER EDUCATION</w:t>
      </w:r>
    </w:p>
    <w:p w14:paraId="4F7FA67D" w14:textId="77777777" w:rsidR="009F049C" w:rsidRDefault="00DD745D">
      <w:pPr>
        <w:pStyle w:val="Heading110"/>
        <w:keepNext/>
        <w:keepLines/>
        <w:spacing w:after="180"/>
      </w:pPr>
      <w:bookmarkStart w:id="0" w:name="bookmark1"/>
      <w:bookmarkStart w:id="1" w:name="bookmark3"/>
      <w:bookmarkStart w:id="2" w:name="bookmark0"/>
      <w:bookmarkStart w:id="3" w:name="_Toc97734020"/>
      <w:bookmarkStart w:id="4" w:name="_Toc97734039"/>
      <w:r>
        <w:t>Content</w:t>
      </w:r>
      <w:bookmarkEnd w:id="0"/>
      <w:bookmarkEnd w:id="1"/>
      <w:bookmarkEnd w:id="2"/>
      <w:bookmarkEnd w:id="3"/>
      <w:bookmarkEnd w:id="4"/>
    </w:p>
    <w:p w14:paraId="41934C28" w14:textId="2B29FBD8" w:rsidR="00E564C7" w:rsidRDefault="00DD745D">
      <w:pPr>
        <w:pStyle w:val="Obsah1"/>
        <w:tabs>
          <w:tab w:val="right" w:leader="dot" w:pos="9056"/>
        </w:tabs>
        <w:rPr>
          <w:noProof/>
        </w:rPr>
      </w:pPr>
      <w:r>
        <w:fldChar w:fldCharType="begin"/>
      </w:r>
      <w:r>
        <w:instrText xml:space="preserve"> TOC \o "1-5" \h \z </w:instrText>
      </w:r>
      <w:r>
        <w:fldChar w:fldCharType="separate"/>
      </w:r>
      <w:hyperlink w:anchor="_Toc97734020" w:history="1">
        <w:r w:rsidR="00E564C7" w:rsidRPr="000D124A">
          <w:rPr>
            <w:rStyle w:val="Hypertextovprepojenie"/>
            <w:rFonts w:eastAsia="Calibri"/>
            <w:noProof/>
          </w:rPr>
          <w:t>Content</w:t>
        </w:r>
        <w:r w:rsidR="00E564C7">
          <w:rPr>
            <w:noProof/>
            <w:webHidden/>
          </w:rPr>
          <w:tab/>
        </w:r>
        <w:r w:rsidR="00E564C7">
          <w:rPr>
            <w:noProof/>
            <w:webHidden/>
          </w:rPr>
          <w:fldChar w:fldCharType="begin"/>
        </w:r>
        <w:r w:rsidR="00E564C7">
          <w:rPr>
            <w:noProof/>
            <w:webHidden/>
          </w:rPr>
          <w:instrText xml:space="preserve"> PAGEREF _Toc97734020 \h </w:instrText>
        </w:r>
        <w:r w:rsidR="00E564C7">
          <w:rPr>
            <w:noProof/>
            <w:webHidden/>
          </w:rPr>
        </w:r>
        <w:r w:rsidR="00E564C7">
          <w:rPr>
            <w:noProof/>
            <w:webHidden/>
          </w:rPr>
          <w:fldChar w:fldCharType="separate"/>
        </w:r>
        <w:r w:rsidR="00E564C7">
          <w:rPr>
            <w:noProof/>
            <w:webHidden/>
          </w:rPr>
          <w:t>2</w:t>
        </w:r>
        <w:r w:rsidR="00E564C7">
          <w:rPr>
            <w:noProof/>
            <w:webHidden/>
          </w:rPr>
          <w:fldChar w:fldCharType="end"/>
        </w:r>
      </w:hyperlink>
    </w:p>
    <w:p w14:paraId="4ADD7040" w14:textId="19FBCCAC" w:rsidR="00E564C7" w:rsidRDefault="00A62BF6">
      <w:pPr>
        <w:pStyle w:val="Obsah1"/>
        <w:tabs>
          <w:tab w:val="right" w:leader="dot" w:pos="9056"/>
        </w:tabs>
        <w:rPr>
          <w:noProof/>
        </w:rPr>
      </w:pPr>
      <w:hyperlink w:anchor="_Toc97734021" w:history="1">
        <w:r w:rsidR="00E564C7" w:rsidRPr="000D124A">
          <w:rPr>
            <w:rStyle w:val="Hypertextovprepojenie"/>
            <w:rFonts w:eastAsia="Calibri"/>
            <w:noProof/>
          </w:rPr>
          <w:t>List of charts</w:t>
        </w:r>
        <w:r w:rsidR="00E564C7">
          <w:rPr>
            <w:noProof/>
            <w:webHidden/>
          </w:rPr>
          <w:tab/>
        </w:r>
        <w:r w:rsidR="00E564C7">
          <w:rPr>
            <w:noProof/>
            <w:webHidden/>
          </w:rPr>
          <w:fldChar w:fldCharType="begin"/>
        </w:r>
        <w:r w:rsidR="00E564C7">
          <w:rPr>
            <w:noProof/>
            <w:webHidden/>
          </w:rPr>
          <w:instrText xml:space="preserve"> PAGEREF _Toc97734021 \h </w:instrText>
        </w:r>
        <w:r w:rsidR="00E564C7">
          <w:rPr>
            <w:noProof/>
            <w:webHidden/>
          </w:rPr>
        </w:r>
        <w:r w:rsidR="00E564C7">
          <w:rPr>
            <w:noProof/>
            <w:webHidden/>
          </w:rPr>
          <w:fldChar w:fldCharType="separate"/>
        </w:r>
        <w:r w:rsidR="00E564C7">
          <w:rPr>
            <w:noProof/>
            <w:webHidden/>
          </w:rPr>
          <w:t>3</w:t>
        </w:r>
        <w:r w:rsidR="00E564C7">
          <w:rPr>
            <w:noProof/>
            <w:webHidden/>
          </w:rPr>
          <w:fldChar w:fldCharType="end"/>
        </w:r>
      </w:hyperlink>
    </w:p>
    <w:p w14:paraId="2C28194C" w14:textId="1D754A0B" w:rsidR="00E564C7" w:rsidRDefault="00A62BF6">
      <w:pPr>
        <w:pStyle w:val="Obsah1"/>
        <w:tabs>
          <w:tab w:val="right" w:leader="dot" w:pos="9056"/>
        </w:tabs>
        <w:rPr>
          <w:noProof/>
        </w:rPr>
      </w:pPr>
      <w:hyperlink w:anchor="_Toc97734022" w:history="1">
        <w:r w:rsidR="00E564C7" w:rsidRPr="000D124A">
          <w:rPr>
            <w:rStyle w:val="Hypertextovprepojenie"/>
            <w:rFonts w:eastAsia="Calibri"/>
            <w:noProof/>
          </w:rPr>
          <w:t>Foreword</w:t>
        </w:r>
        <w:r w:rsidR="00E564C7">
          <w:rPr>
            <w:noProof/>
            <w:webHidden/>
          </w:rPr>
          <w:tab/>
        </w:r>
        <w:r w:rsidR="00E564C7">
          <w:rPr>
            <w:noProof/>
            <w:webHidden/>
          </w:rPr>
          <w:fldChar w:fldCharType="begin"/>
        </w:r>
        <w:r w:rsidR="00E564C7">
          <w:rPr>
            <w:noProof/>
            <w:webHidden/>
          </w:rPr>
          <w:instrText xml:space="preserve"> PAGEREF _Toc97734022 \h </w:instrText>
        </w:r>
        <w:r w:rsidR="00E564C7">
          <w:rPr>
            <w:noProof/>
            <w:webHidden/>
          </w:rPr>
        </w:r>
        <w:r w:rsidR="00E564C7">
          <w:rPr>
            <w:noProof/>
            <w:webHidden/>
          </w:rPr>
          <w:fldChar w:fldCharType="separate"/>
        </w:r>
        <w:r w:rsidR="00E564C7">
          <w:rPr>
            <w:noProof/>
            <w:webHidden/>
          </w:rPr>
          <w:t>4</w:t>
        </w:r>
        <w:r w:rsidR="00E564C7">
          <w:rPr>
            <w:noProof/>
            <w:webHidden/>
          </w:rPr>
          <w:fldChar w:fldCharType="end"/>
        </w:r>
      </w:hyperlink>
    </w:p>
    <w:p w14:paraId="195F4E7B" w14:textId="02DFC620" w:rsidR="00E564C7" w:rsidRDefault="00A62BF6">
      <w:pPr>
        <w:pStyle w:val="Obsah1"/>
        <w:tabs>
          <w:tab w:val="right" w:leader="dot" w:pos="9056"/>
        </w:tabs>
        <w:rPr>
          <w:noProof/>
        </w:rPr>
      </w:pPr>
      <w:hyperlink w:anchor="_Toc97734023" w:history="1">
        <w:r w:rsidR="00E564C7" w:rsidRPr="000D124A">
          <w:rPr>
            <w:rStyle w:val="Hypertextovprepojenie"/>
            <w:rFonts w:eastAsia="Calibri"/>
            <w:noProof/>
          </w:rPr>
          <w:t>Introduction</w:t>
        </w:r>
        <w:r w:rsidR="00E564C7">
          <w:rPr>
            <w:noProof/>
            <w:webHidden/>
          </w:rPr>
          <w:tab/>
        </w:r>
        <w:r w:rsidR="00E564C7">
          <w:rPr>
            <w:noProof/>
            <w:webHidden/>
          </w:rPr>
          <w:fldChar w:fldCharType="begin"/>
        </w:r>
        <w:r w:rsidR="00E564C7">
          <w:rPr>
            <w:noProof/>
            <w:webHidden/>
          </w:rPr>
          <w:instrText xml:space="preserve"> PAGEREF _Toc97734023 \h </w:instrText>
        </w:r>
        <w:r w:rsidR="00E564C7">
          <w:rPr>
            <w:noProof/>
            <w:webHidden/>
          </w:rPr>
        </w:r>
        <w:r w:rsidR="00E564C7">
          <w:rPr>
            <w:noProof/>
            <w:webHidden/>
          </w:rPr>
          <w:fldChar w:fldCharType="separate"/>
        </w:r>
        <w:r w:rsidR="00E564C7">
          <w:rPr>
            <w:noProof/>
            <w:webHidden/>
          </w:rPr>
          <w:t>5</w:t>
        </w:r>
        <w:r w:rsidR="00E564C7">
          <w:rPr>
            <w:noProof/>
            <w:webHidden/>
          </w:rPr>
          <w:fldChar w:fldCharType="end"/>
        </w:r>
      </w:hyperlink>
    </w:p>
    <w:p w14:paraId="78527E4D" w14:textId="04A25C8C" w:rsidR="00E564C7" w:rsidRDefault="00A62BF6">
      <w:pPr>
        <w:pStyle w:val="Obsah1"/>
        <w:tabs>
          <w:tab w:val="left" w:pos="440"/>
          <w:tab w:val="right" w:leader="dot" w:pos="9056"/>
        </w:tabs>
        <w:rPr>
          <w:noProof/>
        </w:rPr>
      </w:pPr>
      <w:hyperlink w:anchor="_Toc97734024" w:history="1">
        <w:r w:rsidR="00E564C7" w:rsidRPr="000D124A">
          <w:rPr>
            <w:rStyle w:val="Hypertextovprepojenie"/>
            <w:rFonts w:eastAsia="Calibri"/>
            <w:bCs/>
            <w:noProof/>
            <w:shd w:val="clear" w:color="auto" w:fill="FFFFFF"/>
          </w:rPr>
          <w:t>I.</w:t>
        </w:r>
        <w:r w:rsidR="00E564C7">
          <w:rPr>
            <w:noProof/>
          </w:rPr>
          <w:tab/>
        </w:r>
        <w:r w:rsidR="00E564C7" w:rsidRPr="000D124A">
          <w:rPr>
            <w:rStyle w:val="Hypertextovprepojenie"/>
            <w:rFonts w:eastAsia="Calibri"/>
            <w:noProof/>
          </w:rPr>
          <w:t>Students and graduates</w:t>
        </w:r>
        <w:r w:rsidR="00E564C7">
          <w:rPr>
            <w:noProof/>
            <w:webHidden/>
          </w:rPr>
          <w:tab/>
        </w:r>
        <w:r w:rsidR="00E564C7">
          <w:rPr>
            <w:noProof/>
            <w:webHidden/>
          </w:rPr>
          <w:fldChar w:fldCharType="begin"/>
        </w:r>
        <w:r w:rsidR="00E564C7">
          <w:rPr>
            <w:noProof/>
            <w:webHidden/>
          </w:rPr>
          <w:instrText xml:space="preserve"> PAGEREF _Toc97734024 \h </w:instrText>
        </w:r>
        <w:r w:rsidR="00E564C7">
          <w:rPr>
            <w:noProof/>
            <w:webHidden/>
          </w:rPr>
        </w:r>
        <w:r w:rsidR="00E564C7">
          <w:rPr>
            <w:noProof/>
            <w:webHidden/>
          </w:rPr>
          <w:fldChar w:fldCharType="separate"/>
        </w:r>
        <w:r w:rsidR="00E564C7">
          <w:rPr>
            <w:noProof/>
            <w:webHidden/>
          </w:rPr>
          <w:t>9</w:t>
        </w:r>
        <w:r w:rsidR="00E564C7">
          <w:rPr>
            <w:noProof/>
            <w:webHidden/>
          </w:rPr>
          <w:fldChar w:fldCharType="end"/>
        </w:r>
      </w:hyperlink>
    </w:p>
    <w:p w14:paraId="0FC443F7" w14:textId="45919D43" w:rsidR="00E564C7" w:rsidRDefault="00A62BF6">
      <w:pPr>
        <w:pStyle w:val="Obsah1"/>
        <w:tabs>
          <w:tab w:val="left" w:pos="440"/>
          <w:tab w:val="right" w:leader="dot" w:pos="9056"/>
        </w:tabs>
        <w:rPr>
          <w:noProof/>
        </w:rPr>
      </w:pPr>
      <w:hyperlink w:anchor="_Toc97734025" w:history="1">
        <w:r w:rsidR="00E564C7" w:rsidRPr="000D124A">
          <w:rPr>
            <w:rStyle w:val="Hypertextovprepojenie"/>
            <w:rFonts w:eastAsia="Calibri"/>
            <w:bCs/>
            <w:noProof/>
          </w:rPr>
          <w:t>I.</w:t>
        </w:r>
        <w:r w:rsidR="00E564C7">
          <w:rPr>
            <w:noProof/>
          </w:rPr>
          <w:tab/>
        </w:r>
        <w:r w:rsidR="00E564C7" w:rsidRPr="000D124A">
          <w:rPr>
            <w:rStyle w:val="Hypertextovprepojenie"/>
            <w:rFonts w:eastAsia="Calibri"/>
            <w:noProof/>
          </w:rPr>
          <w:t>a. Demographic evolution of the population of 19-year-olds</w:t>
        </w:r>
        <w:r w:rsidR="00E564C7">
          <w:rPr>
            <w:noProof/>
            <w:webHidden/>
          </w:rPr>
          <w:tab/>
        </w:r>
        <w:r w:rsidR="00E564C7">
          <w:rPr>
            <w:noProof/>
            <w:webHidden/>
          </w:rPr>
          <w:fldChar w:fldCharType="begin"/>
        </w:r>
        <w:r w:rsidR="00E564C7">
          <w:rPr>
            <w:noProof/>
            <w:webHidden/>
          </w:rPr>
          <w:instrText xml:space="preserve"> PAGEREF _Toc97734025 \h </w:instrText>
        </w:r>
        <w:r w:rsidR="00E564C7">
          <w:rPr>
            <w:noProof/>
            <w:webHidden/>
          </w:rPr>
        </w:r>
        <w:r w:rsidR="00E564C7">
          <w:rPr>
            <w:noProof/>
            <w:webHidden/>
          </w:rPr>
          <w:fldChar w:fldCharType="separate"/>
        </w:r>
        <w:r w:rsidR="00E564C7">
          <w:rPr>
            <w:noProof/>
            <w:webHidden/>
          </w:rPr>
          <w:t>9</w:t>
        </w:r>
        <w:r w:rsidR="00E564C7">
          <w:rPr>
            <w:noProof/>
            <w:webHidden/>
          </w:rPr>
          <w:fldChar w:fldCharType="end"/>
        </w:r>
      </w:hyperlink>
    </w:p>
    <w:p w14:paraId="77701519" w14:textId="6C1C1DA9" w:rsidR="00E564C7" w:rsidRDefault="00A62BF6">
      <w:pPr>
        <w:pStyle w:val="Obsah1"/>
        <w:tabs>
          <w:tab w:val="left" w:pos="440"/>
          <w:tab w:val="right" w:leader="dot" w:pos="9056"/>
        </w:tabs>
        <w:rPr>
          <w:noProof/>
        </w:rPr>
      </w:pPr>
      <w:hyperlink w:anchor="_Toc97734026" w:history="1">
        <w:r w:rsidR="00E564C7" w:rsidRPr="000D124A">
          <w:rPr>
            <w:rStyle w:val="Hypertextovprepojenie"/>
            <w:rFonts w:eastAsia="Calibri"/>
            <w:bCs/>
            <w:noProof/>
          </w:rPr>
          <w:t>I.</w:t>
        </w:r>
        <w:r w:rsidR="00E564C7">
          <w:rPr>
            <w:noProof/>
          </w:rPr>
          <w:tab/>
        </w:r>
        <w:r w:rsidR="00E564C7" w:rsidRPr="000D124A">
          <w:rPr>
            <w:rStyle w:val="Hypertextovprepojenie"/>
            <w:rFonts w:eastAsia="Calibri"/>
            <w:noProof/>
          </w:rPr>
          <w:t>B. Developing the number of students (1989-2020)</w:t>
        </w:r>
        <w:r w:rsidR="00E564C7">
          <w:rPr>
            <w:noProof/>
            <w:webHidden/>
          </w:rPr>
          <w:tab/>
        </w:r>
        <w:r w:rsidR="00E564C7">
          <w:rPr>
            <w:noProof/>
            <w:webHidden/>
          </w:rPr>
          <w:fldChar w:fldCharType="begin"/>
        </w:r>
        <w:r w:rsidR="00E564C7">
          <w:rPr>
            <w:noProof/>
            <w:webHidden/>
          </w:rPr>
          <w:instrText xml:space="preserve"> PAGEREF _Toc97734026 \h </w:instrText>
        </w:r>
        <w:r w:rsidR="00E564C7">
          <w:rPr>
            <w:noProof/>
            <w:webHidden/>
          </w:rPr>
        </w:r>
        <w:r w:rsidR="00E564C7">
          <w:rPr>
            <w:noProof/>
            <w:webHidden/>
          </w:rPr>
          <w:fldChar w:fldCharType="separate"/>
        </w:r>
        <w:r w:rsidR="00E564C7">
          <w:rPr>
            <w:noProof/>
            <w:webHidden/>
          </w:rPr>
          <w:t>10</w:t>
        </w:r>
        <w:r w:rsidR="00E564C7">
          <w:rPr>
            <w:noProof/>
            <w:webHidden/>
          </w:rPr>
          <w:fldChar w:fldCharType="end"/>
        </w:r>
      </w:hyperlink>
    </w:p>
    <w:p w14:paraId="21E64D08" w14:textId="67BC6458" w:rsidR="00E564C7" w:rsidRDefault="00A62BF6">
      <w:pPr>
        <w:pStyle w:val="Obsah1"/>
        <w:tabs>
          <w:tab w:val="left" w:pos="440"/>
          <w:tab w:val="right" w:leader="dot" w:pos="9056"/>
        </w:tabs>
        <w:rPr>
          <w:noProof/>
        </w:rPr>
      </w:pPr>
      <w:hyperlink w:anchor="_Toc97734027" w:history="1">
        <w:r w:rsidR="00E564C7" w:rsidRPr="000D124A">
          <w:rPr>
            <w:rStyle w:val="Hypertextovprepojenie"/>
            <w:rFonts w:eastAsia="Calibri"/>
            <w:bCs/>
            <w:noProof/>
            <w:shd w:val="clear" w:color="auto" w:fill="FFFFFF"/>
          </w:rPr>
          <w:t>I.</w:t>
        </w:r>
        <w:r w:rsidR="00E564C7">
          <w:rPr>
            <w:noProof/>
          </w:rPr>
          <w:tab/>
        </w:r>
        <w:r w:rsidR="00E564C7" w:rsidRPr="000D124A">
          <w:rPr>
            <w:rStyle w:val="Hypertextovprepojenie"/>
            <w:rFonts w:eastAsia="Calibri"/>
            <w:noProof/>
          </w:rPr>
          <w:t>C. Development in the number of graduates (1989-2019)</w:t>
        </w:r>
        <w:r w:rsidR="00E564C7">
          <w:rPr>
            <w:noProof/>
            <w:webHidden/>
          </w:rPr>
          <w:tab/>
        </w:r>
        <w:r w:rsidR="00E564C7">
          <w:rPr>
            <w:noProof/>
            <w:webHidden/>
          </w:rPr>
          <w:fldChar w:fldCharType="begin"/>
        </w:r>
        <w:r w:rsidR="00E564C7">
          <w:rPr>
            <w:noProof/>
            <w:webHidden/>
          </w:rPr>
          <w:instrText xml:space="preserve"> PAGEREF _Toc97734027 \h </w:instrText>
        </w:r>
        <w:r w:rsidR="00E564C7">
          <w:rPr>
            <w:noProof/>
            <w:webHidden/>
          </w:rPr>
        </w:r>
        <w:r w:rsidR="00E564C7">
          <w:rPr>
            <w:noProof/>
            <w:webHidden/>
          </w:rPr>
          <w:fldChar w:fldCharType="separate"/>
        </w:r>
        <w:r w:rsidR="00E564C7">
          <w:rPr>
            <w:noProof/>
            <w:webHidden/>
          </w:rPr>
          <w:t>11</w:t>
        </w:r>
        <w:r w:rsidR="00E564C7">
          <w:rPr>
            <w:noProof/>
            <w:webHidden/>
          </w:rPr>
          <w:fldChar w:fldCharType="end"/>
        </w:r>
      </w:hyperlink>
    </w:p>
    <w:p w14:paraId="1B25E395" w14:textId="1077E6AA" w:rsidR="00E564C7" w:rsidRDefault="00A62BF6">
      <w:pPr>
        <w:pStyle w:val="Obsah1"/>
        <w:tabs>
          <w:tab w:val="right" w:leader="dot" w:pos="9056"/>
        </w:tabs>
        <w:rPr>
          <w:noProof/>
        </w:rPr>
      </w:pPr>
      <w:hyperlink w:anchor="_Toc97734028" w:history="1">
        <w:r w:rsidR="00E564C7" w:rsidRPr="000D124A">
          <w:rPr>
            <w:rStyle w:val="Hypertextovprepojenie"/>
            <w:rFonts w:eastAsia="Calibri"/>
            <w:noProof/>
          </w:rPr>
          <w:t>I.d. Development in the number of students by group of disciplines (1990/2003-2019)</w:t>
        </w:r>
        <w:r w:rsidR="00E564C7">
          <w:rPr>
            <w:noProof/>
            <w:webHidden/>
          </w:rPr>
          <w:tab/>
        </w:r>
        <w:r w:rsidR="00E564C7">
          <w:rPr>
            <w:noProof/>
            <w:webHidden/>
          </w:rPr>
          <w:fldChar w:fldCharType="begin"/>
        </w:r>
        <w:r w:rsidR="00E564C7">
          <w:rPr>
            <w:noProof/>
            <w:webHidden/>
          </w:rPr>
          <w:instrText xml:space="preserve"> PAGEREF _Toc97734028 \h </w:instrText>
        </w:r>
        <w:r w:rsidR="00E564C7">
          <w:rPr>
            <w:noProof/>
            <w:webHidden/>
          </w:rPr>
        </w:r>
        <w:r w:rsidR="00E564C7">
          <w:rPr>
            <w:noProof/>
            <w:webHidden/>
          </w:rPr>
          <w:fldChar w:fldCharType="separate"/>
        </w:r>
        <w:r w:rsidR="00E564C7">
          <w:rPr>
            <w:noProof/>
            <w:webHidden/>
          </w:rPr>
          <w:t>12</w:t>
        </w:r>
        <w:r w:rsidR="00E564C7">
          <w:rPr>
            <w:noProof/>
            <w:webHidden/>
          </w:rPr>
          <w:fldChar w:fldCharType="end"/>
        </w:r>
      </w:hyperlink>
    </w:p>
    <w:p w14:paraId="17987D09" w14:textId="6191D509" w:rsidR="00E564C7" w:rsidRDefault="00A62BF6">
      <w:pPr>
        <w:pStyle w:val="Obsah1"/>
        <w:tabs>
          <w:tab w:val="right" w:leader="dot" w:pos="9056"/>
        </w:tabs>
        <w:rPr>
          <w:noProof/>
        </w:rPr>
      </w:pPr>
      <w:hyperlink w:anchor="_Toc97734029" w:history="1">
        <w:r w:rsidR="00E564C7" w:rsidRPr="000D124A">
          <w:rPr>
            <w:rStyle w:val="Hypertextovprepojenie"/>
            <w:rFonts w:eastAsia="Calibri"/>
            <w:noProof/>
          </w:rPr>
          <w:t>I.e. Share of graduated population</w:t>
        </w:r>
        <w:r w:rsidR="00E564C7">
          <w:rPr>
            <w:noProof/>
            <w:webHidden/>
          </w:rPr>
          <w:tab/>
        </w:r>
        <w:r w:rsidR="00E564C7">
          <w:rPr>
            <w:noProof/>
            <w:webHidden/>
          </w:rPr>
          <w:fldChar w:fldCharType="begin"/>
        </w:r>
        <w:r w:rsidR="00E564C7">
          <w:rPr>
            <w:noProof/>
            <w:webHidden/>
          </w:rPr>
          <w:instrText xml:space="preserve"> PAGEREF _Toc97734029 \h </w:instrText>
        </w:r>
        <w:r w:rsidR="00E564C7">
          <w:rPr>
            <w:noProof/>
            <w:webHidden/>
          </w:rPr>
        </w:r>
        <w:r w:rsidR="00E564C7">
          <w:rPr>
            <w:noProof/>
            <w:webHidden/>
          </w:rPr>
          <w:fldChar w:fldCharType="separate"/>
        </w:r>
        <w:r w:rsidR="00E564C7">
          <w:rPr>
            <w:noProof/>
            <w:webHidden/>
          </w:rPr>
          <w:t>17</w:t>
        </w:r>
        <w:r w:rsidR="00E564C7">
          <w:rPr>
            <w:noProof/>
            <w:webHidden/>
          </w:rPr>
          <w:fldChar w:fldCharType="end"/>
        </w:r>
      </w:hyperlink>
    </w:p>
    <w:p w14:paraId="500174B2" w14:textId="345C186D" w:rsidR="00E564C7" w:rsidRDefault="00A62BF6">
      <w:pPr>
        <w:pStyle w:val="Obsah1"/>
        <w:tabs>
          <w:tab w:val="left" w:pos="440"/>
          <w:tab w:val="right" w:leader="dot" w:pos="9056"/>
        </w:tabs>
        <w:rPr>
          <w:noProof/>
        </w:rPr>
      </w:pPr>
      <w:hyperlink w:anchor="_Toc97734030" w:history="1">
        <w:r w:rsidR="00E564C7" w:rsidRPr="000D124A">
          <w:rPr>
            <w:rStyle w:val="Hypertextovprepojenie"/>
            <w:rFonts w:eastAsia="Calibri"/>
            <w:bCs/>
            <w:noProof/>
            <w:shd w:val="clear" w:color="auto" w:fill="FFFFFF"/>
          </w:rPr>
          <w:t>II.</w:t>
        </w:r>
        <w:r w:rsidR="00E564C7">
          <w:rPr>
            <w:noProof/>
          </w:rPr>
          <w:tab/>
        </w:r>
        <w:r w:rsidR="00E564C7" w:rsidRPr="000D124A">
          <w:rPr>
            <w:rStyle w:val="Hypertextovprepojenie"/>
            <w:rFonts w:eastAsia="Calibri"/>
            <w:noProof/>
          </w:rPr>
          <w:t>Teachers</w:t>
        </w:r>
        <w:r w:rsidR="00E564C7">
          <w:rPr>
            <w:noProof/>
            <w:webHidden/>
          </w:rPr>
          <w:tab/>
        </w:r>
        <w:r w:rsidR="00E564C7">
          <w:rPr>
            <w:noProof/>
            <w:webHidden/>
          </w:rPr>
          <w:fldChar w:fldCharType="begin"/>
        </w:r>
        <w:r w:rsidR="00E564C7">
          <w:rPr>
            <w:noProof/>
            <w:webHidden/>
          </w:rPr>
          <w:instrText xml:space="preserve"> PAGEREF _Toc97734030 \h </w:instrText>
        </w:r>
        <w:r w:rsidR="00E564C7">
          <w:rPr>
            <w:noProof/>
            <w:webHidden/>
          </w:rPr>
        </w:r>
        <w:r w:rsidR="00E564C7">
          <w:rPr>
            <w:noProof/>
            <w:webHidden/>
          </w:rPr>
          <w:fldChar w:fldCharType="separate"/>
        </w:r>
        <w:r w:rsidR="00E564C7">
          <w:rPr>
            <w:noProof/>
            <w:webHidden/>
          </w:rPr>
          <w:t>20</w:t>
        </w:r>
        <w:r w:rsidR="00E564C7">
          <w:rPr>
            <w:noProof/>
            <w:webHidden/>
          </w:rPr>
          <w:fldChar w:fldCharType="end"/>
        </w:r>
      </w:hyperlink>
    </w:p>
    <w:p w14:paraId="62E6B3DE" w14:textId="5E48035E" w:rsidR="00E564C7" w:rsidRDefault="00A62BF6">
      <w:pPr>
        <w:pStyle w:val="Obsah1"/>
        <w:tabs>
          <w:tab w:val="left" w:pos="440"/>
          <w:tab w:val="right" w:leader="dot" w:pos="9056"/>
        </w:tabs>
        <w:rPr>
          <w:noProof/>
        </w:rPr>
      </w:pPr>
      <w:hyperlink w:anchor="_Toc97734031" w:history="1">
        <w:r w:rsidR="00E564C7" w:rsidRPr="000D124A">
          <w:rPr>
            <w:rStyle w:val="Hypertextovprepojenie"/>
            <w:rFonts w:eastAsia="Calibri"/>
            <w:bCs/>
            <w:noProof/>
          </w:rPr>
          <w:t>II.</w:t>
        </w:r>
        <w:r w:rsidR="00E564C7">
          <w:rPr>
            <w:noProof/>
          </w:rPr>
          <w:tab/>
        </w:r>
        <w:r w:rsidR="00E564C7" w:rsidRPr="000D124A">
          <w:rPr>
            <w:rStyle w:val="Hypertextovprepojenie"/>
            <w:rFonts w:eastAsia="Calibri"/>
            <w:noProof/>
          </w:rPr>
          <w:t>a. Development in the number of university teachers</w:t>
        </w:r>
        <w:r w:rsidR="00E564C7">
          <w:rPr>
            <w:noProof/>
            <w:webHidden/>
          </w:rPr>
          <w:tab/>
        </w:r>
        <w:r w:rsidR="00E564C7">
          <w:rPr>
            <w:noProof/>
            <w:webHidden/>
          </w:rPr>
          <w:fldChar w:fldCharType="begin"/>
        </w:r>
        <w:r w:rsidR="00E564C7">
          <w:rPr>
            <w:noProof/>
            <w:webHidden/>
          </w:rPr>
          <w:instrText xml:space="preserve"> PAGEREF _Toc97734031 \h </w:instrText>
        </w:r>
        <w:r w:rsidR="00E564C7">
          <w:rPr>
            <w:noProof/>
            <w:webHidden/>
          </w:rPr>
        </w:r>
        <w:r w:rsidR="00E564C7">
          <w:rPr>
            <w:noProof/>
            <w:webHidden/>
          </w:rPr>
          <w:fldChar w:fldCharType="separate"/>
        </w:r>
        <w:r w:rsidR="00E564C7">
          <w:rPr>
            <w:noProof/>
            <w:webHidden/>
          </w:rPr>
          <w:t>20</w:t>
        </w:r>
        <w:r w:rsidR="00E564C7">
          <w:rPr>
            <w:noProof/>
            <w:webHidden/>
          </w:rPr>
          <w:fldChar w:fldCharType="end"/>
        </w:r>
      </w:hyperlink>
    </w:p>
    <w:p w14:paraId="478F385F" w14:textId="6A1F9E61" w:rsidR="00E564C7" w:rsidRDefault="00A62BF6">
      <w:pPr>
        <w:pStyle w:val="Obsah1"/>
        <w:tabs>
          <w:tab w:val="left" w:pos="440"/>
          <w:tab w:val="right" w:leader="dot" w:pos="9056"/>
        </w:tabs>
        <w:rPr>
          <w:noProof/>
        </w:rPr>
      </w:pPr>
      <w:hyperlink w:anchor="_Toc97734032" w:history="1">
        <w:r w:rsidR="00E564C7" w:rsidRPr="000D124A">
          <w:rPr>
            <w:rStyle w:val="Hypertextovprepojenie"/>
            <w:rFonts w:eastAsia="Calibri"/>
            <w:bCs/>
            <w:noProof/>
          </w:rPr>
          <w:t>II.</w:t>
        </w:r>
        <w:r w:rsidR="00E564C7">
          <w:rPr>
            <w:noProof/>
          </w:rPr>
          <w:tab/>
        </w:r>
        <w:r w:rsidR="00E564C7" w:rsidRPr="000D124A">
          <w:rPr>
            <w:rStyle w:val="Hypertextovprepojenie"/>
            <w:rFonts w:eastAsia="Calibri"/>
            <w:noProof/>
          </w:rPr>
          <w:t>B. Researchers</w:t>
        </w:r>
        <w:r w:rsidR="00E564C7">
          <w:rPr>
            <w:noProof/>
            <w:webHidden/>
          </w:rPr>
          <w:tab/>
        </w:r>
        <w:r w:rsidR="00E564C7">
          <w:rPr>
            <w:noProof/>
            <w:webHidden/>
          </w:rPr>
          <w:fldChar w:fldCharType="begin"/>
        </w:r>
        <w:r w:rsidR="00E564C7">
          <w:rPr>
            <w:noProof/>
            <w:webHidden/>
          </w:rPr>
          <w:instrText xml:space="preserve"> PAGEREF _Toc97734032 \h </w:instrText>
        </w:r>
        <w:r w:rsidR="00E564C7">
          <w:rPr>
            <w:noProof/>
            <w:webHidden/>
          </w:rPr>
        </w:r>
        <w:r w:rsidR="00E564C7">
          <w:rPr>
            <w:noProof/>
            <w:webHidden/>
          </w:rPr>
          <w:fldChar w:fldCharType="separate"/>
        </w:r>
        <w:r w:rsidR="00E564C7">
          <w:rPr>
            <w:noProof/>
            <w:webHidden/>
          </w:rPr>
          <w:t>22</w:t>
        </w:r>
        <w:r w:rsidR="00E564C7">
          <w:rPr>
            <w:noProof/>
            <w:webHidden/>
          </w:rPr>
          <w:fldChar w:fldCharType="end"/>
        </w:r>
      </w:hyperlink>
    </w:p>
    <w:p w14:paraId="5C725D7E" w14:textId="4987129B" w:rsidR="00E564C7" w:rsidRDefault="00A62BF6">
      <w:pPr>
        <w:pStyle w:val="Obsah1"/>
        <w:tabs>
          <w:tab w:val="left" w:pos="440"/>
          <w:tab w:val="right" w:leader="dot" w:pos="9056"/>
        </w:tabs>
        <w:rPr>
          <w:noProof/>
        </w:rPr>
      </w:pPr>
      <w:hyperlink w:anchor="_Toc97734033" w:history="1">
        <w:r w:rsidR="00E564C7" w:rsidRPr="000D124A">
          <w:rPr>
            <w:rStyle w:val="Hypertextovprepojenie"/>
            <w:rFonts w:eastAsia="Calibri"/>
            <w:bCs/>
            <w:noProof/>
            <w:shd w:val="clear" w:color="auto" w:fill="FFFFFF"/>
          </w:rPr>
          <w:t>II.</w:t>
        </w:r>
        <w:r w:rsidR="00E564C7">
          <w:rPr>
            <w:noProof/>
          </w:rPr>
          <w:tab/>
        </w:r>
        <w:r w:rsidR="00E564C7" w:rsidRPr="000D124A">
          <w:rPr>
            <w:rStyle w:val="Hypertextovprepojenie"/>
            <w:rFonts w:eastAsia="Calibri"/>
            <w:noProof/>
          </w:rPr>
          <w:t>C. Developing the number of students at university teacher (1989-2020)</w:t>
        </w:r>
        <w:r w:rsidR="00E564C7">
          <w:rPr>
            <w:noProof/>
            <w:webHidden/>
          </w:rPr>
          <w:tab/>
        </w:r>
        <w:r w:rsidR="00E564C7">
          <w:rPr>
            <w:noProof/>
            <w:webHidden/>
          </w:rPr>
          <w:fldChar w:fldCharType="begin"/>
        </w:r>
        <w:r w:rsidR="00E564C7">
          <w:rPr>
            <w:noProof/>
            <w:webHidden/>
          </w:rPr>
          <w:instrText xml:space="preserve"> PAGEREF _Toc97734033 \h </w:instrText>
        </w:r>
        <w:r w:rsidR="00E564C7">
          <w:rPr>
            <w:noProof/>
            <w:webHidden/>
          </w:rPr>
        </w:r>
        <w:r w:rsidR="00E564C7">
          <w:rPr>
            <w:noProof/>
            <w:webHidden/>
          </w:rPr>
          <w:fldChar w:fldCharType="separate"/>
        </w:r>
        <w:r w:rsidR="00E564C7">
          <w:rPr>
            <w:noProof/>
            <w:webHidden/>
          </w:rPr>
          <w:t>22</w:t>
        </w:r>
        <w:r w:rsidR="00E564C7">
          <w:rPr>
            <w:noProof/>
            <w:webHidden/>
          </w:rPr>
          <w:fldChar w:fldCharType="end"/>
        </w:r>
      </w:hyperlink>
    </w:p>
    <w:p w14:paraId="2A798178" w14:textId="4B4112B4" w:rsidR="00E564C7" w:rsidRDefault="00A62BF6">
      <w:pPr>
        <w:pStyle w:val="Obsah1"/>
        <w:tabs>
          <w:tab w:val="left" w:pos="660"/>
          <w:tab w:val="right" w:leader="dot" w:pos="9056"/>
        </w:tabs>
        <w:rPr>
          <w:noProof/>
        </w:rPr>
      </w:pPr>
      <w:hyperlink w:anchor="_Toc97734034" w:history="1">
        <w:r w:rsidR="00E564C7" w:rsidRPr="000D124A">
          <w:rPr>
            <w:rStyle w:val="Hypertextovprepojenie"/>
            <w:rFonts w:eastAsia="Calibri"/>
            <w:bCs/>
            <w:noProof/>
            <w:shd w:val="clear" w:color="auto" w:fill="FFFFFF"/>
          </w:rPr>
          <w:t>III.</w:t>
        </w:r>
        <w:r w:rsidR="00E564C7">
          <w:rPr>
            <w:noProof/>
          </w:rPr>
          <w:tab/>
        </w:r>
        <w:r w:rsidR="00E564C7" w:rsidRPr="000D124A">
          <w:rPr>
            <w:rStyle w:val="Hypertextovprepojenie"/>
            <w:rFonts w:eastAsia="Calibri"/>
            <w:noProof/>
          </w:rPr>
          <w:t>Foreign students in Slovakia</w:t>
        </w:r>
        <w:r w:rsidR="00E564C7">
          <w:rPr>
            <w:noProof/>
            <w:webHidden/>
          </w:rPr>
          <w:tab/>
        </w:r>
        <w:r w:rsidR="00E564C7">
          <w:rPr>
            <w:noProof/>
            <w:webHidden/>
          </w:rPr>
          <w:fldChar w:fldCharType="begin"/>
        </w:r>
        <w:r w:rsidR="00E564C7">
          <w:rPr>
            <w:noProof/>
            <w:webHidden/>
          </w:rPr>
          <w:instrText xml:space="preserve"> PAGEREF _Toc97734034 \h </w:instrText>
        </w:r>
        <w:r w:rsidR="00E564C7">
          <w:rPr>
            <w:noProof/>
            <w:webHidden/>
          </w:rPr>
        </w:r>
        <w:r w:rsidR="00E564C7">
          <w:rPr>
            <w:noProof/>
            <w:webHidden/>
          </w:rPr>
          <w:fldChar w:fldCharType="separate"/>
        </w:r>
        <w:r w:rsidR="00E564C7">
          <w:rPr>
            <w:noProof/>
            <w:webHidden/>
          </w:rPr>
          <w:t>24</w:t>
        </w:r>
        <w:r w:rsidR="00E564C7">
          <w:rPr>
            <w:noProof/>
            <w:webHidden/>
          </w:rPr>
          <w:fldChar w:fldCharType="end"/>
        </w:r>
      </w:hyperlink>
    </w:p>
    <w:p w14:paraId="12689224" w14:textId="4935628B" w:rsidR="00E564C7" w:rsidRDefault="00A62BF6">
      <w:pPr>
        <w:pStyle w:val="Obsah1"/>
        <w:tabs>
          <w:tab w:val="right" w:leader="dot" w:pos="9056"/>
        </w:tabs>
        <w:rPr>
          <w:noProof/>
        </w:rPr>
      </w:pPr>
      <w:hyperlink w:anchor="_Toc97734035" w:history="1">
        <w:r w:rsidR="00E564C7" w:rsidRPr="000D124A">
          <w:rPr>
            <w:rStyle w:val="Hypertextovprepojenie"/>
            <w:rFonts w:eastAsia="Calibri"/>
            <w:noProof/>
          </w:rPr>
          <w:t>IlI.a. Development in the number of students with non-Slovak citizenship (2010-2020)</w:t>
        </w:r>
        <w:r w:rsidR="00E564C7">
          <w:rPr>
            <w:noProof/>
            <w:webHidden/>
          </w:rPr>
          <w:tab/>
        </w:r>
        <w:r w:rsidR="00E564C7">
          <w:rPr>
            <w:noProof/>
            <w:webHidden/>
          </w:rPr>
          <w:fldChar w:fldCharType="begin"/>
        </w:r>
        <w:r w:rsidR="00E564C7">
          <w:rPr>
            <w:noProof/>
            <w:webHidden/>
          </w:rPr>
          <w:instrText xml:space="preserve"> PAGEREF _Toc97734035 \h </w:instrText>
        </w:r>
        <w:r w:rsidR="00E564C7">
          <w:rPr>
            <w:noProof/>
            <w:webHidden/>
          </w:rPr>
        </w:r>
        <w:r w:rsidR="00E564C7">
          <w:rPr>
            <w:noProof/>
            <w:webHidden/>
          </w:rPr>
          <w:fldChar w:fldCharType="separate"/>
        </w:r>
        <w:r w:rsidR="00E564C7">
          <w:rPr>
            <w:noProof/>
            <w:webHidden/>
          </w:rPr>
          <w:t>24</w:t>
        </w:r>
        <w:r w:rsidR="00E564C7">
          <w:rPr>
            <w:noProof/>
            <w:webHidden/>
          </w:rPr>
          <w:fldChar w:fldCharType="end"/>
        </w:r>
      </w:hyperlink>
    </w:p>
    <w:p w14:paraId="50BB35BC" w14:textId="59DC966E" w:rsidR="00E564C7" w:rsidRDefault="00A62BF6">
      <w:pPr>
        <w:pStyle w:val="Obsah1"/>
        <w:tabs>
          <w:tab w:val="left" w:pos="660"/>
          <w:tab w:val="right" w:leader="dot" w:pos="9056"/>
        </w:tabs>
        <w:rPr>
          <w:noProof/>
        </w:rPr>
      </w:pPr>
      <w:hyperlink w:anchor="_Toc97734036" w:history="1">
        <w:r w:rsidR="00E564C7" w:rsidRPr="000D124A">
          <w:rPr>
            <w:rStyle w:val="Hypertextovprepojenie"/>
            <w:rFonts w:eastAsia="Calibri"/>
            <w:bCs/>
            <w:noProof/>
          </w:rPr>
          <w:t>III.</w:t>
        </w:r>
        <w:r w:rsidR="00E564C7">
          <w:rPr>
            <w:noProof/>
          </w:rPr>
          <w:tab/>
        </w:r>
        <w:r w:rsidR="00E564C7" w:rsidRPr="000D124A">
          <w:rPr>
            <w:rStyle w:val="Hypertextovprepojenie"/>
            <w:rFonts w:eastAsia="Calibri"/>
            <w:noProof/>
          </w:rPr>
          <w:t>B. International comparison of the share of foreign students</w:t>
        </w:r>
        <w:r w:rsidR="00E564C7">
          <w:rPr>
            <w:noProof/>
            <w:webHidden/>
          </w:rPr>
          <w:tab/>
        </w:r>
        <w:r w:rsidR="00E564C7">
          <w:rPr>
            <w:noProof/>
            <w:webHidden/>
          </w:rPr>
          <w:fldChar w:fldCharType="begin"/>
        </w:r>
        <w:r w:rsidR="00E564C7">
          <w:rPr>
            <w:noProof/>
            <w:webHidden/>
          </w:rPr>
          <w:instrText xml:space="preserve"> PAGEREF _Toc97734036 \h </w:instrText>
        </w:r>
        <w:r w:rsidR="00E564C7">
          <w:rPr>
            <w:noProof/>
            <w:webHidden/>
          </w:rPr>
        </w:r>
        <w:r w:rsidR="00E564C7">
          <w:rPr>
            <w:noProof/>
            <w:webHidden/>
          </w:rPr>
          <w:fldChar w:fldCharType="separate"/>
        </w:r>
        <w:r w:rsidR="00E564C7">
          <w:rPr>
            <w:noProof/>
            <w:webHidden/>
          </w:rPr>
          <w:t>25</w:t>
        </w:r>
        <w:r w:rsidR="00E564C7">
          <w:rPr>
            <w:noProof/>
            <w:webHidden/>
          </w:rPr>
          <w:fldChar w:fldCharType="end"/>
        </w:r>
      </w:hyperlink>
    </w:p>
    <w:p w14:paraId="39095227" w14:textId="1A6EF99B" w:rsidR="00E564C7" w:rsidRDefault="00A62BF6">
      <w:pPr>
        <w:pStyle w:val="Obsah1"/>
        <w:tabs>
          <w:tab w:val="left" w:pos="660"/>
          <w:tab w:val="right" w:leader="dot" w:pos="9056"/>
        </w:tabs>
        <w:rPr>
          <w:noProof/>
        </w:rPr>
      </w:pPr>
      <w:hyperlink w:anchor="_Toc97734037" w:history="1">
        <w:r w:rsidR="00E564C7" w:rsidRPr="000D124A">
          <w:rPr>
            <w:rStyle w:val="Hypertextovprepojenie"/>
            <w:rFonts w:eastAsia="Calibri"/>
            <w:bCs/>
            <w:noProof/>
          </w:rPr>
          <w:t>III.</w:t>
        </w:r>
        <w:r w:rsidR="00E564C7">
          <w:rPr>
            <w:noProof/>
          </w:rPr>
          <w:tab/>
        </w:r>
        <w:r w:rsidR="00E564C7" w:rsidRPr="000D124A">
          <w:rPr>
            <w:rStyle w:val="Hypertextovprepojenie"/>
            <w:rFonts w:eastAsia="Calibri"/>
            <w:noProof/>
          </w:rPr>
          <w:t>C. Number of foreign students by group of disciplines</w:t>
        </w:r>
        <w:r w:rsidR="00E564C7">
          <w:rPr>
            <w:noProof/>
            <w:webHidden/>
          </w:rPr>
          <w:tab/>
        </w:r>
        <w:r w:rsidR="00E564C7">
          <w:rPr>
            <w:noProof/>
            <w:webHidden/>
          </w:rPr>
          <w:fldChar w:fldCharType="begin"/>
        </w:r>
        <w:r w:rsidR="00E564C7">
          <w:rPr>
            <w:noProof/>
            <w:webHidden/>
          </w:rPr>
          <w:instrText xml:space="preserve"> PAGEREF _Toc97734037 \h </w:instrText>
        </w:r>
        <w:r w:rsidR="00E564C7">
          <w:rPr>
            <w:noProof/>
            <w:webHidden/>
          </w:rPr>
        </w:r>
        <w:r w:rsidR="00E564C7">
          <w:rPr>
            <w:noProof/>
            <w:webHidden/>
          </w:rPr>
          <w:fldChar w:fldCharType="separate"/>
        </w:r>
        <w:r w:rsidR="00E564C7">
          <w:rPr>
            <w:noProof/>
            <w:webHidden/>
          </w:rPr>
          <w:t>25</w:t>
        </w:r>
        <w:r w:rsidR="00E564C7">
          <w:rPr>
            <w:noProof/>
            <w:webHidden/>
          </w:rPr>
          <w:fldChar w:fldCharType="end"/>
        </w:r>
      </w:hyperlink>
    </w:p>
    <w:p w14:paraId="35A16860" w14:textId="60BE8F3D" w:rsidR="00E564C7" w:rsidRDefault="00A62BF6">
      <w:pPr>
        <w:pStyle w:val="Obsah1"/>
        <w:tabs>
          <w:tab w:val="right" w:leader="dot" w:pos="9056"/>
        </w:tabs>
        <w:rPr>
          <w:noProof/>
        </w:rPr>
      </w:pPr>
      <w:hyperlink w:anchor="_Toc97734038" w:history="1">
        <w:r w:rsidR="00E564C7" w:rsidRPr="000D124A">
          <w:rPr>
            <w:rStyle w:val="Hypertextovprepojenie"/>
            <w:rFonts w:eastAsia="Calibri"/>
            <w:noProof/>
          </w:rPr>
          <w:t>III.d. Student citizenship other than Slovak (2010-2020)</w:t>
        </w:r>
        <w:r w:rsidR="00E564C7">
          <w:rPr>
            <w:noProof/>
            <w:webHidden/>
          </w:rPr>
          <w:tab/>
        </w:r>
        <w:r w:rsidR="00E564C7">
          <w:rPr>
            <w:noProof/>
            <w:webHidden/>
          </w:rPr>
          <w:fldChar w:fldCharType="begin"/>
        </w:r>
        <w:r w:rsidR="00E564C7">
          <w:rPr>
            <w:noProof/>
            <w:webHidden/>
          </w:rPr>
          <w:instrText xml:space="preserve"> PAGEREF _Toc97734038 \h </w:instrText>
        </w:r>
        <w:r w:rsidR="00E564C7">
          <w:rPr>
            <w:noProof/>
            <w:webHidden/>
          </w:rPr>
        </w:r>
        <w:r w:rsidR="00E564C7">
          <w:rPr>
            <w:noProof/>
            <w:webHidden/>
          </w:rPr>
          <w:fldChar w:fldCharType="separate"/>
        </w:r>
        <w:r w:rsidR="00E564C7">
          <w:rPr>
            <w:noProof/>
            <w:webHidden/>
          </w:rPr>
          <w:t>27</w:t>
        </w:r>
        <w:r w:rsidR="00E564C7">
          <w:rPr>
            <w:noProof/>
            <w:webHidden/>
          </w:rPr>
          <w:fldChar w:fldCharType="end"/>
        </w:r>
      </w:hyperlink>
    </w:p>
    <w:p w14:paraId="4F7FA690" w14:textId="0C2E0C49" w:rsidR="009F049C" w:rsidRDefault="00DD745D">
      <w:pPr>
        <w:pStyle w:val="Tableofcontents10"/>
        <w:tabs>
          <w:tab w:val="left" w:pos="850"/>
          <w:tab w:val="right" w:leader="dot" w:pos="9004"/>
        </w:tabs>
        <w:spacing w:after="120"/>
        <w:ind w:firstLine="240"/>
        <w:jc w:val="both"/>
        <w:sectPr w:rsidR="009F049C">
          <w:headerReference w:type="default" r:id="rId8"/>
          <w:footerReference w:type="default" r:id="rId9"/>
          <w:pgSz w:w="11900" w:h="16840"/>
          <w:pgMar w:top="692" w:right="1422" w:bottom="1028" w:left="1412" w:header="0" w:footer="3" w:gutter="0"/>
          <w:cols w:space="720"/>
          <w:noEndnote/>
          <w:docGrid w:linePitch="360"/>
        </w:sectPr>
      </w:pPr>
      <w:r>
        <w:fldChar w:fldCharType="end"/>
      </w:r>
    </w:p>
    <w:p w14:paraId="4F7FA692" w14:textId="77777777" w:rsidR="009F049C" w:rsidRDefault="00DD745D">
      <w:pPr>
        <w:pStyle w:val="Bodytext20"/>
        <w:spacing w:after="840"/>
      </w:pPr>
      <w:r>
        <w:lastRenderedPageBreak/>
        <w:t>SLOVAK ACCREDITATION AGENCY FOR HIGHER EDUCATION</w:t>
      </w:r>
    </w:p>
    <w:p w14:paraId="4F7FA693" w14:textId="77777777" w:rsidR="009F049C" w:rsidRDefault="00DD745D">
      <w:pPr>
        <w:pStyle w:val="Heading110"/>
        <w:keepNext/>
        <w:keepLines/>
        <w:spacing w:after="320"/>
      </w:pPr>
      <w:bookmarkStart w:id="5" w:name="bookmark18"/>
      <w:bookmarkStart w:id="6" w:name="bookmark20"/>
      <w:bookmarkStart w:id="7" w:name="bookmark17"/>
      <w:bookmarkStart w:id="8" w:name="_Toc97734021"/>
      <w:bookmarkStart w:id="9" w:name="_Toc97734040"/>
      <w:r>
        <w:t xml:space="preserve">List of </w:t>
      </w:r>
      <w:proofErr w:type="spellStart"/>
      <w:r>
        <w:t>charts</w:t>
      </w:r>
      <w:bookmarkEnd w:id="5"/>
      <w:bookmarkEnd w:id="6"/>
      <w:bookmarkEnd w:id="7"/>
      <w:bookmarkEnd w:id="8"/>
      <w:bookmarkEnd w:id="9"/>
      <w:proofErr w:type="spellEnd"/>
    </w:p>
    <w:p w14:paraId="299FB583" w14:textId="6FD538BC" w:rsidR="00E564C7" w:rsidRDefault="00DD745D">
      <w:pPr>
        <w:pStyle w:val="Obsah1"/>
        <w:tabs>
          <w:tab w:val="right" w:leader="dot" w:pos="9056"/>
        </w:tabs>
        <w:rPr>
          <w:rFonts w:asciiTheme="minorHAnsi" w:eastAsiaTheme="minorEastAsia" w:hAnsiTheme="minorHAnsi" w:cstheme="minorBidi"/>
          <w:noProof/>
          <w:color w:val="auto"/>
          <w:sz w:val="22"/>
          <w:szCs w:val="22"/>
        </w:rPr>
      </w:pPr>
      <w:r>
        <w:fldChar w:fldCharType="begin"/>
      </w:r>
      <w:r>
        <w:instrText xml:space="preserve"> TOC \o "1-5" \h \z </w:instrText>
      </w:r>
      <w:r>
        <w:fldChar w:fldCharType="separate"/>
      </w:r>
      <w:hyperlink w:anchor="_Toc97734039" w:history="1">
        <w:r w:rsidR="00E564C7" w:rsidRPr="00205519">
          <w:rPr>
            <w:rStyle w:val="Hypertextovprepojenie"/>
            <w:rFonts w:eastAsia="Calibri"/>
            <w:noProof/>
          </w:rPr>
          <w:t>Content</w:t>
        </w:r>
        <w:r w:rsidR="00E564C7">
          <w:rPr>
            <w:noProof/>
            <w:webHidden/>
          </w:rPr>
          <w:tab/>
        </w:r>
        <w:r w:rsidR="00E564C7">
          <w:rPr>
            <w:noProof/>
            <w:webHidden/>
          </w:rPr>
          <w:fldChar w:fldCharType="begin"/>
        </w:r>
        <w:r w:rsidR="00E564C7">
          <w:rPr>
            <w:noProof/>
            <w:webHidden/>
          </w:rPr>
          <w:instrText xml:space="preserve"> PAGEREF _Toc97734039 \h </w:instrText>
        </w:r>
        <w:r w:rsidR="00E564C7">
          <w:rPr>
            <w:noProof/>
            <w:webHidden/>
          </w:rPr>
        </w:r>
        <w:r w:rsidR="00E564C7">
          <w:rPr>
            <w:noProof/>
            <w:webHidden/>
          </w:rPr>
          <w:fldChar w:fldCharType="separate"/>
        </w:r>
        <w:r w:rsidR="00E564C7">
          <w:rPr>
            <w:noProof/>
            <w:webHidden/>
          </w:rPr>
          <w:t>2</w:t>
        </w:r>
        <w:r w:rsidR="00E564C7">
          <w:rPr>
            <w:noProof/>
            <w:webHidden/>
          </w:rPr>
          <w:fldChar w:fldCharType="end"/>
        </w:r>
      </w:hyperlink>
    </w:p>
    <w:p w14:paraId="6F033875" w14:textId="1841D9BC"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40" w:history="1">
        <w:r w:rsidR="00E564C7" w:rsidRPr="00205519">
          <w:rPr>
            <w:rStyle w:val="Hypertextovprepojenie"/>
            <w:rFonts w:eastAsia="Calibri"/>
            <w:noProof/>
          </w:rPr>
          <w:t>List of charts</w:t>
        </w:r>
        <w:r w:rsidR="00E564C7">
          <w:rPr>
            <w:noProof/>
            <w:webHidden/>
          </w:rPr>
          <w:tab/>
        </w:r>
        <w:r w:rsidR="00E564C7">
          <w:rPr>
            <w:noProof/>
            <w:webHidden/>
          </w:rPr>
          <w:fldChar w:fldCharType="begin"/>
        </w:r>
        <w:r w:rsidR="00E564C7">
          <w:rPr>
            <w:noProof/>
            <w:webHidden/>
          </w:rPr>
          <w:instrText xml:space="preserve"> PAGEREF _Toc97734040 \h </w:instrText>
        </w:r>
        <w:r w:rsidR="00E564C7">
          <w:rPr>
            <w:noProof/>
            <w:webHidden/>
          </w:rPr>
        </w:r>
        <w:r w:rsidR="00E564C7">
          <w:rPr>
            <w:noProof/>
            <w:webHidden/>
          </w:rPr>
          <w:fldChar w:fldCharType="separate"/>
        </w:r>
        <w:r w:rsidR="00E564C7">
          <w:rPr>
            <w:noProof/>
            <w:webHidden/>
          </w:rPr>
          <w:t>3</w:t>
        </w:r>
        <w:r w:rsidR="00E564C7">
          <w:rPr>
            <w:noProof/>
            <w:webHidden/>
          </w:rPr>
          <w:fldChar w:fldCharType="end"/>
        </w:r>
      </w:hyperlink>
    </w:p>
    <w:p w14:paraId="6999C07C" w14:textId="34284A49"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41" w:history="1">
        <w:r w:rsidR="00E564C7" w:rsidRPr="00205519">
          <w:rPr>
            <w:rStyle w:val="Hypertextovprepojenie"/>
            <w:rFonts w:eastAsia="Calibri"/>
            <w:noProof/>
          </w:rPr>
          <w:t>Foreword</w:t>
        </w:r>
        <w:r w:rsidR="00E564C7">
          <w:rPr>
            <w:noProof/>
            <w:webHidden/>
          </w:rPr>
          <w:tab/>
        </w:r>
        <w:r w:rsidR="00E564C7">
          <w:rPr>
            <w:noProof/>
            <w:webHidden/>
          </w:rPr>
          <w:fldChar w:fldCharType="begin"/>
        </w:r>
        <w:r w:rsidR="00E564C7">
          <w:rPr>
            <w:noProof/>
            <w:webHidden/>
          </w:rPr>
          <w:instrText xml:space="preserve"> PAGEREF _Toc97734041 \h </w:instrText>
        </w:r>
        <w:r w:rsidR="00E564C7">
          <w:rPr>
            <w:noProof/>
            <w:webHidden/>
          </w:rPr>
        </w:r>
        <w:r w:rsidR="00E564C7">
          <w:rPr>
            <w:noProof/>
            <w:webHidden/>
          </w:rPr>
          <w:fldChar w:fldCharType="separate"/>
        </w:r>
        <w:r w:rsidR="00E564C7">
          <w:rPr>
            <w:noProof/>
            <w:webHidden/>
          </w:rPr>
          <w:t>4</w:t>
        </w:r>
        <w:r w:rsidR="00E564C7">
          <w:rPr>
            <w:noProof/>
            <w:webHidden/>
          </w:rPr>
          <w:fldChar w:fldCharType="end"/>
        </w:r>
      </w:hyperlink>
    </w:p>
    <w:p w14:paraId="4A7A491C" w14:textId="752BD4F6"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42" w:history="1">
        <w:r w:rsidR="00E564C7" w:rsidRPr="00205519">
          <w:rPr>
            <w:rStyle w:val="Hypertextovprepojenie"/>
            <w:rFonts w:eastAsia="Calibri"/>
            <w:noProof/>
          </w:rPr>
          <w:t>Introduction</w:t>
        </w:r>
        <w:r w:rsidR="00E564C7">
          <w:rPr>
            <w:noProof/>
            <w:webHidden/>
          </w:rPr>
          <w:tab/>
        </w:r>
        <w:r w:rsidR="00E564C7">
          <w:rPr>
            <w:noProof/>
            <w:webHidden/>
          </w:rPr>
          <w:fldChar w:fldCharType="begin"/>
        </w:r>
        <w:r w:rsidR="00E564C7">
          <w:rPr>
            <w:noProof/>
            <w:webHidden/>
          </w:rPr>
          <w:instrText xml:space="preserve"> PAGEREF _Toc97734042 \h </w:instrText>
        </w:r>
        <w:r w:rsidR="00E564C7">
          <w:rPr>
            <w:noProof/>
            <w:webHidden/>
          </w:rPr>
        </w:r>
        <w:r w:rsidR="00E564C7">
          <w:rPr>
            <w:noProof/>
            <w:webHidden/>
          </w:rPr>
          <w:fldChar w:fldCharType="separate"/>
        </w:r>
        <w:r w:rsidR="00E564C7">
          <w:rPr>
            <w:noProof/>
            <w:webHidden/>
          </w:rPr>
          <w:t>5</w:t>
        </w:r>
        <w:r w:rsidR="00E564C7">
          <w:rPr>
            <w:noProof/>
            <w:webHidden/>
          </w:rPr>
          <w:fldChar w:fldCharType="end"/>
        </w:r>
      </w:hyperlink>
    </w:p>
    <w:p w14:paraId="50539EDF" w14:textId="5E9C6F6C" w:rsidR="00E564C7" w:rsidRDefault="00A62BF6">
      <w:pPr>
        <w:pStyle w:val="Obsah1"/>
        <w:tabs>
          <w:tab w:val="left" w:pos="440"/>
          <w:tab w:val="right" w:leader="dot" w:pos="9056"/>
        </w:tabs>
        <w:rPr>
          <w:rFonts w:asciiTheme="minorHAnsi" w:eastAsiaTheme="minorEastAsia" w:hAnsiTheme="minorHAnsi" w:cstheme="minorBidi"/>
          <w:noProof/>
          <w:color w:val="auto"/>
          <w:sz w:val="22"/>
          <w:szCs w:val="22"/>
        </w:rPr>
      </w:pPr>
      <w:hyperlink w:anchor="_Toc97734043" w:history="1">
        <w:r w:rsidR="00E564C7" w:rsidRPr="00205519">
          <w:rPr>
            <w:rStyle w:val="Hypertextovprepojenie"/>
            <w:rFonts w:eastAsia="Calibri"/>
            <w:bCs/>
            <w:noProof/>
            <w:shd w:val="clear" w:color="auto" w:fill="FFFFFF"/>
          </w:rPr>
          <w:t>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Students and graduates</w:t>
        </w:r>
        <w:r w:rsidR="00E564C7">
          <w:rPr>
            <w:noProof/>
            <w:webHidden/>
          </w:rPr>
          <w:tab/>
        </w:r>
        <w:r w:rsidR="00E564C7">
          <w:rPr>
            <w:noProof/>
            <w:webHidden/>
          </w:rPr>
          <w:fldChar w:fldCharType="begin"/>
        </w:r>
        <w:r w:rsidR="00E564C7">
          <w:rPr>
            <w:noProof/>
            <w:webHidden/>
          </w:rPr>
          <w:instrText xml:space="preserve"> PAGEREF _Toc97734043 \h </w:instrText>
        </w:r>
        <w:r w:rsidR="00E564C7">
          <w:rPr>
            <w:noProof/>
            <w:webHidden/>
          </w:rPr>
        </w:r>
        <w:r w:rsidR="00E564C7">
          <w:rPr>
            <w:noProof/>
            <w:webHidden/>
          </w:rPr>
          <w:fldChar w:fldCharType="separate"/>
        </w:r>
        <w:r w:rsidR="00E564C7">
          <w:rPr>
            <w:noProof/>
            <w:webHidden/>
          </w:rPr>
          <w:t>9</w:t>
        </w:r>
        <w:r w:rsidR="00E564C7">
          <w:rPr>
            <w:noProof/>
            <w:webHidden/>
          </w:rPr>
          <w:fldChar w:fldCharType="end"/>
        </w:r>
      </w:hyperlink>
    </w:p>
    <w:p w14:paraId="3302B9D6" w14:textId="704CB245" w:rsidR="00E564C7" w:rsidRDefault="00A62BF6">
      <w:pPr>
        <w:pStyle w:val="Obsah1"/>
        <w:tabs>
          <w:tab w:val="left" w:pos="440"/>
          <w:tab w:val="right" w:leader="dot" w:pos="9056"/>
        </w:tabs>
        <w:rPr>
          <w:rFonts w:asciiTheme="minorHAnsi" w:eastAsiaTheme="minorEastAsia" w:hAnsiTheme="minorHAnsi" w:cstheme="minorBidi"/>
          <w:noProof/>
          <w:color w:val="auto"/>
          <w:sz w:val="22"/>
          <w:szCs w:val="22"/>
        </w:rPr>
      </w:pPr>
      <w:hyperlink w:anchor="_Toc97734044" w:history="1">
        <w:r w:rsidR="00E564C7" w:rsidRPr="00205519">
          <w:rPr>
            <w:rStyle w:val="Hypertextovprepojenie"/>
            <w:rFonts w:eastAsia="Calibri"/>
            <w:bCs/>
            <w:noProof/>
          </w:rPr>
          <w:t>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a. Demographic evolution of the population of 19-year-olds</w:t>
        </w:r>
        <w:r w:rsidR="00E564C7">
          <w:rPr>
            <w:noProof/>
            <w:webHidden/>
          </w:rPr>
          <w:tab/>
        </w:r>
        <w:r w:rsidR="00E564C7">
          <w:rPr>
            <w:noProof/>
            <w:webHidden/>
          </w:rPr>
          <w:fldChar w:fldCharType="begin"/>
        </w:r>
        <w:r w:rsidR="00E564C7">
          <w:rPr>
            <w:noProof/>
            <w:webHidden/>
          </w:rPr>
          <w:instrText xml:space="preserve"> PAGEREF _Toc97734044 \h </w:instrText>
        </w:r>
        <w:r w:rsidR="00E564C7">
          <w:rPr>
            <w:noProof/>
            <w:webHidden/>
          </w:rPr>
        </w:r>
        <w:r w:rsidR="00E564C7">
          <w:rPr>
            <w:noProof/>
            <w:webHidden/>
          </w:rPr>
          <w:fldChar w:fldCharType="separate"/>
        </w:r>
        <w:r w:rsidR="00E564C7">
          <w:rPr>
            <w:noProof/>
            <w:webHidden/>
          </w:rPr>
          <w:t>9</w:t>
        </w:r>
        <w:r w:rsidR="00E564C7">
          <w:rPr>
            <w:noProof/>
            <w:webHidden/>
          </w:rPr>
          <w:fldChar w:fldCharType="end"/>
        </w:r>
      </w:hyperlink>
    </w:p>
    <w:p w14:paraId="0AA02501" w14:textId="054C77D4" w:rsidR="00E564C7" w:rsidRDefault="00A62BF6">
      <w:pPr>
        <w:pStyle w:val="Obsah1"/>
        <w:tabs>
          <w:tab w:val="left" w:pos="440"/>
          <w:tab w:val="right" w:leader="dot" w:pos="9056"/>
        </w:tabs>
        <w:rPr>
          <w:rFonts w:asciiTheme="minorHAnsi" w:eastAsiaTheme="minorEastAsia" w:hAnsiTheme="minorHAnsi" w:cstheme="minorBidi"/>
          <w:noProof/>
          <w:color w:val="auto"/>
          <w:sz w:val="22"/>
          <w:szCs w:val="22"/>
        </w:rPr>
      </w:pPr>
      <w:hyperlink w:anchor="_Toc97734045" w:history="1">
        <w:r w:rsidR="00E564C7" w:rsidRPr="00205519">
          <w:rPr>
            <w:rStyle w:val="Hypertextovprepojenie"/>
            <w:rFonts w:eastAsia="Calibri"/>
            <w:bCs/>
            <w:noProof/>
          </w:rPr>
          <w:t>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B. Developing the number of students (1989-2020)</w:t>
        </w:r>
        <w:r w:rsidR="00E564C7">
          <w:rPr>
            <w:noProof/>
            <w:webHidden/>
          </w:rPr>
          <w:tab/>
        </w:r>
        <w:r w:rsidR="00E564C7">
          <w:rPr>
            <w:noProof/>
            <w:webHidden/>
          </w:rPr>
          <w:fldChar w:fldCharType="begin"/>
        </w:r>
        <w:r w:rsidR="00E564C7">
          <w:rPr>
            <w:noProof/>
            <w:webHidden/>
          </w:rPr>
          <w:instrText xml:space="preserve"> PAGEREF _Toc97734045 \h </w:instrText>
        </w:r>
        <w:r w:rsidR="00E564C7">
          <w:rPr>
            <w:noProof/>
            <w:webHidden/>
          </w:rPr>
        </w:r>
        <w:r w:rsidR="00E564C7">
          <w:rPr>
            <w:noProof/>
            <w:webHidden/>
          </w:rPr>
          <w:fldChar w:fldCharType="separate"/>
        </w:r>
        <w:r w:rsidR="00E564C7">
          <w:rPr>
            <w:noProof/>
            <w:webHidden/>
          </w:rPr>
          <w:t>10</w:t>
        </w:r>
        <w:r w:rsidR="00E564C7">
          <w:rPr>
            <w:noProof/>
            <w:webHidden/>
          </w:rPr>
          <w:fldChar w:fldCharType="end"/>
        </w:r>
      </w:hyperlink>
    </w:p>
    <w:p w14:paraId="3CB85E2C" w14:textId="7EF85AF8" w:rsidR="00E564C7" w:rsidRDefault="00A62BF6">
      <w:pPr>
        <w:pStyle w:val="Obsah1"/>
        <w:tabs>
          <w:tab w:val="left" w:pos="440"/>
          <w:tab w:val="right" w:leader="dot" w:pos="9056"/>
        </w:tabs>
        <w:rPr>
          <w:rFonts w:asciiTheme="minorHAnsi" w:eastAsiaTheme="minorEastAsia" w:hAnsiTheme="minorHAnsi" w:cstheme="minorBidi"/>
          <w:noProof/>
          <w:color w:val="auto"/>
          <w:sz w:val="22"/>
          <w:szCs w:val="22"/>
        </w:rPr>
      </w:pPr>
      <w:hyperlink w:anchor="_Toc97734046" w:history="1">
        <w:r w:rsidR="00E564C7" w:rsidRPr="00205519">
          <w:rPr>
            <w:rStyle w:val="Hypertextovprepojenie"/>
            <w:rFonts w:eastAsia="Calibri"/>
            <w:bCs/>
            <w:noProof/>
            <w:shd w:val="clear" w:color="auto" w:fill="FFFFFF"/>
          </w:rPr>
          <w:t>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C. Development in the number of graduates (1989-2019)</w:t>
        </w:r>
        <w:r w:rsidR="00E564C7">
          <w:rPr>
            <w:noProof/>
            <w:webHidden/>
          </w:rPr>
          <w:tab/>
        </w:r>
        <w:r w:rsidR="00E564C7">
          <w:rPr>
            <w:noProof/>
            <w:webHidden/>
          </w:rPr>
          <w:fldChar w:fldCharType="begin"/>
        </w:r>
        <w:r w:rsidR="00E564C7">
          <w:rPr>
            <w:noProof/>
            <w:webHidden/>
          </w:rPr>
          <w:instrText xml:space="preserve"> PAGEREF _Toc97734046 \h </w:instrText>
        </w:r>
        <w:r w:rsidR="00E564C7">
          <w:rPr>
            <w:noProof/>
            <w:webHidden/>
          </w:rPr>
        </w:r>
        <w:r w:rsidR="00E564C7">
          <w:rPr>
            <w:noProof/>
            <w:webHidden/>
          </w:rPr>
          <w:fldChar w:fldCharType="separate"/>
        </w:r>
        <w:r w:rsidR="00E564C7">
          <w:rPr>
            <w:noProof/>
            <w:webHidden/>
          </w:rPr>
          <w:t>11</w:t>
        </w:r>
        <w:r w:rsidR="00E564C7">
          <w:rPr>
            <w:noProof/>
            <w:webHidden/>
          </w:rPr>
          <w:fldChar w:fldCharType="end"/>
        </w:r>
      </w:hyperlink>
    </w:p>
    <w:p w14:paraId="08018A6A" w14:textId="276C3197"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47" w:history="1">
        <w:r w:rsidR="00E564C7" w:rsidRPr="00205519">
          <w:rPr>
            <w:rStyle w:val="Hypertextovprepojenie"/>
            <w:rFonts w:eastAsia="Calibri"/>
            <w:noProof/>
          </w:rPr>
          <w:t>I.d. Development in the number of students by group of disciplines (1990/2003-2019)</w:t>
        </w:r>
        <w:r w:rsidR="00E564C7">
          <w:rPr>
            <w:noProof/>
            <w:webHidden/>
          </w:rPr>
          <w:tab/>
        </w:r>
        <w:r w:rsidR="00E564C7">
          <w:rPr>
            <w:noProof/>
            <w:webHidden/>
          </w:rPr>
          <w:fldChar w:fldCharType="begin"/>
        </w:r>
        <w:r w:rsidR="00E564C7">
          <w:rPr>
            <w:noProof/>
            <w:webHidden/>
          </w:rPr>
          <w:instrText xml:space="preserve"> PAGEREF _Toc97734047 \h </w:instrText>
        </w:r>
        <w:r w:rsidR="00E564C7">
          <w:rPr>
            <w:noProof/>
            <w:webHidden/>
          </w:rPr>
        </w:r>
        <w:r w:rsidR="00E564C7">
          <w:rPr>
            <w:noProof/>
            <w:webHidden/>
          </w:rPr>
          <w:fldChar w:fldCharType="separate"/>
        </w:r>
        <w:r w:rsidR="00E564C7">
          <w:rPr>
            <w:noProof/>
            <w:webHidden/>
          </w:rPr>
          <w:t>12</w:t>
        </w:r>
        <w:r w:rsidR="00E564C7">
          <w:rPr>
            <w:noProof/>
            <w:webHidden/>
          </w:rPr>
          <w:fldChar w:fldCharType="end"/>
        </w:r>
      </w:hyperlink>
    </w:p>
    <w:p w14:paraId="3E27C279" w14:textId="7DE8CEA8"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48" w:history="1">
        <w:r w:rsidR="00E564C7" w:rsidRPr="00205519">
          <w:rPr>
            <w:rStyle w:val="Hypertextovprepojenie"/>
            <w:rFonts w:eastAsia="Calibri"/>
            <w:noProof/>
          </w:rPr>
          <w:t>I.e. Share of graduated population</w:t>
        </w:r>
        <w:r w:rsidR="00E564C7">
          <w:rPr>
            <w:noProof/>
            <w:webHidden/>
          </w:rPr>
          <w:tab/>
        </w:r>
        <w:r w:rsidR="00E564C7">
          <w:rPr>
            <w:noProof/>
            <w:webHidden/>
          </w:rPr>
          <w:fldChar w:fldCharType="begin"/>
        </w:r>
        <w:r w:rsidR="00E564C7">
          <w:rPr>
            <w:noProof/>
            <w:webHidden/>
          </w:rPr>
          <w:instrText xml:space="preserve"> PAGEREF _Toc97734048 \h </w:instrText>
        </w:r>
        <w:r w:rsidR="00E564C7">
          <w:rPr>
            <w:noProof/>
            <w:webHidden/>
          </w:rPr>
        </w:r>
        <w:r w:rsidR="00E564C7">
          <w:rPr>
            <w:noProof/>
            <w:webHidden/>
          </w:rPr>
          <w:fldChar w:fldCharType="separate"/>
        </w:r>
        <w:r w:rsidR="00E564C7">
          <w:rPr>
            <w:noProof/>
            <w:webHidden/>
          </w:rPr>
          <w:t>17</w:t>
        </w:r>
        <w:r w:rsidR="00E564C7">
          <w:rPr>
            <w:noProof/>
            <w:webHidden/>
          </w:rPr>
          <w:fldChar w:fldCharType="end"/>
        </w:r>
      </w:hyperlink>
    </w:p>
    <w:p w14:paraId="165C7E1E" w14:textId="10EF73FD"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49" w:history="1">
        <w:r w:rsidR="00E564C7" w:rsidRPr="00205519">
          <w:rPr>
            <w:rStyle w:val="Hypertextovprepojenie"/>
            <w:rFonts w:eastAsia="Calibri"/>
            <w:bCs/>
            <w:noProof/>
            <w:shd w:val="clear" w:color="auto" w:fill="FFFFFF"/>
          </w:rPr>
          <w:t>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Teachers</w:t>
        </w:r>
        <w:r w:rsidR="00E564C7">
          <w:rPr>
            <w:noProof/>
            <w:webHidden/>
          </w:rPr>
          <w:tab/>
        </w:r>
        <w:r w:rsidR="00E564C7">
          <w:rPr>
            <w:noProof/>
            <w:webHidden/>
          </w:rPr>
          <w:fldChar w:fldCharType="begin"/>
        </w:r>
        <w:r w:rsidR="00E564C7">
          <w:rPr>
            <w:noProof/>
            <w:webHidden/>
          </w:rPr>
          <w:instrText xml:space="preserve"> PAGEREF _Toc97734049 \h </w:instrText>
        </w:r>
        <w:r w:rsidR="00E564C7">
          <w:rPr>
            <w:noProof/>
            <w:webHidden/>
          </w:rPr>
        </w:r>
        <w:r w:rsidR="00E564C7">
          <w:rPr>
            <w:noProof/>
            <w:webHidden/>
          </w:rPr>
          <w:fldChar w:fldCharType="separate"/>
        </w:r>
        <w:r w:rsidR="00E564C7">
          <w:rPr>
            <w:noProof/>
            <w:webHidden/>
          </w:rPr>
          <w:t>20</w:t>
        </w:r>
        <w:r w:rsidR="00E564C7">
          <w:rPr>
            <w:noProof/>
            <w:webHidden/>
          </w:rPr>
          <w:fldChar w:fldCharType="end"/>
        </w:r>
      </w:hyperlink>
    </w:p>
    <w:p w14:paraId="755EF66C" w14:textId="49F6ABD4"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50" w:history="1">
        <w:r w:rsidR="00E564C7" w:rsidRPr="00205519">
          <w:rPr>
            <w:rStyle w:val="Hypertextovprepojenie"/>
            <w:rFonts w:eastAsia="Calibri"/>
            <w:bCs/>
            <w:noProof/>
          </w:rPr>
          <w:t>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a. Development in the number of university teachers</w:t>
        </w:r>
        <w:r w:rsidR="00E564C7">
          <w:rPr>
            <w:noProof/>
            <w:webHidden/>
          </w:rPr>
          <w:tab/>
        </w:r>
        <w:r w:rsidR="00E564C7">
          <w:rPr>
            <w:noProof/>
            <w:webHidden/>
          </w:rPr>
          <w:fldChar w:fldCharType="begin"/>
        </w:r>
        <w:r w:rsidR="00E564C7">
          <w:rPr>
            <w:noProof/>
            <w:webHidden/>
          </w:rPr>
          <w:instrText xml:space="preserve"> PAGEREF _Toc97734050 \h </w:instrText>
        </w:r>
        <w:r w:rsidR="00E564C7">
          <w:rPr>
            <w:noProof/>
            <w:webHidden/>
          </w:rPr>
        </w:r>
        <w:r w:rsidR="00E564C7">
          <w:rPr>
            <w:noProof/>
            <w:webHidden/>
          </w:rPr>
          <w:fldChar w:fldCharType="separate"/>
        </w:r>
        <w:r w:rsidR="00E564C7">
          <w:rPr>
            <w:noProof/>
            <w:webHidden/>
          </w:rPr>
          <w:t>20</w:t>
        </w:r>
        <w:r w:rsidR="00E564C7">
          <w:rPr>
            <w:noProof/>
            <w:webHidden/>
          </w:rPr>
          <w:fldChar w:fldCharType="end"/>
        </w:r>
      </w:hyperlink>
    </w:p>
    <w:p w14:paraId="57208FE9" w14:textId="6F3F9918"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51" w:history="1">
        <w:r w:rsidR="00E564C7" w:rsidRPr="00205519">
          <w:rPr>
            <w:rStyle w:val="Hypertextovprepojenie"/>
            <w:rFonts w:eastAsia="Calibri"/>
            <w:bCs/>
            <w:noProof/>
          </w:rPr>
          <w:t>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B. Researchers</w:t>
        </w:r>
        <w:r w:rsidR="00E564C7">
          <w:rPr>
            <w:noProof/>
            <w:webHidden/>
          </w:rPr>
          <w:tab/>
        </w:r>
        <w:r w:rsidR="00E564C7">
          <w:rPr>
            <w:noProof/>
            <w:webHidden/>
          </w:rPr>
          <w:fldChar w:fldCharType="begin"/>
        </w:r>
        <w:r w:rsidR="00E564C7">
          <w:rPr>
            <w:noProof/>
            <w:webHidden/>
          </w:rPr>
          <w:instrText xml:space="preserve"> PAGEREF _Toc97734051 \h </w:instrText>
        </w:r>
        <w:r w:rsidR="00E564C7">
          <w:rPr>
            <w:noProof/>
            <w:webHidden/>
          </w:rPr>
        </w:r>
        <w:r w:rsidR="00E564C7">
          <w:rPr>
            <w:noProof/>
            <w:webHidden/>
          </w:rPr>
          <w:fldChar w:fldCharType="separate"/>
        </w:r>
        <w:r w:rsidR="00E564C7">
          <w:rPr>
            <w:noProof/>
            <w:webHidden/>
          </w:rPr>
          <w:t>22</w:t>
        </w:r>
        <w:r w:rsidR="00E564C7">
          <w:rPr>
            <w:noProof/>
            <w:webHidden/>
          </w:rPr>
          <w:fldChar w:fldCharType="end"/>
        </w:r>
      </w:hyperlink>
    </w:p>
    <w:p w14:paraId="173DAF18" w14:textId="25C4F05E"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52" w:history="1">
        <w:r w:rsidR="00E564C7" w:rsidRPr="00205519">
          <w:rPr>
            <w:rStyle w:val="Hypertextovprepojenie"/>
            <w:rFonts w:eastAsia="Calibri"/>
            <w:bCs/>
            <w:noProof/>
            <w:shd w:val="clear" w:color="auto" w:fill="FFFFFF"/>
          </w:rPr>
          <w:t>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C. Developing the number of students at university teacher (1989-2020)</w:t>
        </w:r>
        <w:r w:rsidR="00E564C7">
          <w:rPr>
            <w:noProof/>
            <w:webHidden/>
          </w:rPr>
          <w:tab/>
        </w:r>
        <w:r w:rsidR="00E564C7">
          <w:rPr>
            <w:noProof/>
            <w:webHidden/>
          </w:rPr>
          <w:fldChar w:fldCharType="begin"/>
        </w:r>
        <w:r w:rsidR="00E564C7">
          <w:rPr>
            <w:noProof/>
            <w:webHidden/>
          </w:rPr>
          <w:instrText xml:space="preserve"> PAGEREF _Toc97734052 \h </w:instrText>
        </w:r>
        <w:r w:rsidR="00E564C7">
          <w:rPr>
            <w:noProof/>
            <w:webHidden/>
          </w:rPr>
        </w:r>
        <w:r w:rsidR="00E564C7">
          <w:rPr>
            <w:noProof/>
            <w:webHidden/>
          </w:rPr>
          <w:fldChar w:fldCharType="separate"/>
        </w:r>
        <w:r w:rsidR="00E564C7">
          <w:rPr>
            <w:noProof/>
            <w:webHidden/>
          </w:rPr>
          <w:t>22</w:t>
        </w:r>
        <w:r w:rsidR="00E564C7">
          <w:rPr>
            <w:noProof/>
            <w:webHidden/>
          </w:rPr>
          <w:fldChar w:fldCharType="end"/>
        </w:r>
      </w:hyperlink>
    </w:p>
    <w:p w14:paraId="3472F034" w14:textId="07A33B3E"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53" w:history="1">
        <w:r w:rsidR="00E564C7" w:rsidRPr="00205519">
          <w:rPr>
            <w:rStyle w:val="Hypertextovprepojenie"/>
            <w:rFonts w:eastAsia="Calibri"/>
            <w:bCs/>
            <w:noProof/>
            <w:shd w:val="clear" w:color="auto" w:fill="FFFFFF"/>
          </w:rPr>
          <w:t>III.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Foreign students in Slovakia</w:t>
        </w:r>
        <w:r w:rsidR="00E564C7">
          <w:rPr>
            <w:noProof/>
            <w:webHidden/>
          </w:rPr>
          <w:tab/>
        </w:r>
        <w:r w:rsidR="00E564C7">
          <w:rPr>
            <w:noProof/>
            <w:webHidden/>
          </w:rPr>
          <w:fldChar w:fldCharType="begin"/>
        </w:r>
        <w:r w:rsidR="00E564C7">
          <w:rPr>
            <w:noProof/>
            <w:webHidden/>
          </w:rPr>
          <w:instrText xml:space="preserve"> PAGEREF _Toc97734053 \h </w:instrText>
        </w:r>
        <w:r w:rsidR="00E564C7">
          <w:rPr>
            <w:noProof/>
            <w:webHidden/>
          </w:rPr>
        </w:r>
        <w:r w:rsidR="00E564C7">
          <w:rPr>
            <w:noProof/>
            <w:webHidden/>
          </w:rPr>
          <w:fldChar w:fldCharType="separate"/>
        </w:r>
        <w:r w:rsidR="00E564C7">
          <w:rPr>
            <w:noProof/>
            <w:webHidden/>
          </w:rPr>
          <w:t>24</w:t>
        </w:r>
        <w:r w:rsidR="00E564C7">
          <w:rPr>
            <w:noProof/>
            <w:webHidden/>
          </w:rPr>
          <w:fldChar w:fldCharType="end"/>
        </w:r>
      </w:hyperlink>
    </w:p>
    <w:p w14:paraId="3875D57B" w14:textId="4FA8FE2D"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54" w:history="1">
        <w:r w:rsidR="00E564C7" w:rsidRPr="00205519">
          <w:rPr>
            <w:rStyle w:val="Hypertextovprepojenie"/>
            <w:rFonts w:eastAsia="Calibri"/>
            <w:noProof/>
          </w:rPr>
          <w:t>IlI.a. Development in the number of students with non-Slovak citizenship (2010-2020)</w:t>
        </w:r>
        <w:r w:rsidR="00E564C7">
          <w:rPr>
            <w:noProof/>
            <w:webHidden/>
          </w:rPr>
          <w:tab/>
        </w:r>
        <w:r w:rsidR="00E564C7">
          <w:rPr>
            <w:noProof/>
            <w:webHidden/>
          </w:rPr>
          <w:fldChar w:fldCharType="begin"/>
        </w:r>
        <w:r w:rsidR="00E564C7">
          <w:rPr>
            <w:noProof/>
            <w:webHidden/>
          </w:rPr>
          <w:instrText xml:space="preserve"> PAGEREF _Toc97734054 \h </w:instrText>
        </w:r>
        <w:r w:rsidR="00E564C7">
          <w:rPr>
            <w:noProof/>
            <w:webHidden/>
          </w:rPr>
        </w:r>
        <w:r w:rsidR="00E564C7">
          <w:rPr>
            <w:noProof/>
            <w:webHidden/>
          </w:rPr>
          <w:fldChar w:fldCharType="separate"/>
        </w:r>
        <w:r w:rsidR="00E564C7">
          <w:rPr>
            <w:noProof/>
            <w:webHidden/>
          </w:rPr>
          <w:t>24</w:t>
        </w:r>
        <w:r w:rsidR="00E564C7">
          <w:rPr>
            <w:noProof/>
            <w:webHidden/>
          </w:rPr>
          <w:fldChar w:fldCharType="end"/>
        </w:r>
      </w:hyperlink>
    </w:p>
    <w:p w14:paraId="1B8B9A51" w14:textId="46EFA7B8"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55" w:history="1">
        <w:r w:rsidR="00E564C7" w:rsidRPr="00205519">
          <w:rPr>
            <w:rStyle w:val="Hypertextovprepojenie"/>
            <w:rFonts w:eastAsia="Calibri"/>
            <w:bCs/>
            <w:noProof/>
          </w:rPr>
          <w:t>III.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B. International comparison of the share of foreign students</w:t>
        </w:r>
        <w:r w:rsidR="00E564C7">
          <w:rPr>
            <w:noProof/>
            <w:webHidden/>
          </w:rPr>
          <w:tab/>
        </w:r>
        <w:r w:rsidR="00E564C7">
          <w:rPr>
            <w:noProof/>
            <w:webHidden/>
          </w:rPr>
          <w:fldChar w:fldCharType="begin"/>
        </w:r>
        <w:r w:rsidR="00E564C7">
          <w:rPr>
            <w:noProof/>
            <w:webHidden/>
          </w:rPr>
          <w:instrText xml:space="preserve"> PAGEREF _Toc97734055 \h </w:instrText>
        </w:r>
        <w:r w:rsidR="00E564C7">
          <w:rPr>
            <w:noProof/>
            <w:webHidden/>
          </w:rPr>
        </w:r>
        <w:r w:rsidR="00E564C7">
          <w:rPr>
            <w:noProof/>
            <w:webHidden/>
          </w:rPr>
          <w:fldChar w:fldCharType="separate"/>
        </w:r>
        <w:r w:rsidR="00E564C7">
          <w:rPr>
            <w:noProof/>
            <w:webHidden/>
          </w:rPr>
          <w:t>25</w:t>
        </w:r>
        <w:r w:rsidR="00E564C7">
          <w:rPr>
            <w:noProof/>
            <w:webHidden/>
          </w:rPr>
          <w:fldChar w:fldCharType="end"/>
        </w:r>
      </w:hyperlink>
    </w:p>
    <w:p w14:paraId="55ABC59B" w14:textId="133866C4" w:rsidR="00E564C7" w:rsidRDefault="00A62BF6">
      <w:pPr>
        <w:pStyle w:val="Obsah1"/>
        <w:tabs>
          <w:tab w:val="left" w:pos="660"/>
          <w:tab w:val="right" w:leader="dot" w:pos="9056"/>
        </w:tabs>
        <w:rPr>
          <w:rFonts w:asciiTheme="minorHAnsi" w:eastAsiaTheme="minorEastAsia" w:hAnsiTheme="minorHAnsi" w:cstheme="minorBidi"/>
          <w:noProof/>
          <w:color w:val="auto"/>
          <w:sz w:val="22"/>
          <w:szCs w:val="22"/>
        </w:rPr>
      </w:pPr>
      <w:hyperlink w:anchor="_Toc97734056" w:history="1">
        <w:r w:rsidR="00E564C7" w:rsidRPr="00205519">
          <w:rPr>
            <w:rStyle w:val="Hypertextovprepojenie"/>
            <w:rFonts w:eastAsia="Calibri"/>
            <w:bCs/>
            <w:noProof/>
          </w:rPr>
          <w:t>III.</w:t>
        </w:r>
        <w:r w:rsidR="00E564C7">
          <w:rPr>
            <w:rFonts w:asciiTheme="minorHAnsi" w:eastAsiaTheme="minorEastAsia" w:hAnsiTheme="minorHAnsi" w:cstheme="minorBidi"/>
            <w:noProof/>
            <w:color w:val="auto"/>
            <w:sz w:val="22"/>
            <w:szCs w:val="22"/>
          </w:rPr>
          <w:tab/>
        </w:r>
        <w:r w:rsidR="00E564C7" w:rsidRPr="00205519">
          <w:rPr>
            <w:rStyle w:val="Hypertextovprepojenie"/>
            <w:rFonts w:eastAsia="Calibri"/>
            <w:noProof/>
          </w:rPr>
          <w:t>C. Number of foreign students by group of disciplines</w:t>
        </w:r>
        <w:r w:rsidR="00E564C7">
          <w:rPr>
            <w:noProof/>
            <w:webHidden/>
          </w:rPr>
          <w:tab/>
        </w:r>
        <w:r w:rsidR="00E564C7">
          <w:rPr>
            <w:noProof/>
            <w:webHidden/>
          </w:rPr>
          <w:fldChar w:fldCharType="begin"/>
        </w:r>
        <w:r w:rsidR="00E564C7">
          <w:rPr>
            <w:noProof/>
            <w:webHidden/>
          </w:rPr>
          <w:instrText xml:space="preserve"> PAGEREF _Toc97734056 \h </w:instrText>
        </w:r>
        <w:r w:rsidR="00E564C7">
          <w:rPr>
            <w:noProof/>
            <w:webHidden/>
          </w:rPr>
        </w:r>
        <w:r w:rsidR="00E564C7">
          <w:rPr>
            <w:noProof/>
            <w:webHidden/>
          </w:rPr>
          <w:fldChar w:fldCharType="separate"/>
        </w:r>
        <w:r w:rsidR="00E564C7">
          <w:rPr>
            <w:noProof/>
            <w:webHidden/>
          </w:rPr>
          <w:t>25</w:t>
        </w:r>
        <w:r w:rsidR="00E564C7">
          <w:rPr>
            <w:noProof/>
            <w:webHidden/>
          </w:rPr>
          <w:fldChar w:fldCharType="end"/>
        </w:r>
      </w:hyperlink>
    </w:p>
    <w:p w14:paraId="39C89D48" w14:textId="2D30E37B" w:rsidR="00E564C7" w:rsidRDefault="00A62BF6">
      <w:pPr>
        <w:pStyle w:val="Obsah1"/>
        <w:tabs>
          <w:tab w:val="right" w:leader="dot" w:pos="9056"/>
        </w:tabs>
        <w:rPr>
          <w:rFonts w:asciiTheme="minorHAnsi" w:eastAsiaTheme="minorEastAsia" w:hAnsiTheme="minorHAnsi" w:cstheme="minorBidi"/>
          <w:noProof/>
          <w:color w:val="auto"/>
          <w:sz w:val="22"/>
          <w:szCs w:val="22"/>
        </w:rPr>
      </w:pPr>
      <w:hyperlink w:anchor="_Toc97734057" w:history="1">
        <w:r w:rsidR="00E564C7" w:rsidRPr="00205519">
          <w:rPr>
            <w:rStyle w:val="Hypertextovprepojenie"/>
            <w:rFonts w:eastAsia="Calibri"/>
            <w:noProof/>
          </w:rPr>
          <w:t>III.d. Student citizenship other than Slovak (2010-2020)</w:t>
        </w:r>
        <w:r w:rsidR="00E564C7">
          <w:rPr>
            <w:noProof/>
            <w:webHidden/>
          </w:rPr>
          <w:tab/>
        </w:r>
        <w:r w:rsidR="00E564C7">
          <w:rPr>
            <w:noProof/>
            <w:webHidden/>
          </w:rPr>
          <w:fldChar w:fldCharType="begin"/>
        </w:r>
        <w:r w:rsidR="00E564C7">
          <w:rPr>
            <w:noProof/>
            <w:webHidden/>
          </w:rPr>
          <w:instrText xml:space="preserve"> PAGEREF _Toc97734057 \h </w:instrText>
        </w:r>
        <w:r w:rsidR="00E564C7">
          <w:rPr>
            <w:noProof/>
            <w:webHidden/>
          </w:rPr>
        </w:r>
        <w:r w:rsidR="00E564C7">
          <w:rPr>
            <w:noProof/>
            <w:webHidden/>
          </w:rPr>
          <w:fldChar w:fldCharType="separate"/>
        </w:r>
        <w:r w:rsidR="00E564C7">
          <w:rPr>
            <w:noProof/>
            <w:webHidden/>
          </w:rPr>
          <w:t>27</w:t>
        </w:r>
        <w:r w:rsidR="00E564C7">
          <w:rPr>
            <w:noProof/>
            <w:webHidden/>
          </w:rPr>
          <w:fldChar w:fldCharType="end"/>
        </w:r>
      </w:hyperlink>
    </w:p>
    <w:p w14:paraId="4F7FA6A7" w14:textId="6046A20E" w:rsidR="009F049C" w:rsidRDefault="00DD745D">
      <w:pPr>
        <w:pStyle w:val="Tableofcontents10"/>
        <w:tabs>
          <w:tab w:val="left" w:pos="896"/>
          <w:tab w:val="right" w:leader="dot" w:pos="8999"/>
        </w:tabs>
        <w:spacing w:after="0"/>
        <w:jc w:val="both"/>
        <w:sectPr w:rsidR="009F049C">
          <w:pgSz w:w="11900" w:h="16840"/>
          <w:pgMar w:top="692" w:right="1422" w:bottom="1028" w:left="1412" w:header="0" w:footer="3" w:gutter="0"/>
          <w:cols w:space="720"/>
          <w:noEndnote/>
          <w:docGrid w:linePitch="360"/>
        </w:sectPr>
      </w:pPr>
      <w:r>
        <w:fldChar w:fldCharType="end"/>
      </w:r>
    </w:p>
    <w:p w14:paraId="4F7FA6A9" w14:textId="77777777" w:rsidR="009F049C" w:rsidRDefault="00DD745D">
      <w:pPr>
        <w:pStyle w:val="Bodytext20"/>
        <w:spacing w:after="1060"/>
      </w:pPr>
      <w:r>
        <w:lastRenderedPageBreak/>
        <w:t>SLOVAK ACCREDITATION AGENCY FOR HIGHER EDUCATION</w:t>
      </w:r>
    </w:p>
    <w:p w14:paraId="4F7FA6AA" w14:textId="77777777" w:rsidR="009F049C" w:rsidRDefault="00DD745D">
      <w:pPr>
        <w:pStyle w:val="Heading110"/>
        <w:keepNext/>
        <w:keepLines/>
        <w:spacing w:after="620"/>
      </w:pPr>
      <w:bookmarkStart w:id="10" w:name="bookmark22"/>
      <w:bookmarkStart w:id="11" w:name="bookmark24"/>
      <w:bookmarkStart w:id="12" w:name="bookmark21"/>
      <w:bookmarkStart w:id="13" w:name="_Toc97734022"/>
      <w:bookmarkStart w:id="14" w:name="_Toc97734041"/>
      <w:proofErr w:type="spellStart"/>
      <w:r>
        <w:t>Foreword</w:t>
      </w:r>
      <w:bookmarkEnd w:id="10"/>
      <w:bookmarkEnd w:id="11"/>
      <w:bookmarkEnd w:id="12"/>
      <w:bookmarkEnd w:id="13"/>
      <w:bookmarkEnd w:id="14"/>
      <w:proofErr w:type="spellEnd"/>
    </w:p>
    <w:p w14:paraId="4F7FA6AB" w14:textId="77777777" w:rsidR="009F049C" w:rsidRDefault="00DD745D">
      <w:pPr>
        <w:pStyle w:val="Bodytext10"/>
      </w:pPr>
      <w:r>
        <w:t xml:space="preserve">Dear </w:t>
      </w:r>
      <w:proofErr w:type="spellStart"/>
      <w:r>
        <w:t>readers</w:t>
      </w:r>
      <w:proofErr w:type="spellEnd"/>
      <w:r>
        <w:t>,</w:t>
      </w:r>
    </w:p>
    <w:p w14:paraId="4F7FA6AC" w14:textId="77777777" w:rsidR="009F049C" w:rsidRDefault="00DD745D">
      <w:pPr>
        <w:pStyle w:val="Bodytext10"/>
        <w:jc w:val="both"/>
      </w:pPr>
      <w:r>
        <w:t xml:space="preserve">We present one of the first thematic reports of the Slovak Accreditation Agency for Higher Education. It is devoted to basic quantitative overviews of </w:t>
      </w:r>
      <w:proofErr w:type="spellStart"/>
      <w:r>
        <w:t>demographic</w:t>
      </w:r>
      <w:proofErr w:type="spellEnd"/>
      <w:r>
        <w:t xml:space="preserve"> </w:t>
      </w:r>
      <w:proofErr w:type="spellStart"/>
      <w:r>
        <w:t>developments</w:t>
      </w:r>
      <w:proofErr w:type="spellEnd"/>
      <w:r>
        <w:t xml:space="preserve"> in Slovak higher education since the </w:t>
      </w:r>
      <w:proofErr w:type="spellStart"/>
      <w:r>
        <w:t>Velvet</w:t>
      </w:r>
      <w:proofErr w:type="spellEnd"/>
      <w:r>
        <w:t xml:space="preserve"> </w:t>
      </w:r>
      <w:proofErr w:type="spellStart"/>
      <w:r>
        <w:t>Revolution</w:t>
      </w:r>
      <w:proofErr w:type="spellEnd"/>
      <w:r>
        <w:t xml:space="preserve">. </w:t>
      </w:r>
      <w:proofErr w:type="spellStart"/>
      <w:r>
        <w:t>Compilers</w:t>
      </w:r>
      <w:proofErr w:type="spellEnd"/>
      <w:r>
        <w:t xml:space="preserve"> tried to </w:t>
      </w:r>
      <w:proofErr w:type="spellStart"/>
      <w:r>
        <w:t>summarise</w:t>
      </w:r>
      <w:proofErr w:type="spellEnd"/>
      <w:r>
        <w:t xml:space="preserve"> the data from various publicly available sources and also to offer graphical overviews of the development of student numbers, graduates, complemented by </w:t>
      </w:r>
      <w:proofErr w:type="spellStart"/>
      <w:r>
        <w:t>demography</w:t>
      </w:r>
      <w:proofErr w:type="spellEnd"/>
      <w:r>
        <w:t xml:space="preserve"> of 19-year-olds and numbers of university teachers. The data are drawn mainly from data published by the Ministry of Education of Science Research and Sport of the Slovak Republic, the Centre for Scientific Technical Information of the Slovak Republic (CVTI), the former Institute of Information and </w:t>
      </w:r>
      <w:proofErr w:type="spellStart"/>
      <w:r>
        <w:t>Forecasting</w:t>
      </w:r>
      <w:proofErr w:type="spellEnd"/>
      <w:r>
        <w:t xml:space="preserve"> of Education (ÚIPŠ), as well as data from the </w:t>
      </w:r>
      <w:proofErr w:type="spellStart"/>
      <w:r>
        <w:t>Statistical</w:t>
      </w:r>
      <w:proofErr w:type="spellEnd"/>
      <w:r>
        <w:t xml:space="preserve"> Office of the Slovak Republic, </w:t>
      </w:r>
      <w:proofErr w:type="spellStart"/>
      <w:r>
        <w:t>Eurostat</w:t>
      </w:r>
      <w:proofErr w:type="spellEnd"/>
      <w:r>
        <w:t xml:space="preserve">, the </w:t>
      </w:r>
      <w:proofErr w:type="spellStart"/>
      <w:r>
        <w:t>Organisation</w:t>
      </w:r>
      <w:proofErr w:type="spellEnd"/>
      <w:r>
        <w:t xml:space="preserve"> for Economic Cooperation and Development (OECD), INEKO, SGI and </w:t>
      </w:r>
      <w:proofErr w:type="spellStart"/>
      <w:r>
        <w:t>others</w:t>
      </w:r>
      <w:proofErr w:type="spellEnd"/>
      <w:r>
        <w:t>.</w:t>
      </w:r>
    </w:p>
    <w:p w14:paraId="4F7FA6AD" w14:textId="77777777" w:rsidR="009F049C" w:rsidRDefault="00DD745D">
      <w:pPr>
        <w:pStyle w:val="Bodytext10"/>
        <w:jc w:val="both"/>
      </w:pPr>
      <w:r>
        <w:t xml:space="preserve">The aim of this report was to </w:t>
      </w:r>
      <w:proofErr w:type="spellStart"/>
      <w:r>
        <w:t>concentrate</w:t>
      </w:r>
      <w:proofErr w:type="spellEnd"/>
      <w:r>
        <w:t xml:space="preserve"> in one place existing publicly available data in a </w:t>
      </w:r>
      <w:proofErr w:type="spellStart"/>
      <w:r>
        <w:t>comparable</w:t>
      </w:r>
      <w:proofErr w:type="spellEnd"/>
      <w:r>
        <w:t xml:space="preserve"> way and to display them </w:t>
      </w:r>
      <w:proofErr w:type="spellStart"/>
      <w:r>
        <w:t>graphically</w:t>
      </w:r>
      <w:proofErr w:type="spellEnd"/>
      <w:r>
        <w:t xml:space="preserve"> in order to give the </w:t>
      </w:r>
      <w:proofErr w:type="spellStart"/>
      <w:r>
        <w:t>reader</w:t>
      </w:r>
      <w:proofErr w:type="spellEnd"/>
      <w:r>
        <w:t xml:space="preserve"> a more </w:t>
      </w:r>
      <w:proofErr w:type="spellStart"/>
      <w:r>
        <w:t>illustrative</w:t>
      </w:r>
      <w:proofErr w:type="spellEnd"/>
      <w:r>
        <w:t xml:space="preserve"> idea of the “</w:t>
      </w:r>
      <w:proofErr w:type="spellStart"/>
      <w:r>
        <w:t>testimony</w:t>
      </w:r>
      <w:proofErr w:type="spellEnd"/>
      <w:r>
        <w:t xml:space="preserve">” of these </w:t>
      </w:r>
      <w:proofErr w:type="spellStart"/>
      <w:r>
        <w:t>otherwise</w:t>
      </w:r>
      <w:proofErr w:type="spellEnd"/>
      <w:r>
        <w:t xml:space="preserve"> non-</w:t>
      </w:r>
      <w:proofErr w:type="spellStart"/>
      <w:r>
        <w:t>animous</w:t>
      </w:r>
      <w:proofErr w:type="spellEnd"/>
      <w:r>
        <w:t xml:space="preserve"> numbers. It is only when the number of numbers is </w:t>
      </w:r>
      <w:proofErr w:type="spellStart"/>
      <w:r>
        <w:t>graphically</w:t>
      </w:r>
      <w:proofErr w:type="spellEnd"/>
      <w:r>
        <w:t xml:space="preserve"> displayed that possible important </w:t>
      </w:r>
      <w:proofErr w:type="spellStart"/>
      <w:r>
        <w:t>connections</w:t>
      </w:r>
      <w:proofErr w:type="spellEnd"/>
      <w:r>
        <w:t xml:space="preserve"> </w:t>
      </w:r>
      <w:proofErr w:type="spellStart"/>
      <w:r>
        <w:t>emerge</w:t>
      </w:r>
      <w:proofErr w:type="spellEnd"/>
      <w:r>
        <w:t xml:space="preserve"> </w:t>
      </w:r>
      <w:proofErr w:type="spellStart"/>
      <w:r>
        <w:t>plasticly</w:t>
      </w:r>
      <w:proofErr w:type="spellEnd"/>
      <w:r>
        <w:t xml:space="preserve">. For </w:t>
      </w:r>
      <w:proofErr w:type="spellStart"/>
      <w:r>
        <w:t>example</w:t>
      </w:r>
      <w:proofErr w:type="spellEnd"/>
      <w:r>
        <w:t xml:space="preserve">, in the Slovak population there was an </w:t>
      </w:r>
      <w:proofErr w:type="spellStart"/>
      <w:r>
        <w:t>extreme</w:t>
      </w:r>
      <w:proofErr w:type="spellEnd"/>
      <w:r>
        <w:t xml:space="preserve"> decline in natality and thus the number of 19-year-olds by more than 40 %. This is such a fundamental and </w:t>
      </w:r>
      <w:proofErr w:type="spellStart"/>
      <w:r>
        <w:t>unfortunately</w:t>
      </w:r>
      <w:proofErr w:type="spellEnd"/>
      <w:r>
        <w:t xml:space="preserve"> </w:t>
      </w:r>
      <w:proofErr w:type="spellStart"/>
      <w:r>
        <w:t>irreversible</w:t>
      </w:r>
      <w:proofErr w:type="spellEnd"/>
      <w:r>
        <w:t xml:space="preserve"> decline that it will cause serious problems in the social and economic life of Slovakia for many years. It is also clear from the development of the number of graduates that the share of graduates has </w:t>
      </w:r>
      <w:proofErr w:type="spellStart"/>
      <w:r>
        <w:t>doubled</w:t>
      </w:r>
      <w:proofErr w:type="spellEnd"/>
      <w:r>
        <w:t xml:space="preserve">. This </w:t>
      </w:r>
      <w:proofErr w:type="spellStart"/>
      <w:r>
        <w:t>demonstrates</w:t>
      </w:r>
      <w:proofErr w:type="spellEnd"/>
      <w:r>
        <w:t xml:space="preserve"> the fulfilment of the policies of the state “</w:t>
      </w:r>
      <w:proofErr w:type="spellStart"/>
      <w:r>
        <w:t>Milenium</w:t>
      </w:r>
      <w:proofErr w:type="spellEnd"/>
      <w:r>
        <w:t xml:space="preserve">” by universities. Other interesting </w:t>
      </w:r>
      <w:proofErr w:type="spellStart"/>
      <w:r>
        <w:t>facts</w:t>
      </w:r>
      <w:proofErr w:type="spellEnd"/>
      <w:r>
        <w:t xml:space="preserve"> can be found in the data, so we bring them to the public for further possible use.</w:t>
      </w:r>
    </w:p>
    <w:p w14:paraId="4F7FA6AE" w14:textId="77777777" w:rsidR="009F049C" w:rsidRDefault="00DD745D">
      <w:pPr>
        <w:pStyle w:val="Bodytext10"/>
        <w:spacing w:after="620" w:line="257" w:lineRule="auto"/>
        <w:jc w:val="both"/>
      </w:pPr>
      <w:r>
        <w:t xml:space="preserve">The present thematic report was also addressed by the Executive Board of the Agency at its 40th meeting on 16 December 2021. I would like to personally thank my colleagues for their work in </w:t>
      </w:r>
      <w:proofErr w:type="spellStart"/>
      <w:r>
        <w:t>compiling</w:t>
      </w:r>
      <w:proofErr w:type="spellEnd"/>
      <w:r>
        <w:t xml:space="preserve"> these reports, especially Peter </w:t>
      </w:r>
      <w:proofErr w:type="spellStart"/>
      <w:r>
        <w:t>Maňova</w:t>
      </w:r>
      <w:proofErr w:type="spellEnd"/>
      <w:r>
        <w:t xml:space="preserve"> and Matej </w:t>
      </w:r>
      <w:proofErr w:type="spellStart"/>
      <w:r>
        <w:t>Bilík</w:t>
      </w:r>
      <w:proofErr w:type="spellEnd"/>
      <w:r>
        <w:t>.</w:t>
      </w:r>
    </w:p>
    <w:p w14:paraId="4F7FA6AF" w14:textId="77777777" w:rsidR="009F049C" w:rsidRDefault="00DD745D">
      <w:pPr>
        <w:pStyle w:val="Bodytext10"/>
        <w:spacing w:after="1060"/>
        <w:jc w:val="both"/>
      </w:pPr>
      <w:r>
        <w:t>Bratislava, 16 December 2021</w:t>
      </w:r>
    </w:p>
    <w:p w14:paraId="4F7FA6B0" w14:textId="77777777" w:rsidR="009F049C" w:rsidRDefault="00DD745D">
      <w:pPr>
        <w:pStyle w:val="Bodytext10"/>
        <w:spacing w:after="0" w:line="240" w:lineRule="auto"/>
        <w:jc w:val="both"/>
        <w:sectPr w:rsidR="009F049C">
          <w:pgSz w:w="11900" w:h="16840"/>
          <w:pgMar w:top="692" w:right="1412" w:bottom="1028" w:left="1402" w:header="0" w:footer="3" w:gutter="0"/>
          <w:cols w:space="720"/>
          <w:noEndnote/>
          <w:docGrid w:linePitch="360"/>
        </w:sectPr>
      </w:pPr>
      <w:r>
        <w:t>Robert Redhammer</w:t>
      </w:r>
    </w:p>
    <w:p w14:paraId="4F7FA6B2" w14:textId="77777777" w:rsidR="009F049C" w:rsidRDefault="00DD745D">
      <w:pPr>
        <w:pStyle w:val="Bodytext20"/>
        <w:spacing w:after="920"/>
      </w:pPr>
      <w:r>
        <w:lastRenderedPageBreak/>
        <w:t>SLOVAK ACCREDITATION AGENCY FOR HIGHER EDUCATION</w:t>
      </w:r>
    </w:p>
    <w:p w14:paraId="4F7FA6B3" w14:textId="77777777" w:rsidR="009F049C" w:rsidRDefault="00DD745D">
      <w:pPr>
        <w:pStyle w:val="Heading110"/>
        <w:keepNext/>
        <w:keepLines/>
      </w:pPr>
      <w:bookmarkStart w:id="15" w:name="bookmark26"/>
      <w:bookmarkStart w:id="16" w:name="bookmark28"/>
      <w:bookmarkStart w:id="17" w:name="bookmark25"/>
      <w:bookmarkStart w:id="18" w:name="_Toc97734023"/>
      <w:bookmarkStart w:id="19" w:name="_Toc97734042"/>
      <w:r>
        <w:t>Introduction</w:t>
      </w:r>
      <w:bookmarkEnd w:id="15"/>
      <w:bookmarkEnd w:id="16"/>
      <w:bookmarkEnd w:id="17"/>
      <w:bookmarkEnd w:id="18"/>
      <w:bookmarkEnd w:id="19"/>
    </w:p>
    <w:p w14:paraId="4F7FA6B4" w14:textId="77777777" w:rsidR="009F049C" w:rsidRDefault="00DD745D">
      <w:pPr>
        <w:pStyle w:val="Bodytext10"/>
        <w:jc w:val="both"/>
      </w:pPr>
      <w:r>
        <w:t xml:space="preserve">The aim of the document presented is to </w:t>
      </w:r>
      <w:proofErr w:type="spellStart"/>
      <w:r>
        <w:t>map</w:t>
      </w:r>
      <w:proofErr w:type="spellEnd"/>
      <w:r>
        <w:t xml:space="preserve"> more than 30 years of </w:t>
      </w:r>
      <w:proofErr w:type="spellStart"/>
      <w:r>
        <w:t>demographic</w:t>
      </w:r>
      <w:proofErr w:type="spellEnd"/>
      <w:r>
        <w:t xml:space="preserve"> development in Slovak higher education and offers a comprehensive overview of the </w:t>
      </w:r>
      <w:proofErr w:type="spellStart"/>
      <w:r>
        <w:t>evolution</w:t>
      </w:r>
      <w:proofErr w:type="spellEnd"/>
      <w:r>
        <w:t xml:space="preserve"> of the monitored indicators. This document, together with future data </w:t>
      </w:r>
      <w:proofErr w:type="spellStart"/>
      <w:r>
        <w:t>summaries</w:t>
      </w:r>
      <w:proofErr w:type="spellEnd"/>
      <w:r>
        <w:t xml:space="preserve">, can also serve as reference sources for further analysis. As far as possible, we used the latest available data and an </w:t>
      </w:r>
      <w:proofErr w:type="spellStart"/>
      <w:r>
        <w:t>adequate</w:t>
      </w:r>
      <w:proofErr w:type="spellEnd"/>
      <w:r>
        <w:t xml:space="preserve"> timeframe for the review. The overview is divided into three parts — the first is devoted to the development of the number of students and graduates in a time series. At the outset, it also offers </w:t>
      </w:r>
      <w:proofErr w:type="spellStart"/>
      <w:r>
        <w:t>demographic</w:t>
      </w:r>
      <w:proofErr w:type="spellEnd"/>
      <w:r>
        <w:t xml:space="preserve"> </w:t>
      </w:r>
      <w:proofErr w:type="spellStart"/>
      <w:r>
        <w:t>forecasts</w:t>
      </w:r>
      <w:proofErr w:type="spellEnd"/>
      <w:r>
        <w:t xml:space="preserve"> and </w:t>
      </w:r>
      <w:proofErr w:type="spellStart"/>
      <w:r>
        <w:t>estimates</w:t>
      </w:r>
      <w:proofErr w:type="spellEnd"/>
      <w:r>
        <w:t xml:space="preserve"> that could indicate the </w:t>
      </w:r>
      <w:proofErr w:type="spellStart"/>
      <w:r>
        <w:t>evolution</w:t>
      </w:r>
      <w:proofErr w:type="spellEnd"/>
      <w:r>
        <w:t xml:space="preserve"> of the number of students in the future. The second part focuses on university teachers and the </w:t>
      </w:r>
      <w:proofErr w:type="spellStart"/>
      <w:r>
        <w:t>evolution</w:t>
      </w:r>
      <w:proofErr w:type="spellEnd"/>
      <w:r>
        <w:t xml:space="preserve"> of their number in a time series, as well as the share of students per teacher. The final, third part </w:t>
      </w:r>
      <w:proofErr w:type="spellStart"/>
      <w:r>
        <w:t>looks</w:t>
      </w:r>
      <w:proofErr w:type="spellEnd"/>
      <w:r>
        <w:t xml:space="preserve"> at the development of the number of foreign students in Slovakia in 2010-2020.</w:t>
      </w:r>
    </w:p>
    <w:p w14:paraId="4F7FA6B5" w14:textId="77777777" w:rsidR="009F049C" w:rsidRDefault="00DD745D">
      <w:pPr>
        <w:pStyle w:val="Bodytext10"/>
        <w:jc w:val="both"/>
      </w:pPr>
      <w:r>
        <w:t xml:space="preserve">The most important findings of the first part of the </w:t>
      </w:r>
      <w:proofErr w:type="spellStart"/>
      <w:r>
        <w:t>Scoreboard</w:t>
      </w:r>
      <w:proofErr w:type="spellEnd"/>
      <w:r>
        <w:t xml:space="preserve"> </w:t>
      </w:r>
      <w:proofErr w:type="spellStart"/>
      <w:r>
        <w:t>relate</w:t>
      </w:r>
      <w:proofErr w:type="spellEnd"/>
      <w:r>
        <w:t xml:space="preserve"> to the </w:t>
      </w:r>
      <w:proofErr w:type="spellStart"/>
      <w:r>
        <w:t>evolution</w:t>
      </w:r>
      <w:proofErr w:type="spellEnd"/>
      <w:r>
        <w:t xml:space="preserve"> of the population of 19-year-olds in Slovakia, which has been declining for a long time, </w:t>
      </w:r>
      <w:proofErr w:type="spellStart"/>
      <w:r>
        <w:t>although</w:t>
      </w:r>
      <w:proofErr w:type="spellEnd"/>
      <w:r>
        <w:t xml:space="preserve"> this fall is </w:t>
      </w:r>
      <w:proofErr w:type="spellStart"/>
      <w:r>
        <w:t>likely</w:t>
      </w:r>
      <w:proofErr w:type="spellEnd"/>
      <w:r>
        <w:t xml:space="preserve"> to </w:t>
      </w:r>
      <w:proofErr w:type="spellStart"/>
      <w:r>
        <w:t>stabilise</w:t>
      </w:r>
      <w:proofErr w:type="spellEnd"/>
      <w:r>
        <w:t xml:space="preserve"> in the </w:t>
      </w:r>
      <w:proofErr w:type="spellStart"/>
      <w:r>
        <w:t>near</w:t>
      </w:r>
      <w:proofErr w:type="spellEnd"/>
      <w:r>
        <w:t xml:space="preserve"> future. </w:t>
      </w:r>
      <w:proofErr w:type="spellStart"/>
      <w:r>
        <w:t>Demographic</w:t>
      </w:r>
      <w:proofErr w:type="spellEnd"/>
      <w:r>
        <w:t xml:space="preserve"> </w:t>
      </w:r>
      <w:proofErr w:type="spellStart"/>
      <w:r>
        <w:t>developments</w:t>
      </w:r>
      <w:proofErr w:type="spellEnd"/>
      <w:r>
        <w:t xml:space="preserve">, among other </w:t>
      </w:r>
      <w:proofErr w:type="spellStart"/>
      <w:r>
        <w:t>factors</w:t>
      </w:r>
      <w:proofErr w:type="spellEnd"/>
      <w:r>
        <w:t xml:space="preserve"> (funding of HEIs, offer of study programmes, </w:t>
      </w:r>
      <w:proofErr w:type="spellStart"/>
      <w:r>
        <w:t>availability</w:t>
      </w:r>
      <w:proofErr w:type="spellEnd"/>
      <w:r>
        <w:t xml:space="preserve"> of study in the EU), also have a significant impact on the number of students in HEIs, which </w:t>
      </w:r>
      <w:proofErr w:type="spellStart"/>
      <w:r>
        <w:t>peaked</w:t>
      </w:r>
      <w:proofErr w:type="spellEnd"/>
      <w:r>
        <w:t xml:space="preserve"> in 2008, since they gradually </w:t>
      </w:r>
      <w:proofErr w:type="spellStart"/>
      <w:r>
        <w:t>declined</w:t>
      </w:r>
      <w:proofErr w:type="spellEnd"/>
      <w:r>
        <w:t xml:space="preserve"> to the current level. The development of the number of graduates, of course, with a </w:t>
      </w:r>
      <w:proofErr w:type="spellStart"/>
      <w:r>
        <w:t>slight</w:t>
      </w:r>
      <w:proofErr w:type="spellEnd"/>
      <w:r>
        <w:t xml:space="preserve"> delay, </w:t>
      </w:r>
      <w:proofErr w:type="spellStart"/>
      <w:r>
        <w:t>replicates</w:t>
      </w:r>
      <w:proofErr w:type="spellEnd"/>
      <w:r>
        <w:t xml:space="preserve"> the development of the number of students.</w:t>
      </w:r>
    </w:p>
    <w:p w14:paraId="4F7FA6B6" w14:textId="77777777" w:rsidR="009F049C" w:rsidRDefault="00DD745D">
      <w:pPr>
        <w:pStyle w:val="Bodytext10"/>
        <w:jc w:val="both"/>
      </w:pPr>
      <w:r>
        <w:t xml:space="preserve">Groups of disciplines at full-time level I and II experienced the most dynamic </w:t>
      </w:r>
      <w:proofErr w:type="spellStart"/>
      <w:r>
        <w:t>developments</w:t>
      </w:r>
      <w:proofErr w:type="spellEnd"/>
      <w:r>
        <w:t xml:space="preserve">, especially in the 1990s, since the situation became more </w:t>
      </w:r>
      <w:proofErr w:type="spellStart"/>
      <w:r>
        <w:t>stable</w:t>
      </w:r>
      <w:proofErr w:type="spellEnd"/>
      <w:r>
        <w:t xml:space="preserve"> (</w:t>
      </w:r>
      <w:proofErr w:type="spellStart"/>
      <w:r>
        <w:t>although</w:t>
      </w:r>
      <w:proofErr w:type="spellEnd"/>
      <w:r>
        <w:t xml:space="preserve">, for </w:t>
      </w:r>
      <w:proofErr w:type="spellStart"/>
      <w:r>
        <w:t>example</w:t>
      </w:r>
      <w:proofErr w:type="spellEnd"/>
      <w:r>
        <w:t xml:space="preserve">, the number of students in medical disciplines is gradually increasing). Part-time studies show similar trends, but social sciences, </w:t>
      </w:r>
      <w:proofErr w:type="spellStart"/>
      <w:r>
        <w:t>teachings</w:t>
      </w:r>
      <w:proofErr w:type="spellEnd"/>
      <w:r>
        <w:t xml:space="preserve"> and </w:t>
      </w:r>
      <w:proofErr w:type="spellStart"/>
      <w:r>
        <w:t>services</w:t>
      </w:r>
      <w:proofErr w:type="spellEnd"/>
      <w:r>
        <w:t xml:space="preserve"> are strongly </w:t>
      </w:r>
      <w:proofErr w:type="spellStart"/>
      <w:r>
        <w:t>dominated</w:t>
      </w:r>
      <w:proofErr w:type="spellEnd"/>
      <w:r>
        <w:t xml:space="preserve"> here compared to full-time studies. The same applies to external doctoral students, </w:t>
      </w:r>
      <w:proofErr w:type="spellStart"/>
      <w:r>
        <w:t>although</w:t>
      </w:r>
      <w:proofErr w:type="spellEnd"/>
      <w:r>
        <w:t xml:space="preserve"> the </w:t>
      </w:r>
      <w:proofErr w:type="spellStart"/>
      <w:r>
        <w:t>dominance</w:t>
      </w:r>
      <w:proofErr w:type="spellEnd"/>
      <w:r>
        <w:t xml:space="preserve"> of this group of disciplines is gradually </w:t>
      </w:r>
      <w:proofErr w:type="spellStart"/>
      <w:r>
        <w:t>diminishing</w:t>
      </w:r>
      <w:proofErr w:type="spellEnd"/>
      <w:r>
        <w:t xml:space="preserve">. In PhD students, technical sciences and </w:t>
      </w:r>
      <w:proofErr w:type="spellStart"/>
      <w:r>
        <w:t>teachings</w:t>
      </w:r>
      <w:proofErr w:type="spellEnd"/>
      <w:r>
        <w:t xml:space="preserve"> and natural sciences are also significantly represented. Even in the development of the number of students in each group of disciplines, the </w:t>
      </w:r>
      <w:proofErr w:type="spellStart"/>
      <w:r>
        <w:t>emergence</w:t>
      </w:r>
      <w:proofErr w:type="spellEnd"/>
      <w:r>
        <w:t xml:space="preserve"> of new faculties and schools, as well as the increased interest of foreign students in certain disciplines or types of study, were the most relevant.</w:t>
      </w:r>
    </w:p>
    <w:p w14:paraId="4F7FA6B7" w14:textId="77777777" w:rsidR="009F049C" w:rsidRDefault="00DD745D">
      <w:pPr>
        <w:pStyle w:val="Bodytext10"/>
        <w:jc w:val="both"/>
      </w:pPr>
      <w:r>
        <w:t xml:space="preserve">As regards </w:t>
      </w:r>
      <w:proofErr w:type="spellStart"/>
      <w:r>
        <w:t>Slovakia’s</w:t>
      </w:r>
      <w:proofErr w:type="spellEnd"/>
      <w:r>
        <w:t xml:space="preserve"> position in terms of the share of graduates in the </w:t>
      </w:r>
      <w:proofErr w:type="spellStart"/>
      <w:r>
        <w:t>economically</w:t>
      </w:r>
      <w:proofErr w:type="spellEnd"/>
      <w:r>
        <w:t xml:space="preserve"> active population, </w:t>
      </w:r>
      <w:proofErr w:type="spellStart"/>
      <w:r>
        <w:t>despite</w:t>
      </w:r>
      <w:proofErr w:type="spellEnd"/>
      <w:r>
        <w:t xml:space="preserve"> a significant shift over the last 23 years (by 16.5 %), the country continues to </w:t>
      </w:r>
      <w:proofErr w:type="spellStart"/>
      <w:r>
        <w:t>lag</w:t>
      </w:r>
      <w:proofErr w:type="spellEnd"/>
      <w:r>
        <w:t xml:space="preserve"> </w:t>
      </w:r>
      <w:proofErr w:type="spellStart"/>
      <w:r>
        <w:t>behind</w:t>
      </w:r>
      <w:proofErr w:type="spellEnd"/>
      <w:r>
        <w:t xml:space="preserve"> the OECD </w:t>
      </w:r>
      <w:proofErr w:type="spellStart"/>
      <w:r>
        <w:t>average</w:t>
      </w:r>
      <w:proofErr w:type="spellEnd"/>
      <w:r>
        <w:t xml:space="preserve"> as well as some </w:t>
      </w:r>
      <w:proofErr w:type="spellStart"/>
      <w:r>
        <w:t>surrounding</w:t>
      </w:r>
      <w:proofErr w:type="spellEnd"/>
      <w:r>
        <w:t xml:space="preserve"> countries. The situation is better for young people </w:t>
      </w:r>
      <w:proofErr w:type="spellStart"/>
      <w:r>
        <w:t>aged</w:t>
      </w:r>
      <w:proofErr w:type="spellEnd"/>
      <w:r>
        <w:t xml:space="preserve"> 25-34, where Slovakia has already reached the EU </w:t>
      </w:r>
      <w:proofErr w:type="spellStart"/>
      <w:r>
        <w:t>average</w:t>
      </w:r>
      <w:proofErr w:type="spellEnd"/>
      <w:r>
        <w:t>.</w:t>
      </w:r>
    </w:p>
    <w:p w14:paraId="4F7FA6B8" w14:textId="77777777" w:rsidR="009F049C" w:rsidRDefault="00DD745D">
      <w:pPr>
        <w:pStyle w:val="Bodytext10"/>
        <w:jc w:val="both"/>
      </w:pPr>
      <w:r>
        <w:t xml:space="preserve">In the second part of the </w:t>
      </w:r>
      <w:proofErr w:type="spellStart"/>
      <w:r>
        <w:t>factsheet</w:t>
      </w:r>
      <w:proofErr w:type="spellEnd"/>
      <w:r>
        <w:t xml:space="preserve">, we look at the development of the number of university teachers. Over the last 10 years, there has been a gradual decline in teachers as natural persons as well as the overall total of </w:t>
      </w:r>
      <w:proofErr w:type="spellStart"/>
      <w:r>
        <w:t>contracts</w:t>
      </w:r>
      <w:proofErr w:type="spellEnd"/>
      <w:r>
        <w:t xml:space="preserve">. There are relatively </w:t>
      </w:r>
      <w:proofErr w:type="spellStart"/>
      <w:r>
        <w:t>stable</w:t>
      </w:r>
      <w:proofErr w:type="spellEnd"/>
      <w:r>
        <w:t xml:space="preserve"> groups of professors and associate professors, while in schools mainly professional </w:t>
      </w:r>
      <w:proofErr w:type="spellStart"/>
      <w:r>
        <w:t>assistants</w:t>
      </w:r>
      <w:proofErr w:type="spellEnd"/>
      <w:r>
        <w:t xml:space="preserve"> are </w:t>
      </w:r>
      <w:proofErr w:type="spellStart"/>
      <w:r>
        <w:t>shrinking</w:t>
      </w:r>
      <w:proofErr w:type="spellEnd"/>
      <w:r>
        <w:t xml:space="preserve"> and the number of part-time teachers and non-employment teachers is increasing. Despite </w:t>
      </w:r>
      <w:proofErr w:type="spellStart"/>
      <w:r>
        <w:t>concerns</w:t>
      </w:r>
      <w:proofErr w:type="spellEnd"/>
      <w:r>
        <w:t xml:space="preserve"> about the slow </w:t>
      </w:r>
      <w:proofErr w:type="spellStart"/>
      <w:r>
        <w:t>response</w:t>
      </w:r>
      <w:proofErr w:type="spellEnd"/>
      <w:r>
        <w:t xml:space="preserve"> of HEIs in terms of </w:t>
      </w:r>
      <w:proofErr w:type="spellStart"/>
      <w:r>
        <w:t>optimising</w:t>
      </w:r>
      <w:proofErr w:type="spellEnd"/>
      <w:r>
        <w:t xml:space="preserve"> their staffing </w:t>
      </w:r>
      <w:proofErr w:type="spellStart"/>
      <w:r>
        <w:t>capacity</w:t>
      </w:r>
      <w:proofErr w:type="spellEnd"/>
      <w:r>
        <w:t xml:space="preserve"> in the context of a decrease in the number of students, higher education institutions are gradually </w:t>
      </w:r>
      <w:proofErr w:type="spellStart"/>
      <w:r>
        <w:t>reducing</w:t>
      </w:r>
      <w:proofErr w:type="spellEnd"/>
      <w:r>
        <w:t xml:space="preserve"> the number of teachers. However, it should be noted that the period from the end of the first </w:t>
      </w:r>
      <w:proofErr w:type="spellStart"/>
      <w:r>
        <w:t>decade</w:t>
      </w:r>
      <w:proofErr w:type="spellEnd"/>
      <w:r>
        <w:t xml:space="preserve"> of the 21st </w:t>
      </w:r>
      <w:proofErr w:type="spellStart"/>
      <w:r>
        <w:t>century</w:t>
      </w:r>
      <w:proofErr w:type="spellEnd"/>
      <w:r>
        <w:t xml:space="preserve"> was </w:t>
      </w:r>
      <w:proofErr w:type="spellStart"/>
      <w:r>
        <w:t>exceptional</w:t>
      </w:r>
      <w:proofErr w:type="spellEnd"/>
      <w:r>
        <w:t xml:space="preserve"> in terms of the </w:t>
      </w:r>
      <w:proofErr w:type="spellStart"/>
      <w:r>
        <w:t>size</w:t>
      </w:r>
      <w:proofErr w:type="spellEnd"/>
      <w:r>
        <w:t xml:space="preserve"> of the student population. This can be seen in the </w:t>
      </w:r>
      <w:proofErr w:type="spellStart"/>
      <w:r>
        <w:t>conversion</w:t>
      </w:r>
      <w:proofErr w:type="spellEnd"/>
      <w:r>
        <w:t xml:space="preserve"> of the number of students per teacher — the 2008 values (18-22 students per teacher) would place Slovakia at the </w:t>
      </w:r>
      <w:proofErr w:type="spellStart"/>
      <w:r>
        <w:t>tail</w:t>
      </w:r>
      <w:proofErr w:type="spellEnd"/>
      <w:r>
        <w:t xml:space="preserve"> of international </w:t>
      </w:r>
      <w:proofErr w:type="spellStart"/>
      <w:r>
        <w:t>comparisons</w:t>
      </w:r>
      <w:proofErr w:type="spellEnd"/>
      <w:r>
        <w:t xml:space="preserve">, whether among OECD countries or the EU in terms of </w:t>
      </w:r>
      <w:proofErr w:type="spellStart"/>
      <w:r>
        <w:t>extremely</w:t>
      </w:r>
      <w:proofErr w:type="spellEnd"/>
      <w:r>
        <w:t xml:space="preserve"> high number of students per teacher. Currently, the number of students per teacher </w:t>
      </w:r>
      <w:proofErr w:type="spellStart"/>
      <w:r>
        <w:t>varies</w:t>
      </w:r>
      <w:proofErr w:type="spellEnd"/>
      <w:r>
        <w:t xml:space="preserve"> between 11.8 and 14 students, depending on the </w:t>
      </w:r>
      <w:proofErr w:type="spellStart"/>
      <w:r>
        <w:t>calculation</w:t>
      </w:r>
      <w:proofErr w:type="spellEnd"/>
      <w:r>
        <w:t xml:space="preserve"> methodology. Like the number of students, this ratio has </w:t>
      </w:r>
      <w:proofErr w:type="spellStart"/>
      <w:r>
        <w:t>stabilised</w:t>
      </w:r>
      <w:proofErr w:type="spellEnd"/>
      <w:r>
        <w:t xml:space="preserve"> as well as the number of teachers.</w:t>
      </w:r>
    </w:p>
    <w:p w14:paraId="4F7FA6B9" w14:textId="77777777" w:rsidR="009F049C" w:rsidRDefault="00DD745D">
      <w:pPr>
        <w:pStyle w:val="Bodytext10"/>
        <w:jc w:val="both"/>
        <w:sectPr w:rsidR="009F049C">
          <w:pgSz w:w="11900" w:h="16840"/>
          <w:pgMar w:top="692" w:right="1402" w:bottom="1028" w:left="1407" w:header="0" w:footer="3" w:gutter="0"/>
          <w:cols w:space="720"/>
          <w:noEndnote/>
          <w:docGrid w:linePitch="360"/>
        </w:sectPr>
      </w:pPr>
      <w:r>
        <w:lastRenderedPageBreak/>
        <w:t xml:space="preserve">The findings of the third part of the </w:t>
      </w:r>
      <w:proofErr w:type="spellStart"/>
      <w:r>
        <w:t>Scoreboard</w:t>
      </w:r>
      <w:proofErr w:type="spellEnd"/>
      <w:r>
        <w:t xml:space="preserve"> </w:t>
      </w:r>
      <w:proofErr w:type="spellStart"/>
      <w:r>
        <w:t>reveal</w:t>
      </w:r>
      <w:proofErr w:type="spellEnd"/>
      <w:r>
        <w:t xml:space="preserve"> a positive trend in the number of foreign students in HEIs in Slovakia to more than 11 % of all students, which </w:t>
      </w:r>
      <w:proofErr w:type="spellStart"/>
      <w:r>
        <w:t>puts</w:t>
      </w:r>
      <w:proofErr w:type="spellEnd"/>
      <w:r>
        <w:t xml:space="preserve"> Slovakia above the OECD </w:t>
      </w:r>
      <w:proofErr w:type="spellStart"/>
      <w:r>
        <w:t>average</w:t>
      </w:r>
      <w:proofErr w:type="spellEnd"/>
      <w:r>
        <w:t>;</w:t>
      </w:r>
    </w:p>
    <w:p w14:paraId="4F7FA6BB" w14:textId="77777777" w:rsidR="009F049C" w:rsidRDefault="00DD745D">
      <w:pPr>
        <w:pStyle w:val="Bodytext20"/>
        <w:jc w:val="both"/>
      </w:pPr>
      <w:r>
        <w:lastRenderedPageBreak/>
        <w:t>SLOVAK ACCREDITATION AGENCY FOR HIGHER EDUCATION</w:t>
      </w:r>
    </w:p>
    <w:p w14:paraId="4F7FA6BC" w14:textId="77777777" w:rsidR="009F049C" w:rsidRDefault="00DD745D">
      <w:pPr>
        <w:pStyle w:val="Bodytext10"/>
        <w:jc w:val="both"/>
      </w:pPr>
      <w:r>
        <w:t>as well as the EU22</w:t>
      </w:r>
      <w:r>
        <w:footnoteReference w:id="1"/>
      </w:r>
      <w:r>
        <w:t xml:space="preserve">. Less positive </w:t>
      </w:r>
      <w:proofErr w:type="spellStart"/>
      <w:r>
        <w:t>news</w:t>
      </w:r>
      <w:proofErr w:type="spellEnd"/>
      <w:r>
        <w:t xml:space="preserve"> is that while in most OECD countries the proportion of foreign students </w:t>
      </w:r>
      <w:proofErr w:type="spellStart"/>
      <w:r>
        <w:t>increases</w:t>
      </w:r>
      <w:proofErr w:type="spellEnd"/>
      <w:r>
        <w:t xml:space="preserve"> with every degree of study, in Slovakia the situation is rather the </w:t>
      </w:r>
      <w:proofErr w:type="spellStart"/>
      <w:r>
        <w:t>opposite</w:t>
      </w:r>
      <w:proofErr w:type="spellEnd"/>
      <w:r>
        <w:t xml:space="preserve">, leading to a significant </w:t>
      </w:r>
      <w:proofErr w:type="spellStart"/>
      <w:r>
        <w:t>shortage</w:t>
      </w:r>
      <w:proofErr w:type="spellEnd"/>
      <w:r>
        <w:t xml:space="preserve"> of foreign doctoral students in universities (even in comparison with </w:t>
      </w:r>
      <w:proofErr w:type="spellStart"/>
      <w:r>
        <w:t>surrounding</w:t>
      </w:r>
      <w:proofErr w:type="spellEnd"/>
      <w:r>
        <w:t xml:space="preserve"> countries). Another </w:t>
      </w:r>
      <w:proofErr w:type="spellStart"/>
      <w:r>
        <w:t>concern</w:t>
      </w:r>
      <w:proofErr w:type="spellEnd"/>
      <w:r>
        <w:t xml:space="preserve"> is related to the readiness of our universities for foreign students and their ability to meet the needs of these students — data from CVTI </w:t>
      </w:r>
      <w:proofErr w:type="spellStart"/>
      <w:r>
        <w:t>suggest</w:t>
      </w:r>
      <w:proofErr w:type="spellEnd"/>
      <w:r>
        <w:t xml:space="preserve"> that these students are usually not </w:t>
      </w:r>
      <w:proofErr w:type="spellStart"/>
      <w:r>
        <w:t>integrated</w:t>
      </w:r>
      <w:proofErr w:type="spellEnd"/>
      <w:r>
        <w:t xml:space="preserve"> and are often </w:t>
      </w:r>
      <w:proofErr w:type="spellStart"/>
      <w:r>
        <w:t>concentrated</w:t>
      </w:r>
      <w:proofErr w:type="spellEnd"/>
      <w:r>
        <w:t xml:space="preserve"> only in a part of the fields, thereby </w:t>
      </w:r>
      <w:proofErr w:type="spellStart"/>
      <w:r>
        <w:t>impoverishing</w:t>
      </w:r>
      <w:proofErr w:type="spellEnd"/>
      <w:r>
        <w:t xml:space="preserve"> their students from domestic </w:t>
      </w:r>
      <w:proofErr w:type="spellStart"/>
      <w:r>
        <w:t>internationalisation</w:t>
      </w:r>
      <w:proofErr w:type="spellEnd"/>
      <w:r>
        <w:t xml:space="preserve"> (i.e. the international </w:t>
      </w:r>
      <w:proofErr w:type="spellStart"/>
      <w:r>
        <w:t>dimension</w:t>
      </w:r>
      <w:proofErr w:type="spellEnd"/>
      <w:r>
        <w:t xml:space="preserve"> of studying at university in Slovakia). In addition, mobility within Slovakia is significantly below </w:t>
      </w:r>
      <w:proofErr w:type="spellStart"/>
      <w:r>
        <w:t>average</w:t>
      </w:r>
      <w:proofErr w:type="spellEnd"/>
      <w:r>
        <w:t xml:space="preserve"> compared to other countries monitored, thus </w:t>
      </w:r>
      <w:proofErr w:type="spellStart"/>
      <w:r>
        <w:t>reducing</w:t>
      </w:r>
      <w:proofErr w:type="spellEnd"/>
      <w:r>
        <w:t xml:space="preserve"> student experience and knowledge. Finally, the share of foreign students has </w:t>
      </w:r>
      <w:proofErr w:type="spellStart"/>
      <w:r>
        <w:t>recently</w:t>
      </w:r>
      <w:proofErr w:type="spellEnd"/>
      <w:r>
        <w:t xml:space="preserve"> increased mainly thanks to </w:t>
      </w:r>
      <w:proofErr w:type="spellStart"/>
      <w:r>
        <w:t>daily</w:t>
      </w:r>
      <w:proofErr w:type="spellEnd"/>
      <w:r>
        <w:t xml:space="preserve"> students from </w:t>
      </w:r>
      <w:proofErr w:type="spellStart"/>
      <w:r>
        <w:t>Ukraine</w:t>
      </w:r>
      <w:proofErr w:type="spellEnd"/>
      <w:r>
        <w:t xml:space="preserve">, as well as students from </w:t>
      </w:r>
      <w:proofErr w:type="spellStart"/>
      <w:r>
        <w:t>Serbia</w:t>
      </w:r>
      <w:proofErr w:type="spellEnd"/>
      <w:r>
        <w:t xml:space="preserve">, </w:t>
      </w:r>
      <w:proofErr w:type="spellStart"/>
      <w:r>
        <w:t>Germany</w:t>
      </w:r>
      <w:proofErr w:type="spellEnd"/>
      <w:r>
        <w:t xml:space="preserve">, Hungary or </w:t>
      </w:r>
      <w:proofErr w:type="spellStart"/>
      <w:r>
        <w:t>Russia</w:t>
      </w:r>
      <w:proofErr w:type="spellEnd"/>
      <w:r>
        <w:t>.</w:t>
      </w:r>
    </w:p>
    <w:p w14:paraId="4F7FA6BD" w14:textId="77777777" w:rsidR="009F049C" w:rsidRDefault="00DD745D">
      <w:pPr>
        <w:pStyle w:val="P68B1DB1-Style142"/>
        <w:jc w:val="both"/>
      </w:pPr>
      <w:proofErr w:type="spellStart"/>
      <w:r>
        <w:t>Warning</w:t>
      </w:r>
      <w:proofErr w:type="spellEnd"/>
    </w:p>
    <w:p w14:paraId="4F7FA6BE" w14:textId="77777777" w:rsidR="009F049C" w:rsidRDefault="00DD745D">
      <w:pPr>
        <w:pStyle w:val="Bodytext10"/>
        <w:jc w:val="both"/>
      </w:pPr>
      <w:r>
        <w:t xml:space="preserve">At the outset, we must draw attention to a number of data </w:t>
      </w:r>
      <w:proofErr w:type="spellStart"/>
      <w:r>
        <w:t>gaps</w:t>
      </w:r>
      <w:proofErr w:type="spellEnd"/>
      <w:r>
        <w:t xml:space="preserve"> that are important for their further interpretation. Published </w:t>
      </w:r>
      <w:proofErr w:type="spellStart"/>
      <w:r>
        <w:t>statistical</w:t>
      </w:r>
      <w:proofErr w:type="spellEnd"/>
      <w:r>
        <w:t xml:space="preserve"> </w:t>
      </w:r>
      <w:proofErr w:type="spellStart"/>
      <w:r>
        <w:t>yearbooks</w:t>
      </w:r>
      <w:proofErr w:type="spellEnd"/>
      <w:r>
        <w:t xml:space="preserve"> with </w:t>
      </w:r>
      <w:proofErr w:type="spellStart"/>
      <w:r>
        <w:t>standardised</w:t>
      </w:r>
      <w:proofErr w:type="spellEnd"/>
      <w:r>
        <w:t xml:space="preserve"> reporting (CVTI SR and </w:t>
      </w:r>
      <w:proofErr w:type="spellStart"/>
      <w:r>
        <w:t>formerly</w:t>
      </w:r>
      <w:proofErr w:type="spellEnd"/>
      <w:r>
        <w:t xml:space="preserve"> UIPŠ) as well as the </w:t>
      </w:r>
      <w:proofErr w:type="spellStart"/>
      <w:r>
        <w:t>annual</w:t>
      </w:r>
      <w:proofErr w:type="spellEnd"/>
      <w:r>
        <w:t xml:space="preserve"> reports of the Ministry of Education of the Slovak Republic on higher education </w:t>
      </w:r>
      <w:proofErr w:type="spellStart"/>
      <w:r>
        <w:t>begin</w:t>
      </w:r>
      <w:proofErr w:type="spellEnd"/>
      <w:r>
        <w:t xml:space="preserve"> in 2003, following the reform in 2002. Between 1989 and 2003, we only have data from time series, which are not very detailed. </w:t>
      </w:r>
      <w:proofErr w:type="spellStart"/>
      <w:r>
        <w:t>Moreover</w:t>
      </w:r>
      <w:proofErr w:type="spellEnd"/>
      <w:r>
        <w:t xml:space="preserve">, following the </w:t>
      </w:r>
      <w:proofErr w:type="spellStart"/>
      <w:r>
        <w:t>accession</w:t>
      </w:r>
      <w:proofErr w:type="spellEnd"/>
      <w:r>
        <w:t xml:space="preserve"> of Slovakia to the Bologna Process (1998), there were changes in the structure and </w:t>
      </w:r>
      <w:proofErr w:type="spellStart"/>
      <w:r>
        <w:t>organisation</w:t>
      </w:r>
      <w:proofErr w:type="spellEnd"/>
      <w:r>
        <w:t xml:space="preserve"> of the studies (especially after the 2002 reform), new higher education institutions were created and the state higher education institutions </w:t>
      </w:r>
      <w:proofErr w:type="spellStart"/>
      <w:r>
        <w:t>separated</w:t>
      </w:r>
      <w:proofErr w:type="spellEnd"/>
      <w:r>
        <w:t xml:space="preserve"> from public universities, </w:t>
      </w:r>
      <w:proofErr w:type="spellStart"/>
      <w:r>
        <w:t>causing</w:t>
      </w:r>
      <w:proofErr w:type="spellEnd"/>
      <w:r>
        <w:t xml:space="preserve"> </w:t>
      </w:r>
      <w:proofErr w:type="spellStart"/>
      <w:r>
        <w:t>minor</w:t>
      </w:r>
      <w:proofErr w:type="spellEnd"/>
      <w:r>
        <w:t xml:space="preserve"> </w:t>
      </w:r>
      <w:proofErr w:type="spellStart"/>
      <w:r>
        <w:t>discrepancies</w:t>
      </w:r>
      <w:proofErr w:type="spellEnd"/>
      <w:r>
        <w:t xml:space="preserve"> in reporting. In several cases, students have been </w:t>
      </w:r>
      <w:proofErr w:type="spellStart"/>
      <w:r>
        <w:t>counted</w:t>
      </w:r>
      <w:proofErr w:type="spellEnd"/>
      <w:r>
        <w:t xml:space="preserve"> </w:t>
      </w:r>
      <w:proofErr w:type="spellStart"/>
      <w:r>
        <w:t>twice</w:t>
      </w:r>
      <w:proofErr w:type="spellEnd"/>
      <w:r>
        <w:t xml:space="preserve">, some </w:t>
      </w:r>
      <w:proofErr w:type="spellStart"/>
      <w:r>
        <w:t>statistics</w:t>
      </w:r>
      <w:proofErr w:type="spellEnd"/>
      <w:r>
        <w:t xml:space="preserve"> lack students of state schools as they do not fall under the Ministry of Education of the Slovak Republic. Also in the case of reporting the number of university teachers, the published data only give us </w:t>
      </w:r>
      <w:proofErr w:type="spellStart"/>
      <w:r>
        <w:t>limited</w:t>
      </w:r>
      <w:proofErr w:type="spellEnd"/>
      <w:r>
        <w:t xml:space="preserve"> </w:t>
      </w:r>
      <w:proofErr w:type="spellStart"/>
      <w:r>
        <w:t>possibilities</w:t>
      </w:r>
      <w:proofErr w:type="spellEnd"/>
      <w:r>
        <w:t xml:space="preserve"> of interpretation, because we do not know to what extent multiple </w:t>
      </w:r>
      <w:proofErr w:type="spellStart"/>
      <w:r>
        <w:t>assignments</w:t>
      </w:r>
      <w:proofErr w:type="spellEnd"/>
      <w:r>
        <w:t xml:space="preserve"> increase the real number of natural persons. These </w:t>
      </w:r>
      <w:proofErr w:type="spellStart"/>
      <w:r>
        <w:t>statistics</w:t>
      </w:r>
      <w:proofErr w:type="spellEnd"/>
      <w:r>
        <w:t xml:space="preserve"> do not give an </w:t>
      </w:r>
      <w:proofErr w:type="spellStart"/>
      <w:r>
        <w:t>insight</w:t>
      </w:r>
      <w:proofErr w:type="spellEnd"/>
      <w:r>
        <w:t xml:space="preserve"> into how much time teachers </w:t>
      </w:r>
      <w:proofErr w:type="spellStart"/>
      <w:r>
        <w:t>spend</w:t>
      </w:r>
      <w:proofErr w:type="spellEnd"/>
      <w:r>
        <w:t xml:space="preserve"> on learning and how many other activities (research, </w:t>
      </w:r>
      <w:proofErr w:type="spellStart"/>
      <w:r>
        <w:t>production</w:t>
      </w:r>
      <w:proofErr w:type="spellEnd"/>
      <w:r>
        <w:t xml:space="preserve">, administration, etc.). At the same time, we have to take into account that this is to a large extent the information reported by universities themselves in the prescribed structure and it is very difficult to verify that the data is </w:t>
      </w:r>
      <w:proofErr w:type="spellStart"/>
      <w:r>
        <w:t>correctly</w:t>
      </w:r>
      <w:proofErr w:type="spellEnd"/>
      <w:r>
        <w:t xml:space="preserve"> reported and whether it is valid. It is when interpreting and working with data that we often </w:t>
      </w:r>
      <w:proofErr w:type="spellStart"/>
      <w:r>
        <w:t>encounter</w:t>
      </w:r>
      <w:proofErr w:type="spellEnd"/>
      <w:r>
        <w:t xml:space="preserve"> </w:t>
      </w:r>
      <w:proofErr w:type="spellStart"/>
      <w:r>
        <w:t>limitations</w:t>
      </w:r>
      <w:proofErr w:type="spellEnd"/>
      <w:r>
        <w:t xml:space="preserve"> in the scope, quality and structure of the data. The analytical conclusions, based on these data, have the following </w:t>
      </w:r>
      <w:proofErr w:type="spellStart"/>
      <w:r>
        <w:t>limits</w:t>
      </w:r>
      <w:proofErr w:type="spellEnd"/>
      <w:r>
        <w:t>. For a more in-</w:t>
      </w:r>
      <w:proofErr w:type="spellStart"/>
      <w:r>
        <w:t>depth</w:t>
      </w:r>
      <w:proofErr w:type="spellEnd"/>
      <w:r>
        <w:t xml:space="preserve"> and in-</w:t>
      </w:r>
      <w:proofErr w:type="spellStart"/>
      <w:r>
        <w:t>depth</w:t>
      </w:r>
      <w:proofErr w:type="spellEnd"/>
      <w:r>
        <w:t xml:space="preserve"> analysis, it would be necessary to verify and </w:t>
      </w:r>
      <w:proofErr w:type="spellStart"/>
      <w:r>
        <w:t>complement</w:t>
      </w:r>
      <w:proofErr w:type="spellEnd"/>
      <w:r>
        <w:t xml:space="preserve"> the above-mentioned data from several sources.</w:t>
      </w:r>
    </w:p>
    <w:p w14:paraId="4F7FA6BF" w14:textId="77777777" w:rsidR="009F049C" w:rsidRDefault="00DD745D">
      <w:pPr>
        <w:pStyle w:val="Bodytext10"/>
        <w:jc w:val="both"/>
      </w:pPr>
      <w:r>
        <w:rPr>
          <w:color w:val="201F1E"/>
        </w:rPr>
        <w:t xml:space="preserve">The available data published </w:t>
      </w:r>
      <w:r>
        <w:t xml:space="preserve">by the </w:t>
      </w:r>
      <w:proofErr w:type="spellStart"/>
      <w:r>
        <w:t>Ministry</w:t>
      </w:r>
      <w:r>
        <w:rPr>
          <w:color w:val="201F1E"/>
        </w:rPr>
        <w:t>of</w:t>
      </w:r>
      <w:proofErr w:type="spellEnd"/>
      <w:r>
        <w:rPr>
          <w:color w:val="201F1E"/>
        </w:rPr>
        <w:t xml:space="preserve"> Education of the Slovak Republic, CVTI</w:t>
      </w:r>
      <w:r>
        <w:t xml:space="preserve">, </w:t>
      </w:r>
      <w:proofErr w:type="spellStart"/>
      <w:r>
        <w:t>Statistical</w:t>
      </w:r>
      <w:proofErr w:type="spellEnd"/>
      <w:r>
        <w:t xml:space="preserve"> Office of the Slovak Republic, the Research Centre for Demographics, INEKO, OECD, and </w:t>
      </w:r>
      <w:proofErr w:type="spellStart"/>
      <w:r>
        <w:t>Eurostat</w:t>
      </w:r>
      <w:proofErr w:type="spellEnd"/>
      <w:r>
        <w:t xml:space="preserve"> </w:t>
      </w:r>
      <w:r>
        <w:rPr>
          <w:color w:val="201F1E"/>
        </w:rPr>
        <w:t xml:space="preserve">are data of their legal </w:t>
      </w:r>
      <w:proofErr w:type="spellStart"/>
      <w:r>
        <w:rPr>
          <w:color w:val="201F1E"/>
        </w:rPr>
        <w:t>owners</w:t>
      </w:r>
      <w:proofErr w:type="spellEnd"/>
      <w:r>
        <w:rPr>
          <w:color w:val="201F1E"/>
        </w:rPr>
        <w:t xml:space="preserve"> and have been used in this review only for research and analytical </w:t>
      </w:r>
      <w:proofErr w:type="spellStart"/>
      <w:r>
        <w:rPr>
          <w:color w:val="201F1E"/>
        </w:rPr>
        <w:t>purposes</w:t>
      </w:r>
      <w:proofErr w:type="spellEnd"/>
      <w:r>
        <w:rPr>
          <w:color w:val="201F1E"/>
        </w:rPr>
        <w:t>.</w:t>
      </w:r>
    </w:p>
    <w:p w14:paraId="4F7FA6C0" w14:textId="0522632A" w:rsidR="009F049C" w:rsidRDefault="00DD745D">
      <w:pPr>
        <w:pStyle w:val="Bodytext10"/>
        <w:spacing w:line="257" w:lineRule="auto"/>
        <w:jc w:val="both"/>
      </w:pPr>
      <w:r>
        <w:t xml:space="preserve">MŠVVaŠ SR (Ministry of Education, Science, Research and Sport of the Slovak Republic) “is the central government body of the Slovak Republic for </w:t>
      </w:r>
      <w:proofErr w:type="spellStart"/>
      <w:r>
        <w:t>kindergartens</w:t>
      </w:r>
      <w:proofErr w:type="spellEnd"/>
      <w:r>
        <w:t xml:space="preserve">, primary schools, </w:t>
      </w:r>
      <w:proofErr w:type="spellStart"/>
      <w:r>
        <w:t>secondary</w:t>
      </w:r>
      <w:proofErr w:type="spellEnd"/>
      <w:r>
        <w:t xml:space="preserve"> schools and universities, school </w:t>
      </w:r>
      <w:proofErr w:type="spellStart"/>
      <w:r>
        <w:t>facilities</w:t>
      </w:r>
      <w:proofErr w:type="spellEnd"/>
      <w:r>
        <w:t xml:space="preserve">, </w:t>
      </w:r>
      <w:proofErr w:type="spellStart"/>
      <w:r>
        <w:t>lifelong</w:t>
      </w:r>
      <w:proofErr w:type="spellEnd"/>
      <w:r>
        <w:t xml:space="preserve"> learning, </w:t>
      </w:r>
      <w:proofErr w:type="spellStart"/>
      <w:r>
        <w:t>science</w:t>
      </w:r>
      <w:proofErr w:type="spellEnd"/>
      <w:r>
        <w:t xml:space="preserve"> and </w:t>
      </w:r>
      <w:proofErr w:type="spellStart"/>
      <w:r>
        <w:t>technology</w:t>
      </w:r>
      <w:proofErr w:type="spellEnd"/>
      <w:r>
        <w:t xml:space="preserve">, for state care for </w:t>
      </w:r>
      <w:proofErr w:type="spellStart"/>
      <w:r>
        <w:t>youth</w:t>
      </w:r>
      <w:proofErr w:type="spellEnd"/>
      <w:r>
        <w:t xml:space="preserve"> and </w:t>
      </w:r>
      <w:proofErr w:type="spellStart"/>
      <w:r>
        <w:t>sport</w:t>
      </w:r>
      <w:proofErr w:type="spellEnd"/>
      <w:r>
        <w:t>”</w:t>
      </w:r>
      <w:hyperlink r:id="rId10" w:history="1">
        <w:r>
          <w:t xml:space="preserve"> </w:t>
        </w:r>
        <w:r>
          <w:rPr>
            <w:color w:val="954F72"/>
            <w:u w:val="single"/>
          </w:rPr>
          <w:t xml:space="preserve">Statute and </w:t>
        </w:r>
        <w:proofErr w:type="spellStart"/>
        <w:r>
          <w:rPr>
            <w:color w:val="954F72"/>
            <w:u w:val="single"/>
          </w:rPr>
          <w:t>Organising</w:t>
        </w:r>
        <w:proofErr w:type="spellEnd"/>
        <w:r>
          <w:rPr>
            <w:color w:val="954F72"/>
            <w:u w:val="single"/>
          </w:rPr>
          <w:t xml:space="preserve"> Regulations of the Ministry of Education, Science, Research and</w:t>
        </w:r>
      </w:hyperlink>
      <w:r>
        <w:rPr>
          <w:color w:val="954F72"/>
          <w:u w:val="single"/>
        </w:rPr>
        <w:t xml:space="preserve"> </w:t>
      </w:r>
      <w:hyperlink r:id="rId11" w:history="1">
        <w:r>
          <w:rPr>
            <w:color w:val="954F72"/>
            <w:u w:val="single"/>
          </w:rPr>
          <w:t>Sport of the Slovak Republic (minedu.sk</w:t>
        </w:r>
        <w:r>
          <w:t>)</w:t>
        </w:r>
      </w:hyperlink>
      <w:r>
        <w:t>.</w:t>
      </w:r>
    </w:p>
    <w:p w14:paraId="4F7FA6C1" w14:textId="77777777" w:rsidR="009F049C" w:rsidRDefault="00DD745D">
      <w:pPr>
        <w:pStyle w:val="Bodytext10"/>
        <w:spacing w:line="257" w:lineRule="auto"/>
        <w:jc w:val="both"/>
        <w:sectPr w:rsidR="009F049C">
          <w:pgSz w:w="11900" w:h="16840"/>
          <w:pgMar w:top="692" w:right="1407" w:bottom="1028" w:left="1407" w:header="0" w:footer="3" w:gutter="0"/>
          <w:cols w:space="720"/>
          <w:noEndnote/>
          <w:docGrid w:linePitch="360"/>
          <w15:footnoteColumns w:val="1"/>
        </w:sectPr>
      </w:pPr>
      <w:r>
        <w:t>CVTI (Centre of Scientific and Technical Information)</w:t>
      </w:r>
      <w:r>
        <w:footnoteReference w:id="2"/>
      </w:r>
      <w:r>
        <w:t xml:space="preserve"> is "as a directly managed </w:t>
      </w:r>
      <w:proofErr w:type="spellStart"/>
      <w:r>
        <w:t>organisation</w:t>
      </w:r>
      <w:proofErr w:type="spellEnd"/>
      <w:r>
        <w:t xml:space="preserve"> of the Ministry of Education of the Slovak Republic, the National Information Centre for Science, Technology, Innovation and Education and the Scientific </w:t>
      </w:r>
      <w:proofErr w:type="spellStart"/>
      <w:r>
        <w:t>Library</w:t>
      </w:r>
      <w:proofErr w:type="spellEnd"/>
      <w:r>
        <w:t xml:space="preserve"> of the Slovak Republic. </w:t>
      </w:r>
      <w:proofErr w:type="spellStart"/>
      <w:r>
        <w:t>Coordinates</w:t>
      </w:r>
      <w:proofErr w:type="spellEnd"/>
      <w:r>
        <w:t xml:space="preserve"> and ensures the operation of </w:t>
      </w:r>
      <w:proofErr w:type="spellStart"/>
      <w:r>
        <w:t>interdisciplinary</w:t>
      </w:r>
      <w:proofErr w:type="spellEnd"/>
      <w:r>
        <w:t xml:space="preserve"> research</w:t>
      </w:r>
    </w:p>
    <w:p w14:paraId="4F7FA6C2" w14:textId="77777777" w:rsidR="009F049C" w:rsidRDefault="00DD745D">
      <w:pPr>
        <w:pStyle w:val="P68B1DB1-Style193"/>
        <w:framePr w:dropCap="drop" w:lines="2" w:hSpace="5" w:vSpace="5" w:wrap="auto" w:vAnchor="text" w:hAnchor="text"/>
        <w:spacing w:line="406" w:lineRule="exact"/>
      </w:pPr>
      <w:r>
        <w:lastRenderedPageBreak/>
        <w:t>NO</w:t>
      </w:r>
    </w:p>
    <w:p w14:paraId="4F7FA6C3" w14:textId="77777777" w:rsidR="009F049C" w:rsidRDefault="00DD745D">
      <w:pPr>
        <w:pStyle w:val="Bodytext20"/>
      </w:pPr>
      <w:r>
        <w:t>SLOVAK ACCREDITATION AGENCY FOR HIGHER EDUCATION</w:t>
      </w:r>
    </w:p>
    <w:p w14:paraId="4F7FA6C4" w14:textId="0AE29E96" w:rsidR="009F049C" w:rsidRDefault="00DD745D">
      <w:pPr>
        <w:pStyle w:val="Bodytext10"/>
        <w:jc w:val="both"/>
      </w:pPr>
      <w:r>
        <w:t xml:space="preserve">development centres and national </w:t>
      </w:r>
      <w:proofErr w:type="spellStart"/>
      <w:r>
        <w:t>infrastructures</w:t>
      </w:r>
      <w:proofErr w:type="spellEnd"/>
      <w:r>
        <w:t xml:space="preserve"> for research, development, innovation and education" </w:t>
      </w:r>
      <w:hyperlink r:id="rId12" w:history="1">
        <w:r>
          <w:t>(</w:t>
        </w:r>
        <w:r>
          <w:rPr>
            <w:color w:val="0563C1"/>
            <w:u w:val="single"/>
          </w:rPr>
          <w:t>Basic</w:t>
        </w:r>
      </w:hyperlink>
      <w:r>
        <w:rPr>
          <w:color w:val="0563C1"/>
          <w:u w:val="single"/>
        </w:rPr>
        <w:t xml:space="preserve"> </w:t>
      </w:r>
      <w:hyperlink r:id="rId13" w:history="1">
        <w:r>
          <w:rPr>
            <w:color w:val="0563C1"/>
            <w:u w:val="single"/>
          </w:rPr>
          <w:t>Information — CVTI SR</w:t>
        </w:r>
        <w:r>
          <w:t>)</w:t>
        </w:r>
      </w:hyperlink>
      <w:r>
        <w:t>.</w:t>
      </w:r>
    </w:p>
    <w:p w14:paraId="4F7FA6C5" w14:textId="32EA8728" w:rsidR="009F049C" w:rsidRDefault="00DD745D">
      <w:pPr>
        <w:pStyle w:val="Bodytext10"/>
        <w:jc w:val="both"/>
      </w:pPr>
      <w:r>
        <w:t xml:space="preserve">The </w:t>
      </w:r>
      <w:proofErr w:type="spellStart"/>
      <w:r>
        <w:t>Statistical</w:t>
      </w:r>
      <w:proofErr w:type="spellEnd"/>
      <w:r>
        <w:t xml:space="preserve"> Office of the Slovak Republic is the "central government body of the Slovak Republic in the field of state </w:t>
      </w:r>
      <w:proofErr w:type="spellStart"/>
      <w:r>
        <w:t>statistics</w:t>
      </w:r>
      <w:proofErr w:type="spellEnd"/>
      <w:r>
        <w:t xml:space="preserve">. Its status is governed by Act No 575/2001 on the </w:t>
      </w:r>
      <w:proofErr w:type="spellStart"/>
      <w:r>
        <w:t>organisation</w:t>
      </w:r>
      <w:proofErr w:type="spellEnd"/>
      <w:r>
        <w:t xml:space="preserve"> of government activities and the </w:t>
      </w:r>
      <w:proofErr w:type="spellStart"/>
      <w:r>
        <w:t>organisation</w:t>
      </w:r>
      <w:proofErr w:type="spellEnd"/>
      <w:r>
        <w:t xml:space="preserve"> of central state administration, as amended. The Office performs tasks pursuant to Act No 540/2001 on State Statistics, as amended, and tasks </w:t>
      </w:r>
      <w:proofErr w:type="spellStart"/>
      <w:r>
        <w:t>laid</w:t>
      </w:r>
      <w:proofErr w:type="spellEnd"/>
      <w:r>
        <w:t xml:space="preserve"> down by other generally binding legislation. The </w:t>
      </w:r>
      <w:proofErr w:type="spellStart"/>
      <w:r>
        <w:t>Statistical</w:t>
      </w:r>
      <w:proofErr w:type="spellEnd"/>
      <w:r>
        <w:t xml:space="preserve"> Office of the Slovak Republic has been </w:t>
      </w:r>
      <w:proofErr w:type="spellStart"/>
      <w:r>
        <w:t>operating</w:t>
      </w:r>
      <w:proofErr w:type="spellEnd"/>
      <w:r>
        <w:t xml:space="preserve"> as a separate institution since 1 January 1993, the date of establishment of a separate Slovak </w:t>
      </w:r>
      <w:hyperlink r:id="rId14" w:history="1">
        <w:r>
          <w:t>Republic" (</w:t>
        </w:r>
        <w:proofErr w:type="spellStart"/>
        <w:r>
          <w:rPr>
            <w:color w:val="954F72"/>
            <w:u w:val="single"/>
          </w:rPr>
          <w:t>Statistical</w:t>
        </w:r>
        <w:proofErr w:type="spellEnd"/>
        <w:r>
          <w:rPr>
            <w:color w:val="954F72"/>
            <w:u w:val="single"/>
          </w:rPr>
          <w:t xml:space="preserve"> Office of the Slovak Republic (statistics.sk)</w:t>
        </w:r>
        <w:r>
          <w:t>.</w:t>
        </w:r>
      </w:hyperlink>
    </w:p>
    <w:p w14:paraId="4F7FA6C6" w14:textId="77777777" w:rsidR="009F049C" w:rsidRDefault="00DD745D">
      <w:pPr>
        <w:pStyle w:val="Bodytext10"/>
        <w:spacing w:line="257" w:lineRule="auto"/>
        <w:jc w:val="both"/>
      </w:pPr>
      <w:r>
        <w:t xml:space="preserve">The </w:t>
      </w:r>
      <w:proofErr w:type="spellStart"/>
      <w:r>
        <w:t>Demographic</w:t>
      </w:r>
      <w:proofErr w:type="spellEnd"/>
      <w:r>
        <w:t xml:space="preserve"> Research Centre "was founded 1. 1. 2000. Works within INFOSTAT (Institute of </w:t>
      </w:r>
      <w:proofErr w:type="spellStart"/>
      <w:r>
        <w:t>Informatics</w:t>
      </w:r>
      <w:proofErr w:type="spellEnd"/>
      <w:r>
        <w:t xml:space="preserve"> and Statistics)"</w:t>
      </w:r>
      <w:r>
        <w:footnoteReference w:id="3"/>
      </w:r>
      <w:r>
        <w:t xml:space="preserve">. It has been set up as a </w:t>
      </w:r>
      <w:proofErr w:type="spellStart"/>
      <w:r>
        <w:t>specialised</w:t>
      </w:r>
      <w:proofErr w:type="spellEnd"/>
      <w:r>
        <w:t xml:space="preserve"> research centre of a </w:t>
      </w:r>
      <w:proofErr w:type="spellStart"/>
      <w:r>
        <w:t>sub</w:t>
      </w:r>
      <w:proofErr w:type="spellEnd"/>
      <w:r>
        <w:t>-industry nature with national competence.</w:t>
      </w:r>
    </w:p>
    <w:p w14:paraId="4F7FA6C7" w14:textId="6A4FD8E1" w:rsidR="009F049C" w:rsidRDefault="00DD745D">
      <w:pPr>
        <w:pStyle w:val="Bodytext10"/>
        <w:spacing w:line="257" w:lineRule="auto"/>
        <w:jc w:val="both"/>
      </w:pPr>
      <w:r>
        <w:t>INEKO is a “non-</w:t>
      </w:r>
      <w:proofErr w:type="spellStart"/>
      <w:r>
        <w:t>governmental</w:t>
      </w:r>
      <w:proofErr w:type="spellEnd"/>
      <w:r>
        <w:t xml:space="preserve"> non-profit </w:t>
      </w:r>
      <w:proofErr w:type="spellStart"/>
      <w:r>
        <w:t>organisation</w:t>
      </w:r>
      <w:proofErr w:type="spellEnd"/>
      <w:r>
        <w:t xml:space="preserve"> that supports economic and social reforms in order to remove </w:t>
      </w:r>
      <w:proofErr w:type="spellStart"/>
      <w:r>
        <w:t>obstacles</w:t>
      </w:r>
      <w:proofErr w:type="spellEnd"/>
      <w:r>
        <w:t xml:space="preserve"> to the long-term positive development of the Slovak </w:t>
      </w:r>
      <w:proofErr w:type="spellStart"/>
      <w:r>
        <w:t>economy</w:t>
      </w:r>
      <w:proofErr w:type="spellEnd"/>
      <w:r>
        <w:t xml:space="preserve"> and society</w:t>
      </w:r>
      <w:hyperlink r:id="rId15" w:history="1">
        <w:r>
          <w:t>” (</w:t>
        </w:r>
        <w:r>
          <w:rPr>
            <w:color w:val="0563C1"/>
            <w:u w:val="single"/>
          </w:rPr>
          <w:t>INEKO: About us</w:t>
        </w:r>
        <w:r>
          <w:t>)</w:t>
        </w:r>
      </w:hyperlink>
      <w:r>
        <w:t>.</w:t>
      </w:r>
    </w:p>
    <w:p w14:paraId="4F7FA6C8" w14:textId="1440174B" w:rsidR="009F049C" w:rsidRDefault="00DD745D">
      <w:pPr>
        <w:pStyle w:val="Bodytext10"/>
        <w:spacing w:line="257" w:lineRule="auto"/>
        <w:jc w:val="both"/>
      </w:pPr>
      <w:r>
        <w:t xml:space="preserve">“The </w:t>
      </w:r>
      <w:proofErr w:type="spellStart"/>
      <w:r>
        <w:t>Organisation</w:t>
      </w:r>
      <w:proofErr w:type="spellEnd"/>
      <w:r>
        <w:t xml:space="preserve"> for Economic Co-operation and Development (OECD) is an international </w:t>
      </w:r>
      <w:proofErr w:type="spellStart"/>
      <w:r>
        <w:t>organisation</w:t>
      </w:r>
      <w:proofErr w:type="spellEnd"/>
      <w:r>
        <w:t xml:space="preserve"> that works to build better policies for better </w:t>
      </w:r>
      <w:proofErr w:type="spellStart"/>
      <w:r>
        <w:t>lives</w:t>
      </w:r>
      <w:proofErr w:type="spellEnd"/>
      <w:r>
        <w:t xml:space="preserve">. Our </w:t>
      </w:r>
      <w:proofErr w:type="spellStart"/>
      <w:r>
        <w:t>goal</w:t>
      </w:r>
      <w:proofErr w:type="spellEnd"/>
      <w:r>
        <w:t xml:space="preserve"> is to shape policies that </w:t>
      </w:r>
      <w:proofErr w:type="spellStart"/>
      <w:r>
        <w:t>foster</w:t>
      </w:r>
      <w:proofErr w:type="spellEnd"/>
      <w:r>
        <w:t xml:space="preserve"> prosperity, </w:t>
      </w:r>
      <w:proofErr w:type="spellStart"/>
      <w:r>
        <w:t>equality</w:t>
      </w:r>
      <w:proofErr w:type="spellEnd"/>
      <w:r>
        <w:t xml:space="preserve">, opportunity and well-being for all. We draw on 60 years of experience and </w:t>
      </w:r>
      <w:proofErr w:type="spellStart"/>
      <w:r>
        <w:t>insights</w:t>
      </w:r>
      <w:proofErr w:type="spellEnd"/>
      <w:r>
        <w:t xml:space="preserve"> to better prepare the </w:t>
      </w:r>
      <w:proofErr w:type="spellStart"/>
      <w:r>
        <w:t>world</w:t>
      </w:r>
      <w:proofErr w:type="spellEnd"/>
      <w:r>
        <w:t xml:space="preserve"> of </w:t>
      </w:r>
      <w:proofErr w:type="spellStart"/>
      <w:r>
        <w:t>tomorrow</w:t>
      </w:r>
      <w:proofErr w:type="spellEnd"/>
      <w:r>
        <w:t xml:space="preserve">" </w:t>
      </w:r>
      <w:hyperlink r:id="rId16" w:history="1">
        <w:r>
          <w:t>(</w:t>
        </w:r>
        <w:r>
          <w:rPr>
            <w:color w:val="0563C1"/>
            <w:u w:val="single"/>
          </w:rPr>
          <w:t>About the OECD — OECD</w:t>
        </w:r>
        <w:r>
          <w:t>)</w:t>
        </w:r>
      </w:hyperlink>
      <w:r>
        <w:t>.</w:t>
      </w:r>
    </w:p>
    <w:p w14:paraId="4F7FA6C9" w14:textId="79CA4CC5" w:rsidR="009F049C" w:rsidRDefault="00DD745D">
      <w:pPr>
        <w:pStyle w:val="Bodytext10"/>
        <w:spacing w:line="257" w:lineRule="auto"/>
        <w:jc w:val="both"/>
        <w:sectPr w:rsidR="009F049C">
          <w:pgSz w:w="11900" w:h="16840"/>
          <w:pgMar w:top="692" w:right="1407" w:bottom="1028" w:left="1407" w:header="0" w:footer="3" w:gutter="0"/>
          <w:cols w:space="720"/>
          <w:noEndnote/>
          <w:docGrid w:linePitch="360"/>
          <w15:footnoteColumns w:val="1"/>
        </w:sectPr>
      </w:pPr>
      <w:proofErr w:type="spellStart"/>
      <w:r>
        <w:t>Eurostat</w:t>
      </w:r>
      <w:proofErr w:type="spellEnd"/>
      <w:r>
        <w:t xml:space="preserve"> is the </w:t>
      </w:r>
      <w:proofErr w:type="spellStart"/>
      <w:r>
        <w:t>statistical</w:t>
      </w:r>
      <w:proofErr w:type="spellEnd"/>
      <w:r>
        <w:t xml:space="preserve"> office of the European Union </w:t>
      </w:r>
      <w:hyperlink r:id="rId17" w:history="1">
        <w:r>
          <w:t>(</w:t>
        </w:r>
        <w:r>
          <w:rPr>
            <w:color w:val="0563C1"/>
            <w:u w:val="single"/>
          </w:rPr>
          <w:t xml:space="preserve">Who we are — </w:t>
        </w:r>
        <w:proofErr w:type="spellStart"/>
        <w:r>
          <w:rPr>
            <w:color w:val="0563C1"/>
            <w:u w:val="single"/>
          </w:rPr>
          <w:t>Eurostat</w:t>
        </w:r>
        <w:proofErr w:type="spellEnd"/>
        <w:r>
          <w:rPr>
            <w:color w:val="0563C1"/>
            <w:u w:val="single"/>
          </w:rPr>
          <w:t xml:space="preserve"> (europa.eu</w:t>
        </w:r>
        <w:r>
          <w:t>)</w:t>
        </w:r>
      </w:hyperlink>
      <w:r>
        <w:t>.</w:t>
      </w:r>
    </w:p>
    <w:p w14:paraId="4F7FA6CB" w14:textId="77777777" w:rsidR="009F049C" w:rsidRDefault="00DD745D">
      <w:pPr>
        <w:pStyle w:val="Bodytext20"/>
        <w:spacing w:after="840"/>
      </w:pPr>
      <w:r>
        <w:lastRenderedPageBreak/>
        <w:t>SLOVAK ACCREDITATION AGENCY FOR HIGHER EDUCATION</w:t>
      </w:r>
    </w:p>
    <w:p w14:paraId="4F7FA6CC" w14:textId="77777777" w:rsidR="009F049C" w:rsidRDefault="00DD745D">
      <w:pPr>
        <w:pStyle w:val="Heading110"/>
        <w:keepNext/>
        <w:keepLines/>
        <w:numPr>
          <w:ilvl w:val="0"/>
          <w:numId w:val="6"/>
        </w:numPr>
        <w:tabs>
          <w:tab w:val="left" w:pos="389"/>
        </w:tabs>
      </w:pPr>
      <w:bookmarkStart w:id="20" w:name="bookmark32"/>
      <w:bookmarkStart w:id="21" w:name="bookmark33"/>
      <w:bookmarkStart w:id="22" w:name="bookmark29"/>
      <w:bookmarkStart w:id="23" w:name="_Toc97734024"/>
      <w:bookmarkStart w:id="24" w:name="_Toc97734043"/>
      <w:bookmarkEnd w:id="20"/>
      <w:r>
        <w:t>Students and graduates</w:t>
      </w:r>
      <w:bookmarkEnd w:id="21"/>
      <w:bookmarkEnd w:id="22"/>
      <w:bookmarkEnd w:id="23"/>
      <w:bookmarkEnd w:id="24"/>
    </w:p>
    <w:p w14:paraId="4F7FA6CD" w14:textId="77777777" w:rsidR="009F049C" w:rsidRDefault="00DD745D">
      <w:pPr>
        <w:pStyle w:val="Heading110"/>
        <w:keepNext/>
        <w:keepLines/>
        <w:numPr>
          <w:ilvl w:val="0"/>
          <w:numId w:val="7"/>
        </w:numPr>
        <w:jc w:val="both"/>
      </w:pPr>
      <w:bookmarkStart w:id="25" w:name="bookmark35"/>
      <w:bookmarkStart w:id="26" w:name="bookmark30"/>
      <w:bookmarkStart w:id="27" w:name="bookmark31"/>
      <w:bookmarkStart w:id="28" w:name="bookmark36"/>
      <w:bookmarkStart w:id="29" w:name="bookmark34"/>
      <w:bookmarkStart w:id="30" w:name="_Toc97734025"/>
      <w:bookmarkStart w:id="31" w:name="_Toc97734044"/>
      <w:bookmarkEnd w:id="25"/>
      <w:r>
        <w:t xml:space="preserve">a. </w:t>
      </w:r>
      <w:proofErr w:type="spellStart"/>
      <w:r>
        <w:t>Demographic</w:t>
      </w:r>
      <w:proofErr w:type="spellEnd"/>
      <w:r>
        <w:t xml:space="preserve"> </w:t>
      </w:r>
      <w:proofErr w:type="spellStart"/>
      <w:r>
        <w:t>evolution</w:t>
      </w:r>
      <w:proofErr w:type="spellEnd"/>
      <w:r>
        <w:t xml:space="preserve"> of the population of 19-year-olds</w:t>
      </w:r>
      <w:bookmarkEnd w:id="26"/>
      <w:bookmarkEnd w:id="27"/>
      <w:bookmarkEnd w:id="28"/>
      <w:bookmarkEnd w:id="29"/>
      <w:bookmarkEnd w:id="30"/>
      <w:bookmarkEnd w:id="31"/>
    </w:p>
    <w:p w14:paraId="4F7FA6CE" w14:textId="77777777" w:rsidR="009F049C" w:rsidRDefault="00DD745D">
      <w:pPr>
        <w:pStyle w:val="Bodytext10"/>
        <w:jc w:val="both"/>
      </w:pPr>
      <w:r>
        <w:t xml:space="preserve">Population </w:t>
      </w:r>
      <w:proofErr w:type="spellStart"/>
      <w:r>
        <w:t>grades</w:t>
      </w:r>
      <w:proofErr w:type="spellEnd"/>
      <w:r>
        <w:t xml:space="preserve"> of </w:t>
      </w:r>
      <w:proofErr w:type="spellStart"/>
      <w:r>
        <w:t>nineteen</w:t>
      </w:r>
      <w:proofErr w:type="spellEnd"/>
      <w:r>
        <w:t xml:space="preserve"> year </w:t>
      </w:r>
      <w:proofErr w:type="spellStart"/>
      <w:r>
        <w:t>olds</w:t>
      </w:r>
      <w:proofErr w:type="spellEnd"/>
      <w:r>
        <w:t xml:space="preserve"> </w:t>
      </w:r>
      <w:proofErr w:type="spellStart"/>
      <w:r>
        <w:t>represent</w:t>
      </w:r>
      <w:proofErr w:type="spellEnd"/>
      <w:r>
        <w:t xml:space="preserve"> the </w:t>
      </w:r>
      <w:proofErr w:type="spellStart"/>
      <w:r>
        <w:t>abundance</w:t>
      </w:r>
      <w:proofErr w:type="spellEnd"/>
      <w:r>
        <w:t xml:space="preserve"> of young people in the population around the age of graduates, i.e. at the age of </w:t>
      </w:r>
      <w:proofErr w:type="spellStart"/>
      <w:r>
        <w:t>secondary</w:t>
      </w:r>
      <w:proofErr w:type="spellEnd"/>
      <w:r>
        <w:t xml:space="preserve"> school graduates entering employment or applying for the first level of higher education. The picture (Figure 1) does not take into account the share of this </w:t>
      </w:r>
      <w:proofErr w:type="spellStart"/>
      <w:r>
        <w:t>cohort</w:t>
      </w:r>
      <w:proofErr w:type="spellEnd"/>
      <w:r>
        <w:t xml:space="preserve"> studying abroad.</w:t>
      </w:r>
    </w:p>
    <w:p w14:paraId="4F7FA6CF" w14:textId="77777777" w:rsidR="009F049C" w:rsidRDefault="00DD745D">
      <w:pPr>
        <w:pStyle w:val="Bodytext10"/>
        <w:spacing w:after="340"/>
        <w:jc w:val="both"/>
      </w:pPr>
      <w:r>
        <w:t xml:space="preserve">The last available </w:t>
      </w:r>
      <w:proofErr w:type="spellStart"/>
      <w:r>
        <w:t>figure</w:t>
      </w:r>
      <w:proofErr w:type="spellEnd"/>
      <w:r>
        <w:t xml:space="preserve"> for the population of 19-year-olds in Slovakia is from 2020 (54 977) and shows a decrease of 43.2 % compared to the period with the maximum number of people in this </w:t>
      </w:r>
      <w:proofErr w:type="spellStart"/>
      <w:r>
        <w:t>cohort</w:t>
      </w:r>
      <w:proofErr w:type="spellEnd"/>
      <w:r>
        <w:t xml:space="preserve"> (96801) in 1998. We can expect an even </w:t>
      </w:r>
      <w:proofErr w:type="spellStart"/>
      <w:r>
        <w:t>deeper</w:t>
      </w:r>
      <w:proofErr w:type="spellEnd"/>
      <w:r>
        <w:t xml:space="preserve"> fall in the </w:t>
      </w:r>
      <w:proofErr w:type="spellStart"/>
      <w:r>
        <w:t>coming</w:t>
      </w:r>
      <w:proofErr w:type="spellEnd"/>
      <w:r>
        <w:t xml:space="preserve"> years, which should stop just over 50 </w:t>
      </w:r>
      <w:proofErr w:type="spellStart"/>
      <w:r>
        <w:t>thousand</w:t>
      </w:r>
      <w:proofErr w:type="spellEnd"/>
      <w:r>
        <w:t xml:space="preserve"> (2020-2022). An increase is expected in the second half of the 20's and the number of 19-year-olds should </w:t>
      </w:r>
      <w:proofErr w:type="spellStart"/>
      <w:r>
        <w:t>again</w:t>
      </w:r>
      <w:proofErr w:type="spellEnd"/>
      <w:r>
        <w:t xml:space="preserve"> </w:t>
      </w:r>
      <w:proofErr w:type="spellStart"/>
      <w:r>
        <w:t>exceed</w:t>
      </w:r>
      <w:proofErr w:type="spellEnd"/>
      <w:r>
        <w:t xml:space="preserve"> 60 </w:t>
      </w:r>
      <w:proofErr w:type="spellStart"/>
      <w:r>
        <w:t>thousand</w:t>
      </w:r>
      <w:proofErr w:type="spellEnd"/>
      <w:r>
        <w:t xml:space="preserve">. However, this should only be a </w:t>
      </w:r>
      <w:proofErr w:type="spellStart"/>
      <w:r>
        <w:t>short</w:t>
      </w:r>
      <w:proofErr w:type="spellEnd"/>
      <w:r>
        <w:t xml:space="preserve">-term increase. According to our </w:t>
      </w:r>
      <w:proofErr w:type="spellStart"/>
      <w:r>
        <w:t>calculations</w:t>
      </w:r>
      <w:proofErr w:type="spellEnd"/>
      <w:r>
        <w:t xml:space="preserve">, the number of 19-year-olds should fall </w:t>
      </w:r>
      <w:proofErr w:type="spellStart"/>
      <w:r>
        <w:t>again</w:t>
      </w:r>
      <w:proofErr w:type="spellEnd"/>
      <w:r>
        <w:t xml:space="preserve"> in the 1930s. However, our </w:t>
      </w:r>
      <w:proofErr w:type="spellStart"/>
      <w:r>
        <w:t>calculations</w:t>
      </w:r>
      <w:proofErr w:type="spellEnd"/>
      <w:r>
        <w:t xml:space="preserve"> are only </w:t>
      </w:r>
      <w:proofErr w:type="spellStart"/>
      <w:r>
        <w:t>approximate</w:t>
      </w:r>
      <w:proofErr w:type="spellEnd"/>
      <w:r>
        <w:t xml:space="preserve"> </w:t>
      </w:r>
      <w:proofErr w:type="spellStart"/>
      <w:r>
        <w:t>estimates</w:t>
      </w:r>
      <w:proofErr w:type="spellEnd"/>
      <w:r>
        <w:t xml:space="preserve"> based on the number of </w:t>
      </w:r>
      <w:proofErr w:type="spellStart"/>
      <w:r>
        <w:t>births</w:t>
      </w:r>
      <w:proofErr w:type="spellEnd"/>
      <w:r>
        <w:t xml:space="preserve"> and </w:t>
      </w:r>
      <w:proofErr w:type="spellStart"/>
      <w:r>
        <w:t>reflect</w:t>
      </w:r>
      <w:proofErr w:type="spellEnd"/>
      <w:r>
        <w:t xml:space="preserve"> a </w:t>
      </w:r>
      <w:proofErr w:type="spellStart"/>
      <w:r>
        <w:t>static</w:t>
      </w:r>
      <w:proofErr w:type="spellEnd"/>
      <w:r>
        <w:t xml:space="preserve"> mortality rate of only 2 </w:t>
      </w:r>
      <w:proofErr w:type="spellStart"/>
      <w:r>
        <w:t>deaths</w:t>
      </w:r>
      <w:proofErr w:type="spellEnd"/>
      <w:r>
        <w:t xml:space="preserve"> per 1000 people, based on the mortality of people under 19 in Slovakia in 2020. They do not </w:t>
      </w:r>
      <w:proofErr w:type="spellStart"/>
      <w:r>
        <w:t>reflect</w:t>
      </w:r>
      <w:proofErr w:type="spellEnd"/>
      <w:r>
        <w:t xml:space="preserve"> the </w:t>
      </w:r>
      <w:proofErr w:type="spellStart"/>
      <w:r>
        <w:t>consequences</w:t>
      </w:r>
      <w:proofErr w:type="spellEnd"/>
      <w:r>
        <w:t xml:space="preserve"> of the </w:t>
      </w:r>
      <w:proofErr w:type="spellStart"/>
      <w:r>
        <w:t>migration</w:t>
      </w:r>
      <w:proofErr w:type="spellEnd"/>
      <w:r>
        <w:t xml:space="preserve"> of </w:t>
      </w:r>
      <w:proofErr w:type="spellStart"/>
      <w:r>
        <w:t>parents</w:t>
      </w:r>
      <w:proofErr w:type="spellEnd"/>
      <w:r>
        <w:t xml:space="preserve"> with </w:t>
      </w:r>
      <w:proofErr w:type="spellStart"/>
      <w:r>
        <w:t>children</w:t>
      </w:r>
      <w:proofErr w:type="spellEnd"/>
      <w:r>
        <w:t xml:space="preserve"> to or from Slovakia (the </w:t>
      </w:r>
      <w:proofErr w:type="spellStart"/>
      <w:r>
        <w:t>figure</w:t>
      </w:r>
      <w:proofErr w:type="spellEnd"/>
      <w:r>
        <w:t xml:space="preserve"> being high) or possible other </w:t>
      </w:r>
      <w:proofErr w:type="spellStart"/>
      <w:r>
        <w:t>factors</w:t>
      </w:r>
      <w:proofErr w:type="spellEnd"/>
      <w:r>
        <w:t xml:space="preserve"> that take into account demographics in similar </w:t>
      </w:r>
      <w:proofErr w:type="spellStart"/>
      <w:r>
        <w:t>forecasts</w:t>
      </w:r>
      <w:proofErr w:type="spellEnd"/>
      <w:r>
        <w:t xml:space="preserve"> (e.g. the covid-19 pandemic). For this reason, </w:t>
      </w:r>
      <w:r>
        <w:rPr>
          <w:b/>
        </w:rPr>
        <w:t xml:space="preserve">we do not recommend publicly using </w:t>
      </w:r>
      <w:proofErr w:type="spellStart"/>
      <w:r>
        <w:rPr>
          <w:b/>
        </w:rPr>
        <w:t>estimates</w:t>
      </w:r>
      <w:proofErr w:type="spellEnd"/>
      <w:r>
        <w:rPr>
          <w:b/>
        </w:rPr>
        <w:t xml:space="preserve"> since 2031 above.</w:t>
      </w:r>
    </w:p>
    <w:p w14:paraId="4F7FA6D0" w14:textId="77777777" w:rsidR="009F049C" w:rsidRDefault="00DD745D">
      <w:pPr>
        <w:jc w:val="center"/>
        <w:rPr>
          <w:sz w:val="2"/>
        </w:rPr>
      </w:pPr>
      <w:r>
        <w:rPr>
          <w:noProof/>
        </w:rPr>
        <w:drawing>
          <wp:inline distT="0" distB="0" distL="0" distR="0" wp14:anchorId="4F7FA78A" wp14:editId="4F7FA78B">
            <wp:extent cx="5706110" cy="362712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pic:blipFill>
                  <pic:spPr>
                    <a:xfrm>
                      <a:off x="0" y="0"/>
                      <a:ext cx="5706110" cy="3627120"/>
                    </a:xfrm>
                    <a:prstGeom prst="rect">
                      <a:avLst/>
                    </a:prstGeom>
                  </pic:spPr>
                </pic:pic>
              </a:graphicData>
            </a:graphic>
          </wp:inline>
        </w:drawing>
      </w:r>
    </w:p>
    <w:p w14:paraId="4F7FA6D1" w14:textId="77777777" w:rsidR="009F049C" w:rsidRDefault="00DD745D">
      <w:pPr>
        <w:pStyle w:val="Picturecaption10"/>
      </w:pPr>
      <w:bookmarkStart w:id="32" w:name="bookmark37"/>
      <w:r>
        <w:t xml:space="preserve">Graph 1. </w:t>
      </w:r>
      <w:proofErr w:type="spellStart"/>
      <w:r>
        <w:t>Demographic</w:t>
      </w:r>
      <w:proofErr w:type="spellEnd"/>
      <w:r>
        <w:t xml:space="preserve"> development of 19-year-olds and </w:t>
      </w:r>
      <w:proofErr w:type="spellStart"/>
      <w:r>
        <w:t>born</w:t>
      </w:r>
      <w:proofErr w:type="spellEnd"/>
      <w:r>
        <w:t xml:space="preserve"> in Slovakia, </w:t>
      </w:r>
      <w:proofErr w:type="spellStart"/>
      <w:r>
        <w:t>forecasts</w:t>
      </w:r>
      <w:proofErr w:type="spellEnd"/>
      <w:r>
        <w:t xml:space="preserve"> and </w:t>
      </w:r>
      <w:proofErr w:type="spellStart"/>
      <w:r>
        <w:t>estimates</w:t>
      </w:r>
      <w:bookmarkEnd w:id="32"/>
      <w:proofErr w:type="spellEnd"/>
    </w:p>
    <w:p w14:paraId="4F7FA6D2" w14:textId="77777777" w:rsidR="009F049C" w:rsidRDefault="009F049C">
      <w:pPr>
        <w:spacing w:after="159" w:line="1" w:lineRule="exact"/>
      </w:pPr>
    </w:p>
    <w:p w14:paraId="4F7FA6D3" w14:textId="77777777" w:rsidR="009F049C" w:rsidRDefault="00DD745D">
      <w:pPr>
        <w:pStyle w:val="Bodytext10"/>
        <w:jc w:val="both"/>
        <w:sectPr w:rsidR="009F049C">
          <w:pgSz w:w="11900" w:h="16840"/>
          <w:pgMar w:top="692" w:right="1407" w:bottom="1028" w:left="1407" w:header="0" w:footer="3" w:gutter="0"/>
          <w:cols w:space="720"/>
          <w:noEndnote/>
          <w:docGrid w:linePitch="360"/>
          <w15:footnoteColumns w:val="1"/>
        </w:sectPr>
      </w:pPr>
      <w:r>
        <w:t xml:space="preserve">The development of the number of </w:t>
      </w:r>
      <w:proofErr w:type="spellStart"/>
      <w:r>
        <w:t>born</w:t>
      </w:r>
      <w:proofErr w:type="spellEnd"/>
      <w:r>
        <w:t xml:space="preserve"> and 19-year-olds </w:t>
      </w:r>
      <w:proofErr w:type="spellStart"/>
      <w:r>
        <w:t>comes</w:t>
      </w:r>
      <w:proofErr w:type="spellEnd"/>
      <w:r>
        <w:t xml:space="preserve"> from data from the </w:t>
      </w:r>
      <w:proofErr w:type="spellStart"/>
      <w:r>
        <w:t>Statistical</w:t>
      </w:r>
      <w:proofErr w:type="spellEnd"/>
      <w:r>
        <w:t xml:space="preserve"> Office of the Slovak Republic until 2020. Between 2021 and 2030, a </w:t>
      </w:r>
      <w:proofErr w:type="spellStart"/>
      <w:r>
        <w:t>forecast</w:t>
      </w:r>
      <w:proofErr w:type="spellEnd"/>
      <w:r>
        <w:t xml:space="preserve"> of the </w:t>
      </w:r>
      <w:proofErr w:type="spellStart"/>
      <w:r>
        <w:t>evolution</w:t>
      </w:r>
      <w:proofErr w:type="spellEnd"/>
      <w:r>
        <w:t xml:space="preserve"> of the 19-year-old </w:t>
      </w:r>
      <w:proofErr w:type="spellStart"/>
      <w:r>
        <w:t>cohort</w:t>
      </w:r>
      <w:proofErr w:type="spellEnd"/>
      <w:r>
        <w:t xml:space="preserve"> since the Research</w:t>
      </w:r>
    </w:p>
    <w:p w14:paraId="4F7FA6D5" w14:textId="77777777" w:rsidR="009F049C" w:rsidRDefault="00DD745D">
      <w:pPr>
        <w:pStyle w:val="Bodytext20"/>
      </w:pPr>
      <w:r>
        <w:lastRenderedPageBreak/>
        <w:t>SLOVAK ACCREDITATION AGENCY FOR HIGHER EDUCATION</w:t>
      </w:r>
    </w:p>
    <w:p w14:paraId="4F7FA6D6" w14:textId="77777777" w:rsidR="009F049C" w:rsidRDefault="00DD745D">
      <w:pPr>
        <w:pStyle w:val="Bodytext10"/>
        <w:spacing w:line="257" w:lineRule="auto"/>
        <w:jc w:val="both"/>
      </w:pPr>
      <w:r>
        <w:t xml:space="preserve">the </w:t>
      </w:r>
      <w:proofErr w:type="spellStart"/>
      <w:r>
        <w:t>Demographic</w:t>
      </w:r>
      <w:proofErr w:type="spellEnd"/>
      <w:r>
        <w:t xml:space="preserve"> Centre at INFOSTAT, which was designed for the needs of the project “This will make sense”</w:t>
      </w:r>
      <w:r>
        <w:footnoteReference w:id="4"/>
      </w:r>
      <w:r>
        <w:t xml:space="preserve">. For 2031-2038, this is only our own </w:t>
      </w:r>
      <w:proofErr w:type="spellStart"/>
      <w:r>
        <w:t>estimate</w:t>
      </w:r>
      <w:proofErr w:type="spellEnd"/>
      <w:r>
        <w:t xml:space="preserve"> based on the number of </w:t>
      </w:r>
      <w:proofErr w:type="spellStart"/>
      <w:r>
        <w:t>births</w:t>
      </w:r>
      <w:proofErr w:type="spellEnd"/>
      <w:r>
        <w:t xml:space="preserve"> in 2012-2019 and </w:t>
      </w:r>
      <w:proofErr w:type="spellStart"/>
      <w:r>
        <w:t>static</w:t>
      </w:r>
      <w:proofErr w:type="spellEnd"/>
      <w:r>
        <w:t xml:space="preserve"> mortality.</w:t>
      </w:r>
    </w:p>
    <w:p w14:paraId="4F7FA6D7" w14:textId="77777777" w:rsidR="009F049C" w:rsidRDefault="00DD745D">
      <w:pPr>
        <w:pStyle w:val="Bodytext10"/>
        <w:jc w:val="both"/>
      </w:pPr>
      <w:r>
        <w:t xml:space="preserve">Based on the </w:t>
      </w:r>
      <w:proofErr w:type="spellStart"/>
      <w:r>
        <w:t>demographic</w:t>
      </w:r>
      <w:proofErr w:type="spellEnd"/>
      <w:r>
        <w:t xml:space="preserve"> assumptions of the INFOSTAT </w:t>
      </w:r>
      <w:proofErr w:type="spellStart"/>
      <w:r>
        <w:t>Demographic</w:t>
      </w:r>
      <w:proofErr w:type="spellEnd"/>
      <w:r>
        <w:t xml:space="preserve"> Research Centre for the project,</w:t>
      </w:r>
      <w:r>
        <w:footnoteReference w:id="5"/>
      </w:r>
      <w:r>
        <w:t xml:space="preserve"> we can expect a </w:t>
      </w:r>
      <w:proofErr w:type="spellStart"/>
      <w:r>
        <w:t>slight</w:t>
      </w:r>
      <w:proofErr w:type="spellEnd"/>
      <w:r>
        <w:t xml:space="preserve"> increase in the population of 19-year-olds in the next </w:t>
      </w:r>
      <w:proofErr w:type="spellStart"/>
      <w:r>
        <w:t>decade</w:t>
      </w:r>
      <w:proofErr w:type="spellEnd"/>
      <w:r>
        <w:t xml:space="preserve">, which should reach the 2014 level by 2030. However, the increase is not </w:t>
      </w:r>
      <w:proofErr w:type="spellStart"/>
      <w:r>
        <w:t>evenly</w:t>
      </w:r>
      <w:proofErr w:type="spellEnd"/>
      <w:r>
        <w:t xml:space="preserve"> </w:t>
      </w:r>
      <w:proofErr w:type="spellStart"/>
      <w:r>
        <w:t>distributed</w:t>
      </w:r>
      <w:proofErr w:type="spellEnd"/>
      <w:r>
        <w:t xml:space="preserve"> </w:t>
      </w:r>
      <w:proofErr w:type="spellStart"/>
      <w:r>
        <w:t>regionally</w:t>
      </w:r>
      <w:proofErr w:type="spellEnd"/>
      <w:r>
        <w:t xml:space="preserve">, due to population </w:t>
      </w:r>
      <w:proofErr w:type="spellStart"/>
      <w:r>
        <w:t>migration</w:t>
      </w:r>
      <w:proofErr w:type="spellEnd"/>
      <w:r>
        <w:t xml:space="preserve"> within Slovakia and the development of </w:t>
      </w:r>
      <w:proofErr w:type="spellStart"/>
      <w:r>
        <w:t>natalities</w:t>
      </w:r>
      <w:proofErr w:type="spellEnd"/>
      <w:r>
        <w:t xml:space="preserve"> in western Slovakia. The </w:t>
      </w:r>
      <w:proofErr w:type="spellStart"/>
      <w:r>
        <w:t>largest</w:t>
      </w:r>
      <w:proofErr w:type="spellEnd"/>
      <w:r>
        <w:t xml:space="preserve"> population increase in the 19-year-old </w:t>
      </w:r>
      <w:proofErr w:type="spellStart"/>
      <w:r>
        <w:t>cohort</w:t>
      </w:r>
      <w:proofErr w:type="spellEnd"/>
      <w:r>
        <w:t xml:space="preserve"> between 2018 and 2030 should come mainly in the Bratislava </w:t>
      </w:r>
      <w:proofErr w:type="spellStart"/>
      <w:r>
        <w:t>region</w:t>
      </w:r>
      <w:proofErr w:type="spellEnd"/>
      <w:r>
        <w:t xml:space="preserve"> (up to 84 %) and then in Trnava </w:t>
      </w:r>
      <w:proofErr w:type="spellStart"/>
      <w:r>
        <w:t>region</w:t>
      </w:r>
      <w:proofErr w:type="spellEnd"/>
      <w:r>
        <w:t xml:space="preserve"> (by 17 %), while the other four </w:t>
      </w:r>
      <w:proofErr w:type="spellStart"/>
      <w:r>
        <w:t>regions</w:t>
      </w:r>
      <w:proofErr w:type="spellEnd"/>
      <w:r>
        <w:t xml:space="preserve"> of Slovakia will </w:t>
      </w:r>
      <w:proofErr w:type="spellStart"/>
      <w:r>
        <w:t>retain</w:t>
      </w:r>
      <w:proofErr w:type="spellEnd"/>
      <w:r>
        <w:t xml:space="preserve"> </w:t>
      </w:r>
      <w:proofErr w:type="spellStart"/>
      <w:r>
        <w:t>approximately</w:t>
      </w:r>
      <w:proofErr w:type="spellEnd"/>
      <w:r>
        <w:t xml:space="preserve"> the same number (TN + 7 %, NR + 2 %, ZA 0 %, KE 0 %) and in two cases the </w:t>
      </w:r>
      <w:proofErr w:type="spellStart"/>
      <w:r>
        <w:t>cohort</w:t>
      </w:r>
      <w:proofErr w:type="spellEnd"/>
      <w:r>
        <w:t xml:space="preserve"> will even decrease (PO -2 %, BB -4 %).</w:t>
      </w:r>
    </w:p>
    <w:p w14:paraId="4F7FA6D8" w14:textId="77777777" w:rsidR="009F049C" w:rsidRDefault="00DD745D">
      <w:pPr>
        <w:pStyle w:val="Heading110"/>
        <w:keepNext/>
        <w:keepLines/>
        <w:numPr>
          <w:ilvl w:val="0"/>
          <w:numId w:val="8"/>
        </w:numPr>
        <w:jc w:val="both"/>
      </w:pPr>
      <w:bookmarkStart w:id="33" w:name="bookmark41"/>
      <w:bookmarkStart w:id="34" w:name="bookmark39"/>
      <w:bookmarkStart w:id="35" w:name="bookmark42"/>
      <w:bookmarkStart w:id="36" w:name="bookmark38"/>
      <w:bookmarkStart w:id="37" w:name="_Toc97734026"/>
      <w:bookmarkStart w:id="38" w:name="_Toc97734045"/>
      <w:bookmarkEnd w:id="33"/>
      <w:r>
        <w:t>B. Developing the number of students (1989-2020)</w:t>
      </w:r>
      <w:bookmarkEnd w:id="34"/>
      <w:bookmarkEnd w:id="35"/>
      <w:bookmarkEnd w:id="36"/>
      <w:bookmarkEnd w:id="37"/>
      <w:bookmarkEnd w:id="38"/>
    </w:p>
    <w:p w14:paraId="4F7FA6D9" w14:textId="77777777" w:rsidR="009F049C" w:rsidRDefault="00DD745D">
      <w:pPr>
        <w:pStyle w:val="Bodytext10"/>
        <w:spacing w:after="440"/>
        <w:jc w:val="both"/>
      </w:pPr>
      <w:r>
        <w:t xml:space="preserve">Since the fall of </w:t>
      </w:r>
      <w:proofErr w:type="spellStart"/>
      <w:r>
        <w:t>communism</w:t>
      </w:r>
      <w:proofErr w:type="spellEnd"/>
      <w:r>
        <w:t xml:space="preserve">, the number of students gradually increased until 2008, when it reached its peak, when more than 230 </w:t>
      </w:r>
      <w:proofErr w:type="spellStart"/>
      <w:r>
        <w:t>thousand</w:t>
      </w:r>
      <w:proofErr w:type="spellEnd"/>
      <w:r>
        <w:t xml:space="preserve"> students studied in Slovakia (Figure 2). In addition to </w:t>
      </w:r>
      <w:proofErr w:type="spellStart"/>
      <w:r>
        <w:t>favourable</w:t>
      </w:r>
      <w:proofErr w:type="spellEnd"/>
      <w:r>
        <w:t xml:space="preserve"> </w:t>
      </w:r>
      <w:proofErr w:type="spellStart"/>
      <w:r>
        <w:t>demographic</w:t>
      </w:r>
      <w:proofErr w:type="spellEnd"/>
      <w:r>
        <w:t xml:space="preserve"> </w:t>
      </w:r>
      <w:proofErr w:type="spellStart"/>
      <w:r>
        <w:t>developments</w:t>
      </w:r>
      <w:proofErr w:type="spellEnd"/>
      <w:r>
        <w:t xml:space="preserve">, the increase was linked to the </w:t>
      </w:r>
      <w:proofErr w:type="spellStart"/>
      <w:r>
        <w:t>emergence</w:t>
      </w:r>
      <w:proofErr w:type="spellEnd"/>
      <w:r>
        <w:t xml:space="preserve"> and </w:t>
      </w:r>
      <w:proofErr w:type="spellStart"/>
      <w:r>
        <w:t>expansion</w:t>
      </w:r>
      <w:proofErr w:type="spellEnd"/>
      <w:r>
        <w:t xml:space="preserve"> of several public HEIs in the 1990s and early 21st </w:t>
      </w:r>
      <w:proofErr w:type="spellStart"/>
      <w:r>
        <w:t>century</w:t>
      </w:r>
      <w:proofErr w:type="spellEnd"/>
      <w:r>
        <w:t xml:space="preserve">. This was because Slovakia </w:t>
      </w:r>
      <w:proofErr w:type="spellStart"/>
      <w:r>
        <w:t>lagged</w:t>
      </w:r>
      <w:proofErr w:type="spellEnd"/>
      <w:r>
        <w:t xml:space="preserve"> significantly </w:t>
      </w:r>
      <w:proofErr w:type="spellStart"/>
      <w:r>
        <w:t>behind</w:t>
      </w:r>
      <w:proofErr w:type="spellEnd"/>
      <w:r>
        <w:t xml:space="preserve"> developed countries in the share of the HE population (in 1998 only 10.3 % of the active population </w:t>
      </w:r>
      <w:proofErr w:type="spellStart"/>
      <w:r>
        <w:t>aged</w:t>
      </w:r>
      <w:proofErr w:type="spellEnd"/>
      <w:r>
        <w:t xml:space="preserve"> 25 —</w:t>
      </w:r>
    </w:p>
    <w:p w14:paraId="4F7FA6DA" w14:textId="77777777" w:rsidR="009F049C" w:rsidRDefault="00DD745D">
      <w:pPr>
        <w:jc w:val="center"/>
        <w:rPr>
          <w:sz w:val="2"/>
        </w:rPr>
      </w:pPr>
      <w:r>
        <w:rPr>
          <w:noProof/>
        </w:rPr>
        <w:drawing>
          <wp:inline distT="0" distB="0" distL="0" distR="0" wp14:anchorId="4F7FA78C" wp14:editId="4F7FA78D">
            <wp:extent cx="5730240" cy="36334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pic:blipFill>
                  <pic:spPr>
                    <a:xfrm>
                      <a:off x="0" y="0"/>
                      <a:ext cx="5730240" cy="3633470"/>
                    </a:xfrm>
                    <a:prstGeom prst="rect">
                      <a:avLst/>
                    </a:prstGeom>
                  </pic:spPr>
                </pic:pic>
              </a:graphicData>
            </a:graphic>
          </wp:inline>
        </w:drawing>
      </w:r>
    </w:p>
    <w:p w14:paraId="4F7FA6DB" w14:textId="77777777" w:rsidR="009F049C" w:rsidRDefault="00DD745D">
      <w:pPr>
        <w:pStyle w:val="Picturecaption10"/>
        <w:sectPr w:rsidR="009F049C">
          <w:pgSz w:w="11900" w:h="16840"/>
          <w:pgMar w:top="692" w:right="1393" w:bottom="1052" w:left="1412" w:header="0" w:footer="3" w:gutter="0"/>
          <w:cols w:space="720"/>
          <w:noEndnote/>
          <w:docGrid w:linePitch="360"/>
          <w15:footnoteColumns w:val="1"/>
        </w:sectPr>
      </w:pPr>
      <w:bookmarkStart w:id="39" w:name="bookmark43"/>
      <w:r>
        <w:lastRenderedPageBreak/>
        <w:t>Figure 2. Development of the number of students in Slovak universities</w:t>
      </w:r>
      <w:bookmarkEnd w:id="39"/>
    </w:p>
    <w:p w14:paraId="4F7FA6DD" w14:textId="77777777" w:rsidR="009F049C" w:rsidRDefault="00DD745D">
      <w:pPr>
        <w:pStyle w:val="Bodytext20"/>
      </w:pPr>
      <w:r>
        <w:lastRenderedPageBreak/>
        <w:t>SLOVAK ACCREDITATION AGENCY FOR HIGHER EDUCATION</w:t>
      </w:r>
    </w:p>
    <w:p w14:paraId="4F7FA6DE" w14:textId="77777777" w:rsidR="009F049C" w:rsidRDefault="00DD745D">
      <w:pPr>
        <w:pStyle w:val="Bodytext10"/>
        <w:jc w:val="both"/>
      </w:pPr>
      <w:r>
        <w:t xml:space="preserve">64 had higher education, OECD </w:t>
      </w:r>
      <w:proofErr w:type="spellStart"/>
      <w:r>
        <w:t>average</w:t>
      </w:r>
      <w:proofErr w:type="spellEnd"/>
      <w:r>
        <w:t xml:space="preserve"> was 20 %, France 21 %, </w:t>
      </w:r>
      <w:proofErr w:type="spellStart"/>
      <w:r>
        <w:t>Germany</w:t>
      </w:r>
      <w:proofErr w:type="spellEnd"/>
      <w:r>
        <w:t xml:space="preserve"> 23 %, UK 24 % and the United States even 35 %</w:t>
      </w:r>
      <w:r>
        <w:footnoteReference w:id="6"/>
      </w:r>
      <w:r>
        <w:t>). Private schools were mainly established between 2002 and 2006, outside of this period the University of Management — City University in Trenčín (1999) and HUAJA in Banská Štiavnica (2011).</w:t>
      </w:r>
      <w:r>
        <w:footnoteReference w:id="7"/>
      </w:r>
      <w:r>
        <w:t xml:space="preserve"> Since the late 1990s, the development of HEIs has also been </w:t>
      </w:r>
      <w:proofErr w:type="spellStart"/>
      <w:r>
        <w:t>driven</w:t>
      </w:r>
      <w:proofErr w:type="spellEnd"/>
      <w:r>
        <w:t xml:space="preserve"> by a funding system that </w:t>
      </w:r>
      <w:proofErr w:type="spellStart"/>
      <w:r>
        <w:t>tied</w:t>
      </w:r>
      <w:proofErr w:type="spellEnd"/>
      <w:r>
        <w:t xml:space="preserve"> </w:t>
      </w:r>
      <w:proofErr w:type="spellStart"/>
      <w:r>
        <w:t>subsidies</w:t>
      </w:r>
      <w:proofErr w:type="spellEnd"/>
      <w:r>
        <w:t xml:space="preserve"> primarily to the number of students. At the same time, as a result of </w:t>
      </w:r>
      <w:proofErr w:type="spellStart"/>
      <w:r>
        <w:t>joining</w:t>
      </w:r>
      <w:proofErr w:type="spellEnd"/>
      <w:r>
        <w:t xml:space="preserve"> the EU, several professions have started to require higher education (e.g. for </w:t>
      </w:r>
      <w:proofErr w:type="spellStart"/>
      <w:r>
        <w:t>nurses</w:t>
      </w:r>
      <w:proofErr w:type="spellEnd"/>
      <w:r>
        <w:t xml:space="preserve">). Nevertheless, Slovakia has long been </w:t>
      </w:r>
      <w:proofErr w:type="spellStart"/>
      <w:r>
        <w:t>lagging</w:t>
      </w:r>
      <w:proofErr w:type="spellEnd"/>
      <w:r>
        <w:t xml:space="preserve"> </w:t>
      </w:r>
      <w:proofErr w:type="spellStart"/>
      <w:r>
        <w:t>behind</w:t>
      </w:r>
      <w:proofErr w:type="spellEnd"/>
      <w:r>
        <w:t xml:space="preserve"> from </w:t>
      </w:r>
      <w:proofErr w:type="spellStart"/>
      <w:r>
        <w:t>neighbouring</w:t>
      </w:r>
      <w:proofErr w:type="spellEnd"/>
      <w:r>
        <w:t xml:space="preserve"> European countries and the OECD </w:t>
      </w:r>
      <w:proofErr w:type="spellStart"/>
      <w:r>
        <w:t>average</w:t>
      </w:r>
      <w:proofErr w:type="spellEnd"/>
      <w:r>
        <w:t xml:space="preserve"> in the share of HE of educated and </w:t>
      </w:r>
      <w:proofErr w:type="spellStart"/>
      <w:r>
        <w:t>economically</w:t>
      </w:r>
      <w:proofErr w:type="spellEnd"/>
      <w:r>
        <w:t xml:space="preserve"> active population (Figure 12), </w:t>
      </w:r>
      <w:proofErr w:type="spellStart"/>
      <w:r>
        <w:t>although</w:t>
      </w:r>
      <w:proofErr w:type="spellEnd"/>
      <w:r>
        <w:t xml:space="preserve"> it has already reached the EU </w:t>
      </w:r>
      <w:proofErr w:type="spellStart"/>
      <w:r>
        <w:t>average</w:t>
      </w:r>
      <w:proofErr w:type="spellEnd"/>
      <w:r>
        <w:t xml:space="preserve"> for the </w:t>
      </w:r>
      <w:proofErr w:type="spellStart"/>
      <w:r>
        <w:t>younger</w:t>
      </w:r>
      <w:proofErr w:type="spellEnd"/>
      <w:r>
        <w:t xml:space="preserve"> </w:t>
      </w:r>
      <w:proofErr w:type="spellStart"/>
      <w:r>
        <w:t>generation</w:t>
      </w:r>
      <w:proofErr w:type="spellEnd"/>
      <w:r>
        <w:t xml:space="preserve"> (26-34 years) (Figure 13).</w:t>
      </w:r>
    </w:p>
    <w:p w14:paraId="4F7FA6DF" w14:textId="77777777" w:rsidR="009F049C" w:rsidRDefault="00DD745D">
      <w:pPr>
        <w:pStyle w:val="Bodytext10"/>
        <w:spacing w:line="257" w:lineRule="auto"/>
        <w:jc w:val="both"/>
      </w:pPr>
      <w:r>
        <w:t xml:space="preserve">The decline in the number of students has </w:t>
      </w:r>
      <w:proofErr w:type="spellStart"/>
      <w:r>
        <w:t>stabilised</w:t>
      </w:r>
      <w:proofErr w:type="spellEnd"/>
      <w:r>
        <w:t xml:space="preserve"> since 2017 and has reached </w:t>
      </w:r>
      <w:proofErr w:type="spellStart"/>
      <w:r>
        <w:t>approximately</w:t>
      </w:r>
      <w:proofErr w:type="spellEnd"/>
      <w:r>
        <w:t xml:space="preserve"> the 2000 level. There was even a </w:t>
      </w:r>
      <w:proofErr w:type="spellStart"/>
      <w:r>
        <w:t>slight</w:t>
      </w:r>
      <w:proofErr w:type="spellEnd"/>
      <w:r>
        <w:t xml:space="preserve"> increase in 2020 (2368 students) compared to 2019, </w:t>
      </w:r>
      <w:proofErr w:type="spellStart"/>
      <w:r>
        <w:t>possibly</w:t>
      </w:r>
      <w:proofErr w:type="spellEnd"/>
      <w:r>
        <w:t xml:space="preserve"> partly due to the COVID-19 pandemic, which could </w:t>
      </w:r>
      <w:proofErr w:type="spellStart"/>
      <w:r>
        <w:t>deter</w:t>
      </w:r>
      <w:proofErr w:type="spellEnd"/>
      <w:r>
        <w:t xml:space="preserve"> part of students from studying abroad. There has also been an increase in the population of foreign students, which increased by up to 1200 students compared to 2019. We do not have data to explain this increase and it is not clear what we can </w:t>
      </w:r>
      <w:proofErr w:type="spellStart"/>
      <w:r>
        <w:t>attribute</w:t>
      </w:r>
      <w:proofErr w:type="spellEnd"/>
      <w:r>
        <w:t xml:space="preserve"> to it.</w:t>
      </w:r>
    </w:p>
    <w:p w14:paraId="4F7FA6E0" w14:textId="77777777" w:rsidR="009F049C" w:rsidRDefault="00DD745D">
      <w:pPr>
        <w:pStyle w:val="Bodytext10"/>
        <w:spacing w:after="600"/>
        <w:jc w:val="both"/>
      </w:pPr>
      <w:r>
        <w:t xml:space="preserve">The </w:t>
      </w:r>
      <w:proofErr w:type="spellStart"/>
      <w:r>
        <w:t>figures</w:t>
      </w:r>
      <w:proofErr w:type="spellEnd"/>
      <w:r>
        <w:t xml:space="preserve"> in </w:t>
      </w:r>
      <w:proofErr w:type="spellStart"/>
      <w:r>
        <w:t>Figures</w:t>
      </w:r>
      <w:proofErr w:type="spellEnd"/>
      <w:r>
        <w:t xml:space="preserve"> 2 and 3 have some shortcomings which may partly </w:t>
      </w:r>
      <w:proofErr w:type="spellStart"/>
      <w:r>
        <w:t>distort</w:t>
      </w:r>
      <w:proofErr w:type="spellEnd"/>
      <w:r>
        <w:t xml:space="preserve"> </w:t>
      </w:r>
      <w:proofErr w:type="spellStart"/>
      <w:r>
        <w:t>developments</w:t>
      </w:r>
      <w:proofErr w:type="spellEnd"/>
      <w:r>
        <w:t xml:space="preserve">. As part of the implementation of the Bologna Process in 2002, Act No 131/2002 on higher education institutions Z. z., there was a mandatory </w:t>
      </w:r>
      <w:proofErr w:type="spellStart"/>
      <w:r>
        <w:t>division</w:t>
      </w:r>
      <w:proofErr w:type="spellEnd"/>
      <w:r>
        <w:t xml:space="preserve"> of studies to I. and II. degree, while only a </w:t>
      </w:r>
      <w:proofErr w:type="spellStart"/>
      <w:r>
        <w:t>few</w:t>
      </w:r>
      <w:proofErr w:type="spellEnd"/>
      <w:r>
        <w:t xml:space="preserve"> study programmes remained connected. In the following years (2003-2006), some students (as well as graduates) were </w:t>
      </w:r>
      <w:proofErr w:type="spellStart"/>
      <w:r>
        <w:t>counted</w:t>
      </w:r>
      <w:proofErr w:type="spellEnd"/>
      <w:r>
        <w:t xml:space="preserve"> </w:t>
      </w:r>
      <w:proofErr w:type="spellStart"/>
      <w:r>
        <w:t>twice</w:t>
      </w:r>
      <w:proofErr w:type="spellEnd"/>
      <w:r>
        <w:t xml:space="preserve">. Until 2004 we only have data available together for all programmes (together I and II degrees as well as combined studies), only doctoral programmes were </w:t>
      </w:r>
      <w:proofErr w:type="spellStart"/>
      <w:r>
        <w:t>excluded</w:t>
      </w:r>
      <w:proofErr w:type="spellEnd"/>
      <w:r>
        <w:t xml:space="preserve">. In 2005, students of the 1st degree were already mentioned </w:t>
      </w:r>
      <w:proofErr w:type="spellStart"/>
      <w:r>
        <w:t>separately</w:t>
      </w:r>
      <w:proofErr w:type="spellEnd"/>
      <w:r>
        <w:t xml:space="preserve">, the complete </w:t>
      </w:r>
      <w:proofErr w:type="spellStart"/>
      <w:r>
        <w:t>division</w:t>
      </w:r>
      <w:proofErr w:type="spellEnd"/>
      <w:r>
        <w:t xml:space="preserve"> into three degrees and the combined study in </w:t>
      </w:r>
      <w:proofErr w:type="spellStart"/>
      <w:r>
        <w:t>statistics</w:t>
      </w:r>
      <w:proofErr w:type="spellEnd"/>
      <w:r>
        <w:t xml:space="preserve"> only came in 2006.</w:t>
      </w:r>
    </w:p>
    <w:p w14:paraId="4F7FA6E1" w14:textId="77777777" w:rsidR="009F049C" w:rsidRDefault="00DD745D">
      <w:pPr>
        <w:pStyle w:val="Heading110"/>
        <w:keepNext/>
        <w:keepLines/>
        <w:numPr>
          <w:ilvl w:val="0"/>
          <w:numId w:val="9"/>
        </w:numPr>
        <w:jc w:val="both"/>
      </w:pPr>
      <w:bookmarkStart w:id="40" w:name="bookmark47"/>
      <w:bookmarkStart w:id="41" w:name="bookmark45"/>
      <w:bookmarkStart w:id="42" w:name="bookmark48"/>
      <w:bookmarkStart w:id="43" w:name="bookmark44"/>
      <w:bookmarkStart w:id="44" w:name="_Toc97734027"/>
      <w:bookmarkStart w:id="45" w:name="_Toc97734046"/>
      <w:bookmarkEnd w:id="40"/>
      <w:r>
        <w:t>C. Development in the number of graduates (1989-2019)</w:t>
      </w:r>
      <w:bookmarkEnd w:id="41"/>
      <w:bookmarkEnd w:id="42"/>
      <w:bookmarkEnd w:id="43"/>
      <w:bookmarkEnd w:id="44"/>
      <w:bookmarkEnd w:id="45"/>
    </w:p>
    <w:p w14:paraId="4F7FA6E2" w14:textId="77777777" w:rsidR="009F049C" w:rsidRDefault="00DD745D">
      <w:pPr>
        <w:pStyle w:val="Bodytext10"/>
        <w:jc w:val="both"/>
      </w:pPr>
      <w:r>
        <w:t xml:space="preserve">Graduate </w:t>
      </w:r>
      <w:proofErr w:type="spellStart"/>
      <w:r>
        <w:t>statistics</w:t>
      </w:r>
      <w:proofErr w:type="spellEnd"/>
      <w:r>
        <w:t xml:space="preserve"> are always </w:t>
      </w:r>
      <w:proofErr w:type="spellStart"/>
      <w:r>
        <w:t>updated</w:t>
      </w:r>
      <w:proofErr w:type="spellEnd"/>
      <w:r>
        <w:t xml:space="preserve"> towards the end of the </w:t>
      </w:r>
      <w:proofErr w:type="spellStart"/>
      <w:r>
        <w:t>calendar</w:t>
      </w:r>
      <w:proofErr w:type="spellEnd"/>
      <w:r>
        <w:t xml:space="preserve"> year, so </w:t>
      </w:r>
      <w:proofErr w:type="spellStart"/>
      <w:r>
        <w:t>statistics</w:t>
      </w:r>
      <w:proofErr w:type="spellEnd"/>
      <w:r>
        <w:t xml:space="preserve"> for 2020 were not yet available at the time of </w:t>
      </w:r>
      <w:proofErr w:type="spellStart"/>
      <w:r>
        <w:t>writing</w:t>
      </w:r>
      <w:proofErr w:type="spellEnd"/>
      <w:r>
        <w:t xml:space="preserve"> of this report (November 2021). In 2019, the number of graduates reached a similar level as in 2006 (Figure 3). More than 38 </w:t>
      </w:r>
      <w:proofErr w:type="spellStart"/>
      <w:r>
        <w:t>thousand</w:t>
      </w:r>
      <w:proofErr w:type="spellEnd"/>
      <w:r>
        <w:t xml:space="preserve"> students completed their studies in that year, of which the students of the second degree and the combined studies consisted of 18 525 graduates, students of the I. degree 17 379 and PhD students 1404. Compared to 2018, the decrease was mainly for bachelor graduates. We can expect the </w:t>
      </w:r>
      <w:proofErr w:type="spellStart"/>
      <w:r>
        <w:t>abundance</w:t>
      </w:r>
      <w:proofErr w:type="spellEnd"/>
      <w:r>
        <w:t xml:space="preserve"> of graduates to </w:t>
      </w:r>
      <w:proofErr w:type="spellStart"/>
      <w:r>
        <w:t>stabilise</w:t>
      </w:r>
      <w:proofErr w:type="spellEnd"/>
      <w:r>
        <w:t xml:space="preserve"> in 2020-2023, as the development of the number of graduates logically with a </w:t>
      </w:r>
      <w:proofErr w:type="spellStart"/>
      <w:r>
        <w:t>slight</w:t>
      </w:r>
      <w:proofErr w:type="spellEnd"/>
      <w:r>
        <w:t xml:space="preserve"> ‘delay’ </w:t>
      </w:r>
      <w:proofErr w:type="spellStart"/>
      <w:r>
        <w:t>replicates</w:t>
      </w:r>
      <w:proofErr w:type="spellEnd"/>
      <w:r>
        <w:t xml:space="preserve"> the development of the number of students.</w:t>
      </w:r>
    </w:p>
    <w:p w14:paraId="4F7FA6E3" w14:textId="77777777" w:rsidR="009F049C" w:rsidRDefault="00DD745D">
      <w:pPr>
        <w:pStyle w:val="Bodytext10"/>
        <w:jc w:val="both"/>
        <w:sectPr w:rsidR="009F049C">
          <w:pgSz w:w="11900" w:h="16840"/>
          <w:pgMar w:top="692" w:right="1402" w:bottom="1028" w:left="1402" w:header="0" w:footer="3" w:gutter="0"/>
          <w:cols w:space="720"/>
          <w:noEndnote/>
          <w:docGrid w:linePitch="360"/>
          <w15:footnoteColumns w:val="1"/>
        </w:sectPr>
      </w:pPr>
      <w:r>
        <w:t xml:space="preserve">In a time series, we can see that higher numbers of students as well as graduates in the second half of the first </w:t>
      </w:r>
      <w:proofErr w:type="spellStart"/>
      <w:r>
        <w:t>decade</w:t>
      </w:r>
      <w:proofErr w:type="spellEnd"/>
      <w:r>
        <w:t xml:space="preserve"> of the 21st </w:t>
      </w:r>
      <w:proofErr w:type="spellStart"/>
      <w:r>
        <w:t>century</w:t>
      </w:r>
      <w:proofErr w:type="spellEnd"/>
      <w:r>
        <w:t xml:space="preserve"> were mainly due to Bachelor students. It was their number that changed most during this period. Unfortunately, before 2004, we do not have data on the number of graduates in each degree due to a change in the structure of the study. It should be noted that the breakdown by </w:t>
      </w:r>
      <w:proofErr w:type="spellStart"/>
      <w:r>
        <w:t>grade</w:t>
      </w:r>
      <w:proofErr w:type="spellEnd"/>
      <w:r>
        <w:t xml:space="preserve"> does not always include all graduates, as state schools do not fall under the Ministry of Education</w:t>
      </w:r>
    </w:p>
    <w:p w14:paraId="4F7FA6E4" w14:textId="77777777" w:rsidR="009F049C" w:rsidRDefault="00DD745D">
      <w:pPr>
        <w:pStyle w:val="P68B1DB1-Style193"/>
        <w:framePr w:dropCap="drop" w:lines="2" w:hSpace="5" w:vSpace="5" w:wrap="auto" w:vAnchor="text" w:hAnchor="text"/>
        <w:spacing w:line="406" w:lineRule="exact"/>
      </w:pPr>
      <w:r>
        <w:lastRenderedPageBreak/>
        <w:t>NO</w:t>
      </w:r>
    </w:p>
    <w:p w14:paraId="4F7FA6E5" w14:textId="77777777" w:rsidR="009F049C" w:rsidRDefault="00DD745D">
      <w:pPr>
        <w:pStyle w:val="Bodytext20"/>
        <w:spacing w:after="380"/>
      </w:pPr>
      <w:r>
        <w:t>SLOVAK ACCREDITATION AGENCY FOR HIGHER EDUCATION</w:t>
      </w:r>
    </w:p>
    <w:p w14:paraId="4F7FA6E6" w14:textId="77777777" w:rsidR="009F049C" w:rsidRDefault="00DD745D">
      <w:pPr>
        <w:jc w:val="center"/>
        <w:rPr>
          <w:sz w:val="2"/>
        </w:rPr>
      </w:pPr>
      <w:r>
        <w:rPr>
          <w:noProof/>
        </w:rPr>
        <w:drawing>
          <wp:inline distT="0" distB="0" distL="0" distR="0" wp14:anchorId="4F7FA78E" wp14:editId="4F7FA78F">
            <wp:extent cx="5730240" cy="37553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pic:blipFill>
                  <pic:spPr>
                    <a:xfrm>
                      <a:off x="0" y="0"/>
                      <a:ext cx="5730240" cy="3755390"/>
                    </a:xfrm>
                    <a:prstGeom prst="rect">
                      <a:avLst/>
                    </a:prstGeom>
                  </pic:spPr>
                </pic:pic>
              </a:graphicData>
            </a:graphic>
          </wp:inline>
        </w:drawing>
      </w:r>
    </w:p>
    <w:p w14:paraId="4F7FA6E7" w14:textId="77777777" w:rsidR="009F049C" w:rsidRDefault="00DD745D">
      <w:pPr>
        <w:pStyle w:val="Picturecaption10"/>
      </w:pPr>
      <w:bookmarkStart w:id="46" w:name="bookmark49"/>
      <w:r>
        <w:t>Figure 3. Development of the number of graduates of Slovak universities</w:t>
      </w:r>
      <w:bookmarkEnd w:id="46"/>
    </w:p>
    <w:p w14:paraId="4F7FA6E8" w14:textId="77777777" w:rsidR="009F049C" w:rsidRDefault="009F049C">
      <w:pPr>
        <w:spacing w:after="159" w:line="1" w:lineRule="exact"/>
      </w:pPr>
    </w:p>
    <w:p w14:paraId="4F7FA6E9" w14:textId="77777777" w:rsidR="009F049C" w:rsidRDefault="00DD745D">
      <w:pPr>
        <w:pStyle w:val="Bodytext10"/>
        <w:spacing w:line="257" w:lineRule="auto"/>
        <w:jc w:val="both"/>
      </w:pPr>
      <w:r>
        <w:t xml:space="preserve">— in this case, </w:t>
      </w:r>
      <w:proofErr w:type="spellStart"/>
      <w:r>
        <w:t>statistics</w:t>
      </w:r>
      <w:proofErr w:type="spellEnd"/>
      <w:r>
        <w:t xml:space="preserve"> from the </w:t>
      </w:r>
      <w:proofErr w:type="spellStart"/>
      <w:r>
        <w:t>annual</w:t>
      </w:r>
      <w:proofErr w:type="spellEnd"/>
      <w:r>
        <w:t xml:space="preserve"> reports are combined, which include graduate numbers by </w:t>
      </w:r>
      <w:proofErr w:type="spellStart"/>
      <w:r>
        <w:t>grade</w:t>
      </w:r>
      <w:proofErr w:type="spellEnd"/>
      <w:r>
        <w:t>, but only for public and private higher education institutions. However, in the total number of graduates there are also graduates from state higher education institutions.</w:t>
      </w:r>
    </w:p>
    <w:p w14:paraId="4F7FA6EA" w14:textId="77777777" w:rsidR="009F049C" w:rsidRDefault="00DD745D">
      <w:pPr>
        <w:pStyle w:val="Heading110"/>
        <w:keepNext/>
        <w:keepLines/>
      </w:pPr>
      <w:bookmarkStart w:id="47" w:name="bookmark51"/>
      <w:bookmarkStart w:id="48" w:name="bookmark53"/>
      <w:bookmarkStart w:id="49" w:name="bookmark50"/>
      <w:bookmarkStart w:id="50" w:name="_Toc97734028"/>
      <w:bookmarkStart w:id="51" w:name="_Toc97734047"/>
      <w:proofErr w:type="spellStart"/>
      <w:r>
        <w:t>I.d</w:t>
      </w:r>
      <w:proofErr w:type="spellEnd"/>
      <w:r>
        <w:t>. Development in the number of students by group of disciplines (1990/2003-2019)</w:t>
      </w:r>
      <w:bookmarkEnd w:id="47"/>
      <w:bookmarkEnd w:id="48"/>
      <w:bookmarkEnd w:id="49"/>
      <w:bookmarkEnd w:id="50"/>
      <w:bookmarkEnd w:id="51"/>
    </w:p>
    <w:p w14:paraId="4F7FA6EB" w14:textId="77777777" w:rsidR="009F049C" w:rsidRDefault="00DD745D">
      <w:pPr>
        <w:pStyle w:val="Bodytext10"/>
        <w:jc w:val="both"/>
        <w:sectPr w:rsidR="009F049C">
          <w:pgSz w:w="11900" w:h="16840"/>
          <w:pgMar w:top="692" w:right="1397" w:bottom="1028" w:left="1407" w:header="0" w:footer="3" w:gutter="0"/>
          <w:cols w:space="720"/>
          <w:noEndnote/>
          <w:docGrid w:linePitch="360"/>
          <w15:footnoteColumns w:val="1"/>
        </w:sectPr>
      </w:pPr>
      <w:r>
        <w:t>The trend in the number of students by group of disciplines</w:t>
      </w:r>
      <w:r>
        <w:footnoteReference w:id="8"/>
      </w:r>
      <w:r>
        <w:t xml:space="preserve"> shows a number of significant trends over the last 18 (</w:t>
      </w:r>
      <w:proofErr w:type="spellStart"/>
      <w:r>
        <w:t>absolute</w:t>
      </w:r>
      <w:proofErr w:type="spellEnd"/>
      <w:r>
        <w:t xml:space="preserve"> numbers) and 31 years respectively (percentage).</w:t>
      </w:r>
      <w:r>
        <w:footnoteReference w:id="9"/>
      </w:r>
      <w:r>
        <w:t xml:space="preserve"> For I+II students, the number of students in social sciences, teaching and </w:t>
      </w:r>
      <w:proofErr w:type="spellStart"/>
      <w:r>
        <w:t>services</w:t>
      </w:r>
      <w:proofErr w:type="spellEnd"/>
      <w:r>
        <w:t xml:space="preserve"> </w:t>
      </w:r>
      <w:proofErr w:type="spellStart"/>
      <w:r>
        <w:t>culminating</w:t>
      </w:r>
      <w:proofErr w:type="spellEnd"/>
      <w:r>
        <w:t xml:space="preserve"> in 2009 (</w:t>
      </w:r>
      <w:proofErr w:type="spellStart"/>
      <w:r>
        <w:t>daily</w:t>
      </w:r>
      <w:proofErr w:type="spellEnd"/>
      <w:r>
        <w:t>) and 2008 (external) respectively, with a gradual decline to the current level (</w:t>
      </w:r>
      <w:proofErr w:type="spellStart"/>
      <w:r>
        <w:t>Figures</w:t>
      </w:r>
      <w:proofErr w:type="spellEnd"/>
      <w:r>
        <w:t xml:space="preserve"> 4.5). This development was more </w:t>
      </w:r>
      <w:proofErr w:type="spellStart"/>
      <w:r>
        <w:t>dramatic</w:t>
      </w:r>
      <w:proofErr w:type="spellEnd"/>
      <w:r>
        <w:t xml:space="preserve"> among external students, whose number almost </w:t>
      </w:r>
      <w:proofErr w:type="spellStart"/>
      <w:r>
        <w:t>doubled</w:t>
      </w:r>
      <w:proofErr w:type="spellEnd"/>
      <w:r>
        <w:t xml:space="preserve"> at some point in 2008 in the reporting period. However, it is highly </w:t>
      </w:r>
      <w:proofErr w:type="spellStart"/>
      <w:r>
        <w:t>likely</w:t>
      </w:r>
      <w:proofErr w:type="spellEnd"/>
      <w:r>
        <w:t xml:space="preserve"> that the increase in this group of disciplines was largely due to an increase in the number of students in teaching, teaching, economic and </w:t>
      </w:r>
      <w:proofErr w:type="spellStart"/>
      <w:r>
        <w:t>managerial</w:t>
      </w:r>
      <w:proofErr w:type="spellEnd"/>
      <w:r>
        <w:t xml:space="preserve"> disciplines or in social work — during the period under review, the offer of study in the fields mentioned above increased </w:t>
      </w:r>
      <w:proofErr w:type="spellStart"/>
      <w:r>
        <w:t>considerably</w:t>
      </w:r>
      <w:proofErr w:type="spellEnd"/>
      <w:r>
        <w:t xml:space="preserve"> (by the </w:t>
      </w:r>
      <w:proofErr w:type="spellStart"/>
      <w:r>
        <w:t>emergence</w:t>
      </w:r>
      <w:proofErr w:type="spellEnd"/>
      <w:r>
        <w:t xml:space="preserve"> of new programmes, faculties as well as higher education).</w:t>
      </w:r>
    </w:p>
    <w:p w14:paraId="4F7FA6ED" w14:textId="77777777" w:rsidR="009F049C" w:rsidRDefault="00DD745D">
      <w:pPr>
        <w:pStyle w:val="Bodytext20"/>
        <w:spacing w:after="380"/>
      </w:pPr>
      <w:r>
        <w:lastRenderedPageBreak/>
        <w:t>SLOVAK ACCREDITATION AGENCY FOR HIGHER EDUCATION</w:t>
      </w:r>
    </w:p>
    <w:p w14:paraId="4F7FA6EE" w14:textId="77777777" w:rsidR="009F049C" w:rsidRDefault="00DD745D">
      <w:pPr>
        <w:jc w:val="center"/>
        <w:rPr>
          <w:sz w:val="2"/>
        </w:rPr>
      </w:pPr>
      <w:r>
        <w:rPr>
          <w:noProof/>
        </w:rPr>
        <w:drawing>
          <wp:inline distT="0" distB="0" distL="0" distR="0" wp14:anchorId="4F7FA790" wp14:editId="4F7FA791">
            <wp:extent cx="5699760" cy="31210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pic:blipFill>
                  <pic:spPr>
                    <a:xfrm>
                      <a:off x="0" y="0"/>
                      <a:ext cx="5699760" cy="3121025"/>
                    </a:xfrm>
                    <a:prstGeom prst="rect">
                      <a:avLst/>
                    </a:prstGeom>
                  </pic:spPr>
                </pic:pic>
              </a:graphicData>
            </a:graphic>
          </wp:inline>
        </w:drawing>
      </w:r>
    </w:p>
    <w:p w14:paraId="4F7FA6EF" w14:textId="77777777" w:rsidR="009F049C" w:rsidRDefault="00DD745D">
      <w:pPr>
        <w:pStyle w:val="Picturecaption10"/>
      </w:pPr>
      <w:bookmarkStart w:id="52" w:name="bookmark54"/>
      <w:r>
        <w:t>Figure 4. Development of the number of full-time students of I + II level by groups of disciplines</w:t>
      </w:r>
      <w:bookmarkEnd w:id="52"/>
    </w:p>
    <w:p w14:paraId="4F7FA6F0" w14:textId="77777777" w:rsidR="009F049C" w:rsidRDefault="009F049C">
      <w:pPr>
        <w:spacing w:after="739" w:line="1" w:lineRule="exact"/>
      </w:pPr>
    </w:p>
    <w:p w14:paraId="4F7FA6F1" w14:textId="77777777" w:rsidR="009F049C" w:rsidRDefault="00DD745D">
      <w:pPr>
        <w:pStyle w:val="P68B1DB1-Style364"/>
        <w:ind w:left="965"/>
      </w:pPr>
      <w:r>
        <w:t xml:space="preserve">Figure 5. Number of </w:t>
      </w:r>
      <w:r>
        <w:rPr>
          <w:color w:val="201F1E"/>
        </w:rPr>
        <w:t xml:space="preserve">students </w:t>
      </w:r>
      <w:r>
        <w:t>(L</w:t>
      </w:r>
      <w:r>
        <w:rPr>
          <w:color w:val="201F1E"/>
        </w:rPr>
        <w:t xml:space="preserve">, II. and </w:t>
      </w:r>
      <w:proofErr w:type="spellStart"/>
      <w:r>
        <w:t>liaison</w:t>
      </w:r>
      <w:proofErr w:type="spellEnd"/>
      <w:r>
        <w:t xml:space="preserve">, </w:t>
      </w:r>
      <w:r>
        <w:rPr>
          <w:color w:val="201F1E"/>
        </w:rPr>
        <w:t xml:space="preserve">external) </w:t>
      </w:r>
      <w:r>
        <w:t xml:space="preserve">in </w:t>
      </w:r>
      <w:r>
        <w:rPr>
          <w:color w:val="201F1E"/>
        </w:rPr>
        <w:t xml:space="preserve">groups </w:t>
      </w:r>
      <w:r>
        <w:t>of disciplines 2003-2019 (CVTI)</w:t>
      </w:r>
    </w:p>
    <w:p w14:paraId="4F7FA6F2" w14:textId="77777777" w:rsidR="009F049C" w:rsidRDefault="00DD745D">
      <w:pPr>
        <w:jc w:val="center"/>
        <w:rPr>
          <w:sz w:val="2"/>
        </w:rPr>
      </w:pPr>
      <w:r>
        <w:rPr>
          <w:noProof/>
        </w:rPr>
        <w:drawing>
          <wp:inline distT="0" distB="0" distL="0" distR="0" wp14:anchorId="4F7FA792" wp14:editId="4F7FA793">
            <wp:extent cx="5693410" cy="280416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pic:blipFill>
                  <pic:spPr>
                    <a:xfrm>
                      <a:off x="0" y="0"/>
                      <a:ext cx="5693410" cy="2804160"/>
                    </a:xfrm>
                    <a:prstGeom prst="rect">
                      <a:avLst/>
                    </a:prstGeom>
                  </pic:spPr>
                </pic:pic>
              </a:graphicData>
            </a:graphic>
          </wp:inline>
        </w:drawing>
      </w:r>
    </w:p>
    <w:p w14:paraId="4F7FA6F3" w14:textId="77777777" w:rsidR="009F049C" w:rsidRDefault="009F049C">
      <w:pPr>
        <w:spacing w:after="179" w:line="1" w:lineRule="exact"/>
      </w:pPr>
    </w:p>
    <w:p w14:paraId="4F7FA6F4" w14:textId="77777777" w:rsidR="009F049C" w:rsidRDefault="00DD745D">
      <w:pPr>
        <w:pStyle w:val="P68B1DB1-Style145"/>
        <w:spacing w:after="180" w:line="240" w:lineRule="auto"/>
      </w:pPr>
      <w:bookmarkStart w:id="53" w:name="bookmark55"/>
      <w:r>
        <w:t>Figure 5. Evolution of the number of external students I. + II. degree by groups of disciplines</w:t>
      </w:r>
      <w:bookmarkEnd w:id="53"/>
    </w:p>
    <w:p w14:paraId="4F7FA6F5" w14:textId="77777777" w:rsidR="009F049C" w:rsidRDefault="00DD745D">
      <w:pPr>
        <w:pStyle w:val="Bodytext10"/>
        <w:spacing w:after="280" w:line="257" w:lineRule="auto"/>
        <w:jc w:val="both"/>
        <w:sectPr w:rsidR="009F049C">
          <w:pgSz w:w="11900" w:h="16840"/>
          <w:pgMar w:top="692" w:right="1417" w:bottom="1028" w:left="1407" w:header="0" w:footer="3" w:gutter="0"/>
          <w:cols w:space="720"/>
          <w:noEndnote/>
          <w:docGrid w:linePitch="360"/>
          <w15:footnoteColumns w:val="1"/>
        </w:sectPr>
      </w:pPr>
      <w:r>
        <w:t xml:space="preserve">However, looking at </w:t>
      </w:r>
      <w:proofErr w:type="spellStart"/>
      <w:r>
        <w:t>Figures</w:t>
      </w:r>
      <w:proofErr w:type="spellEnd"/>
      <w:r>
        <w:t xml:space="preserve"> 6 and 7, it can be seen that this increase was not at the </w:t>
      </w:r>
      <w:proofErr w:type="spellStart"/>
      <w:r>
        <w:t>expense</w:t>
      </w:r>
      <w:proofErr w:type="spellEnd"/>
      <w:r>
        <w:t xml:space="preserve"> of other groups of disciplines over the period under review, as the proportion of students in social sciences, teaching and </w:t>
      </w:r>
      <w:proofErr w:type="spellStart"/>
      <w:r>
        <w:t>services</w:t>
      </w:r>
      <w:proofErr w:type="spellEnd"/>
      <w:r>
        <w:t xml:space="preserve"> has remained at around 50 % (</w:t>
      </w:r>
      <w:proofErr w:type="spellStart"/>
      <w:r>
        <w:t>daily</w:t>
      </w:r>
      <w:proofErr w:type="spellEnd"/>
      <w:r>
        <w:t xml:space="preserve">) and around 70 % (external) of the total number of university students since the </w:t>
      </w:r>
      <w:proofErr w:type="spellStart"/>
      <w:r>
        <w:t>middle</w:t>
      </w:r>
      <w:proofErr w:type="spellEnd"/>
      <w:r>
        <w:t xml:space="preserve"> of the first </w:t>
      </w:r>
      <w:proofErr w:type="spellStart"/>
      <w:r>
        <w:t>decade</w:t>
      </w:r>
      <w:proofErr w:type="spellEnd"/>
      <w:r>
        <w:t xml:space="preserve"> of the 21st </w:t>
      </w:r>
      <w:proofErr w:type="spellStart"/>
      <w:r>
        <w:t>century</w:t>
      </w:r>
      <w:proofErr w:type="spellEnd"/>
      <w:r>
        <w:t>.</w:t>
      </w:r>
    </w:p>
    <w:p w14:paraId="4F7FA6F7" w14:textId="77777777" w:rsidR="009F049C" w:rsidRDefault="00DD745D">
      <w:pPr>
        <w:pStyle w:val="Bodytext20"/>
        <w:spacing w:after="380"/>
      </w:pPr>
      <w:r>
        <w:lastRenderedPageBreak/>
        <w:t>SLOVAK ACCREDITATION AGENCY FOR HIGHER EDUCATION</w:t>
      </w:r>
    </w:p>
    <w:p w14:paraId="4F7FA6F8" w14:textId="77777777" w:rsidR="009F049C" w:rsidRDefault="00DD745D">
      <w:pPr>
        <w:jc w:val="center"/>
        <w:rPr>
          <w:sz w:val="2"/>
        </w:rPr>
      </w:pPr>
      <w:r>
        <w:rPr>
          <w:noProof/>
        </w:rPr>
        <w:drawing>
          <wp:inline distT="0" distB="0" distL="0" distR="0" wp14:anchorId="4F7FA794" wp14:editId="4F7FA795">
            <wp:extent cx="5687695" cy="34378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pic:blipFill>
                  <pic:spPr>
                    <a:xfrm>
                      <a:off x="0" y="0"/>
                      <a:ext cx="5687695" cy="3437890"/>
                    </a:xfrm>
                    <a:prstGeom prst="rect">
                      <a:avLst/>
                    </a:prstGeom>
                  </pic:spPr>
                </pic:pic>
              </a:graphicData>
            </a:graphic>
          </wp:inline>
        </w:drawing>
      </w:r>
    </w:p>
    <w:p w14:paraId="4F7FA6F9" w14:textId="77777777" w:rsidR="009F049C" w:rsidRDefault="00DD745D">
      <w:pPr>
        <w:pStyle w:val="Picturecaption10"/>
      </w:pPr>
      <w:bookmarkStart w:id="54" w:name="bookmark56"/>
      <w:r>
        <w:t>Figure 6. Evolution of the percentage of full-time students of I + II level by groups of disciplines</w:t>
      </w:r>
      <w:r>
        <w:rPr>
          <w:vertAlign w:val="superscript"/>
        </w:rPr>
        <w:t>10</w:t>
      </w:r>
      <w:bookmarkEnd w:id="54"/>
    </w:p>
    <w:p w14:paraId="4F7FA6FA" w14:textId="77777777" w:rsidR="009F049C" w:rsidRDefault="009F049C">
      <w:pPr>
        <w:spacing w:after="159" w:line="1" w:lineRule="exact"/>
      </w:pPr>
    </w:p>
    <w:p w14:paraId="4F7FA6FB" w14:textId="77777777" w:rsidR="009F049C" w:rsidRDefault="00DD745D">
      <w:pPr>
        <w:pStyle w:val="Bodytext10"/>
        <w:spacing w:after="300" w:line="257" w:lineRule="auto"/>
      </w:pPr>
      <w:r>
        <w:t xml:space="preserve">However, a </w:t>
      </w:r>
      <w:proofErr w:type="spellStart"/>
      <w:r>
        <w:t>deeper</w:t>
      </w:r>
      <w:proofErr w:type="spellEnd"/>
      <w:r>
        <w:t xml:space="preserve"> look into the </w:t>
      </w:r>
      <w:proofErr w:type="spellStart"/>
      <w:r>
        <w:t>past</w:t>
      </w:r>
      <w:proofErr w:type="spellEnd"/>
      <w:r>
        <w:t xml:space="preserve"> </w:t>
      </w:r>
      <w:proofErr w:type="spellStart"/>
      <w:r>
        <w:t>reveals</w:t>
      </w:r>
      <w:proofErr w:type="spellEnd"/>
      <w:r>
        <w:t xml:space="preserve"> that their share grew the most in the 1990s. Between 1990 and 1999, the proportion of these students increased by 10 percentage points (Figure 6) in full-time studies and by more than 20 percentage points (Figure 7) in external studies. In 1992, this group of trade </w:t>
      </w:r>
      <w:proofErr w:type="spellStart"/>
      <w:r>
        <w:t>unions</w:t>
      </w:r>
      <w:proofErr w:type="spellEnd"/>
      <w:r>
        <w:t xml:space="preserve"> at the first</w:t>
      </w:r>
    </w:p>
    <w:p w14:paraId="4F7FA6FC" w14:textId="77777777" w:rsidR="009F049C" w:rsidRDefault="00DD745D">
      <w:pPr>
        <w:jc w:val="center"/>
        <w:rPr>
          <w:sz w:val="2"/>
        </w:rPr>
      </w:pPr>
      <w:r>
        <w:rPr>
          <w:noProof/>
        </w:rPr>
        <w:drawing>
          <wp:inline distT="0" distB="0" distL="0" distR="0" wp14:anchorId="4F7FA796" wp14:editId="4F7FA797">
            <wp:extent cx="5675630" cy="33159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pic:blipFill>
                  <pic:spPr>
                    <a:xfrm>
                      <a:off x="0" y="0"/>
                      <a:ext cx="5675630" cy="3315970"/>
                    </a:xfrm>
                    <a:prstGeom prst="rect">
                      <a:avLst/>
                    </a:prstGeom>
                  </pic:spPr>
                </pic:pic>
              </a:graphicData>
            </a:graphic>
          </wp:inline>
        </w:drawing>
      </w:r>
    </w:p>
    <w:p w14:paraId="4F7FA6FD" w14:textId="77777777" w:rsidR="009F049C" w:rsidRDefault="00DD745D">
      <w:pPr>
        <w:pStyle w:val="Picturecaption10"/>
      </w:pPr>
      <w:bookmarkStart w:id="55" w:name="bookmark57"/>
      <w:r>
        <w:t>Figure 7. Development of % share of external students I+II by groups of disciplines</w:t>
      </w:r>
      <w:r>
        <w:rPr>
          <w:vertAlign w:val="superscript"/>
        </w:rPr>
        <w:t>11</w:t>
      </w:r>
      <w:bookmarkEnd w:id="55"/>
    </w:p>
    <w:p w14:paraId="4F7FA6FE" w14:textId="77777777" w:rsidR="009F049C" w:rsidRDefault="009F049C">
      <w:pPr>
        <w:spacing w:after="479" w:line="1" w:lineRule="exact"/>
      </w:pPr>
    </w:p>
    <w:p w14:paraId="4F7FA6FF" w14:textId="77777777" w:rsidR="009F049C" w:rsidRDefault="00DD745D">
      <w:pPr>
        <w:pStyle w:val="P68B1DB1-Style146"/>
        <w:numPr>
          <w:ilvl w:val="0"/>
          <w:numId w:val="10"/>
        </w:numPr>
        <w:tabs>
          <w:tab w:val="left" w:pos="307"/>
        </w:tabs>
        <w:spacing w:after="0" w:line="240" w:lineRule="auto"/>
      </w:pPr>
      <w:bookmarkStart w:id="56" w:name="bookmark58"/>
      <w:bookmarkEnd w:id="56"/>
      <w:r>
        <w:t>For the period 1999-2003, the required data were not available.</w:t>
      </w:r>
    </w:p>
    <w:p w14:paraId="4F7FA700" w14:textId="77777777" w:rsidR="009F049C" w:rsidRDefault="00DD745D">
      <w:pPr>
        <w:pStyle w:val="P68B1DB1-Style146"/>
        <w:numPr>
          <w:ilvl w:val="0"/>
          <w:numId w:val="10"/>
        </w:numPr>
        <w:tabs>
          <w:tab w:val="left" w:pos="307"/>
        </w:tabs>
        <w:spacing w:after="340" w:line="240" w:lineRule="auto"/>
        <w:sectPr w:rsidR="009F049C">
          <w:pgSz w:w="11900" w:h="16840"/>
          <w:pgMar w:top="692" w:right="1417" w:bottom="1028" w:left="1407" w:header="0" w:footer="3" w:gutter="0"/>
          <w:cols w:space="720"/>
          <w:noEndnote/>
          <w:docGrid w:linePitch="360"/>
          <w15:footnoteColumns w:val="1"/>
        </w:sectPr>
      </w:pPr>
      <w:bookmarkStart w:id="57" w:name="bookmark59"/>
      <w:bookmarkEnd w:id="57"/>
      <w:r>
        <w:t>For the period 1999-2003, the required data were not available</w:t>
      </w:r>
    </w:p>
    <w:p w14:paraId="4F7FA702" w14:textId="77777777" w:rsidR="009F049C" w:rsidRDefault="00DD745D">
      <w:pPr>
        <w:pStyle w:val="Bodytext20"/>
      </w:pPr>
      <w:r>
        <w:lastRenderedPageBreak/>
        <w:t>SLOVAK ACCREDITATION AGENCY FOR HIGHER EDUCATION</w:t>
      </w:r>
    </w:p>
    <w:p w14:paraId="4F7FA703" w14:textId="77777777" w:rsidR="009F049C" w:rsidRDefault="00DD745D">
      <w:pPr>
        <w:pStyle w:val="Bodytext10"/>
        <w:jc w:val="both"/>
      </w:pPr>
      <w:r>
        <w:t xml:space="preserve">the site was </w:t>
      </w:r>
      <w:proofErr w:type="spellStart"/>
      <w:r>
        <w:t>replaced</w:t>
      </w:r>
      <w:proofErr w:type="spellEnd"/>
      <w:r>
        <w:t xml:space="preserve"> by technical sciences and </w:t>
      </w:r>
      <w:proofErr w:type="spellStart"/>
      <w:r>
        <w:t>doctrines</w:t>
      </w:r>
      <w:proofErr w:type="spellEnd"/>
      <w:r>
        <w:t xml:space="preserve"> that </w:t>
      </w:r>
      <w:proofErr w:type="spellStart"/>
      <w:r>
        <w:t>previously</w:t>
      </w:r>
      <w:proofErr w:type="spellEnd"/>
      <w:r>
        <w:t xml:space="preserve"> </w:t>
      </w:r>
      <w:proofErr w:type="spellStart"/>
      <w:r>
        <w:t>dominated</w:t>
      </w:r>
      <w:proofErr w:type="spellEnd"/>
      <w:r>
        <w:footnoteReference w:id="10"/>
      </w:r>
      <w:r>
        <w:t xml:space="preserve">. It is </w:t>
      </w:r>
      <w:proofErr w:type="spellStart"/>
      <w:r>
        <w:t>worth</w:t>
      </w:r>
      <w:proofErr w:type="spellEnd"/>
      <w:r>
        <w:t xml:space="preserve"> </w:t>
      </w:r>
      <w:proofErr w:type="spellStart"/>
      <w:r>
        <w:t>noting</w:t>
      </w:r>
      <w:proofErr w:type="spellEnd"/>
      <w:r>
        <w:t xml:space="preserve"> the long-term </w:t>
      </w:r>
      <w:proofErr w:type="spellStart"/>
      <w:r>
        <w:t>growth</w:t>
      </w:r>
      <w:proofErr w:type="spellEnd"/>
      <w:r>
        <w:t xml:space="preserve"> of the health sector group, in which the number of </w:t>
      </w:r>
      <w:proofErr w:type="spellStart"/>
      <w:r>
        <w:t>daily</w:t>
      </w:r>
      <w:proofErr w:type="spellEnd"/>
      <w:r>
        <w:t xml:space="preserve"> students over the period 2003-2019 (Figure 6) has more than </w:t>
      </w:r>
      <w:proofErr w:type="spellStart"/>
      <w:r>
        <w:t>doubled</w:t>
      </w:r>
      <w:proofErr w:type="spellEnd"/>
      <w:r>
        <w:t xml:space="preserve">, with the share of study subjects </w:t>
      </w:r>
      <w:proofErr w:type="spellStart"/>
      <w:r>
        <w:t>rising</w:t>
      </w:r>
      <w:proofErr w:type="spellEnd"/>
      <w:r>
        <w:t xml:space="preserve"> to almost 15 % (</w:t>
      </w:r>
      <w:proofErr w:type="spellStart"/>
      <w:r>
        <w:t>daily</w:t>
      </w:r>
      <w:proofErr w:type="spellEnd"/>
      <w:r>
        <w:t xml:space="preserve"> students) and close to 16 % (external students). In this case, the development of the </w:t>
      </w:r>
      <w:proofErr w:type="spellStart"/>
      <w:r>
        <w:t>Nursing</w:t>
      </w:r>
      <w:proofErr w:type="spellEnd"/>
      <w:r>
        <w:t xml:space="preserve"> Department as well as the </w:t>
      </w:r>
      <w:proofErr w:type="spellStart"/>
      <w:r>
        <w:t>growing</w:t>
      </w:r>
      <w:proofErr w:type="spellEnd"/>
      <w:r>
        <w:t xml:space="preserve"> popularity of medical disciplines among foreign students (Figure 19), e.g. from </w:t>
      </w:r>
      <w:proofErr w:type="spellStart"/>
      <w:r>
        <w:t>Greece</w:t>
      </w:r>
      <w:proofErr w:type="spellEnd"/>
      <w:r>
        <w:t xml:space="preserve"> or </w:t>
      </w:r>
      <w:proofErr w:type="spellStart"/>
      <w:r>
        <w:t>Norway</w:t>
      </w:r>
      <w:proofErr w:type="spellEnd"/>
      <w:r>
        <w:t xml:space="preserve">, </w:t>
      </w:r>
      <w:proofErr w:type="spellStart"/>
      <w:r>
        <w:t>probably</w:t>
      </w:r>
      <w:proofErr w:type="spellEnd"/>
      <w:r>
        <w:t xml:space="preserve"> </w:t>
      </w:r>
      <w:proofErr w:type="spellStart"/>
      <w:r>
        <w:t>contributed</w:t>
      </w:r>
      <w:proofErr w:type="spellEnd"/>
      <w:r>
        <w:t xml:space="preserve"> to the development described above.</w:t>
      </w:r>
    </w:p>
    <w:p w14:paraId="4F7FA704" w14:textId="77777777" w:rsidR="009F049C" w:rsidRDefault="00DD745D">
      <w:pPr>
        <w:pStyle w:val="Bodytext10"/>
        <w:jc w:val="both"/>
      </w:pPr>
      <w:r>
        <w:t xml:space="preserve">The </w:t>
      </w:r>
      <w:proofErr w:type="spellStart"/>
      <w:r>
        <w:t>evolution</w:t>
      </w:r>
      <w:proofErr w:type="spellEnd"/>
      <w:r>
        <w:t xml:space="preserve"> between the groups of disciplines in </w:t>
      </w:r>
      <w:proofErr w:type="spellStart"/>
      <w:r>
        <w:t>grade</w:t>
      </w:r>
      <w:proofErr w:type="spellEnd"/>
      <w:r>
        <w:t xml:space="preserve"> III students </w:t>
      </w:r>
      <w:proofErr w:type="spellStart"/>
      <w:r>
        <w:t>reflects</w:t>
      </w:r>
      <w:proofErr w:type="spellEnd"/>
      <w:r>
        <w:t xml:space="preserve"> the situation described above only to a certain extent, with its specificities. Overall, it can be assessed that while external doctoral candidates tended to decline gradually over the reporting period (Figure 9), the number of full-time doctoral candidates first increased and then </w:t>
      </w:r>
      <w:proofErr w:type="spellStart"/>
      <w:r>
        <w:t>declined</w:t>
      </w:r>
      <w:proofErr w:type="spellEnd"/>
      <w:r>
        <w:t xml:space="preserve"> above or to their 2003 </w:t>
      </w:r>
      <w:proofErr w:type="spellStart"/>
      <w:r>
        <w:t>baseline</w:t>
      </w:r>
      <w:proofErr w:type="spellEnd"/>
      <w:r>
        <w:t xml:space="preserve"> level </w:t>
      </w:r>
      <w:proofErr w:type="spellStart"/>
      <w:r>
        <w:t>across</w:t>
      </w:r>
      <w:proofErr w:type="spellEnd"/>
      <w:r>
        <w:t xml:space="preserve"> groups of disciplines (Figure 8). One of the </w:t>
      </w:r>
      <w:proofErr w:type="spellStart"/>
      <w:r>
        <w:t>likely</w:t>
      </w:r>
      <w:proofErr w:type="spellEnd"/>
      <w:r>
        <w:t xml:space="preserve"> </w:t>
      </w:r>
      <w:proofErr w:type="spellStart"/>
      <w:r>
        <w:t>causes</w:t>
      </w:r>
      <w:proofErr w:type="spellEnd"/>
      <w:r>
        <w:t xml:space="preserve"> of such development was the financing of universities, since it was originally also linked to the number of PhD students. It was only </w:t>
      </w:r>
      <w:proofErr w:type="spellStart"/>
      <w:r>
        <w:t>later</w:t>
      </w:r>
      <w:proofErr w:type="spellEnd"/>
      <w:r>
        <w:t xml:space="preserve"> that the </w:t>
      </w:r>
      <w:proofErr w:type="spellStart"/>
      <w:r>
        <w:t>money</w:t>
      </w:r>
      <w:proofErr w:type="spellEnd"/>
      <w:r>
        <w:t xml:space="preserve"> for PhD studies became part of the </w:t>
      </w:r>
      <w:proofErr w:type="spellStart"/>
      <w:r>
        <w:t>science</w:t>
      </w:r>
      <w:proofErr w:type="spellEnd"/>
      <w:r>
        <w:t xml:space="preserve"> </w:t>
      </w:r>
      <w:proofErr w:type="spellStart"/>
      <w:r>
        <w:t>package</w:t>
      </w:r>
      <w:proofErr w:type="spellEnd"/>
      <w:r>
        <w:t>.</w:t>
      </w:r>
    </w:p>
    <w:p w14:paraId="4F7FA705" w14:textId="77777777" w:rsidR="009F049C" w:rsidRDefault="00DD745D">
      <w:pPr>
        <w:pStyle w:val="Bodytext10"/>
        <w:spacing w:after="260"/>
        <w:jc w:val="both"/>
      </w:pPr>
      <w:r>
        <w:t xml:space="preserve">Social sciences, </w:t>
      </w:r>
      <w:proofErr w:type="spellStart"/>
      <w:r>
        <w:t>teachings</w:t>
      </w:r>
      <w:proofErr w:type="spellEnd"/>
      <w:r>
        <w:t xml:space="preserve"> and </w:t>
      </w:r>
      <w:proofErr w:type="spellStart"/>
      <w:r>
        <w:t>services</w:t>
      </w:r>
      <w:proofErr w:type="spellEnd"/>
      <w:r>
        <w:t xml:space="preserve"> are more </w:t>
      </w:r>
      <w:proofErr w:type="spellStart"/>
      <w:r>
        <w:t>prominently</w:t>
      </w:r>
      <w:proofErr w:type="spellEnd"/>
      <w:r>
        <w:t xml:space="preserve"> </w:t>
      </w:r>
      <w:proofErr w:type="spellStart"/>
      <w:r>
        <w:t>dominated</w:t>
      </w:r>
      <w:proofErr w:type="spellEnd"/>
      <w:r>
        <w:t xml:space="preserve"> by external students (Figure 9), where they hold relatively clear leadership for a long time (</w:t>
      </w:r>
      <w:proofErr w:type="spellStart"/>
      <w:r>
        <w:t>although</w:t>
      </w:r>
      <w:proofErr w:type="spellEnd"/>
      <w:r>
        <w:t xml:space="preserve"> this trend has gradually </w:t>
      </w:r>
      <w:proofErr w:type="spellStart"/>
      <w:r>
        <w:t>weakened</w:t>
      </w:r>
      <w:proofErr w:type="spellEnd"/>
      <w:r>
        <w:t xml:space="preserve"> in recent years — their most significant advance in 2008 was about three times that of today). On the </w:t>
      </w:r>
      <w:proofErr w:type="spellStart"/>
      <w:r>
        <w:t>contrary</w:t>
      </w:r>
      <w:proofErr w:type="spellEnd"/>
      <w:r>
        <w:t xml:space="preserve">, external doctoral students of the health sector group recorded a more significant increase as the only ones in the last survey year (2019), but it is </w:t>
      </w:r>
      <w:proofErr w:type="spellStart"/>
      <w:r>
        <w:t>questionable</w:t>
      </w:r>
      <w:proofErr w:type="spellEnd"/>
      <w:r>
        <w:t xml:space="preserve"> whether this is a new trend or just a </w:t>
      </w:r>
      <w:proofErr w:type="spellStart"/>
      <w:r>
        <w:t>return</w:t>
      </w:r>
      <w:proofErr w:type="spellEnd"/>
      <w:r>
        <w:t xml:space="preserve"> to status before 2018.</w:t>
      </w:r>
    </w:p>
    <w:p w14:paraId="4F7FA706" w14:textId="77777777" w:rsidR="009F049C" w:rsidRDefault="00DD745D">
      <w:pPr>
        <w:pStyle w:val="P68B1DB1-Style364"/>
        <w:ind w:left="1109"/>
      </w:pPr>
      <w:r>
        <w:rPr>
          <w:color w:val="201F1E"/>
        </w:rPr>
        <w:t xml:space="preserve">Figure </w:t>
      </w:r>
      <w:r>
        <w:t xml:space="preserve">8. Number of students </w:t>
      </w:r>
      <w:r>
        <w:rPr>
          <w:color w:val="201F1E"/>
        </w:rPr>
        <w:t>(</w:t>
      </w:r>
      <w:proofErr w:type="spellStart"/>
      <w:r>
        <w:rPr>
          <w:color w:val="201F1E"/>
        </w:rPr>
        <w:t>IIIth</w:t>
      </w:r>
      <w:proofErr w:type="spellEnd"/>
      <w:r>
        <w:rPr>
          <w:color w:val="201F1E"/>
        </w:rPr>
        <w:t xml:space="preserve"> degree</w:t>
      </w:r>
      <w:r>
        <w:t xml:space="preserve">, full- </w:t>
      </w:r>
      <w:r>
        <w:rPr>
          <w:color w:val="201F1E"/>
        </w:rPr>
        <w:t xml:space="preserve">time) in </w:t>
      </w:r>
      <w:r>
        <w:t xml:space="preserve">groups of </w:t>
      </w:r>
      <w:r>
        <w:rPr>
          <w:color w:val="201F1E"/>
        </w:rPr>
        <w:t xml:space="preserve">disciplines </w:t>
      </w:r>
      <w:r>
        <w:t>2003-2019 (CVTI)</w:t>
      </w:r>
    </w:p>
    <w:p w14:paraId="4F7FA707" w14:textId="77777777" w:rsidR="009F049C" w:rsidRDefault="00DD745D">
      <w:pPr>
        <w:jc w:val="center"/>
        <w:rPr>
          <w:sz w:val="2"/>
        </w:rPr>
      </w:pPr>
      <w:r>
        <w:rPr>
          <w:noProof/>
        </w:rPr>
        <w:drawing>
          <wp:inline distT="0" distB="0" distL="0" distR="0" wp14:anchorId="4F7FA798" wp14:editId="4F7FA799">
            <wp:extent cx="5662930" cy="26638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pic:blipFill>
                  <pic:spPr>
                    <a:xfrm>
                      <a:off x="0" y="0"/>
                      <a:ext cx="5662930" cy="2663825"/>
                    </a:xfrm>
                    <a:prstGeom prst="rect">
                      <a:avLst/>
                    </a:prstGeom>
                  </pic:spPr>
                </pic:pic>
              </a:graphicData>
            </a:graphic>
          </wp:inline>
        </w:drawing>
      </w:r>
    </w:p>
    <w:p w14:paraId="4F7FA708" w14:textId="77777777" w:rsidR="009F049C" w:rsidRDefault="00DD745D">
      <w:pPr>
        <w:pStyle w:val="Picturecaption10"/>
      </w:pPr>
      <w:bookmarkStart w:id="58" w:name="bookmark60"/>
      <w:r>
        <w:t xml:space="preserve">Figure 8. Evolution of the number of full-time students of </w:t>
      </w:r>
      <w:proofErr w:type="spellStart"/>
      <w:r>
        <w:t>grade</w:t>
      </w:r>
      <w:proofErr w:type="spellEnd"/>
      <w:r>
        <w:t xml:space="preserve"> III by groups of disciplines</w:t>
      </w:r>
      <w:bookmarkEnd w:id="58"/>
    </w:p>
    <w:p w14:paraId="4F7FA709" w14:textId="77777777" w:rsidR="009F049C" w:rsidRDefault="009F049C">
      <w:pPr>
        <w:spacing w:after="159" w:line="1" w:lineRule="exact"/>
      </w:pPr>
    </w:p>
    <w:p w14:paraId="4F7FA70A" w14:textId="77777777" w:rsidR="009F049C" w:rsidRDefault="00DD745D">
      <w:pPr>
        <w:pStyle w:val="Bodytext10"/>
        <w:spacing w:after="220" w:line="257" w:lineRule="auto"/>
        <w:jc w:val="both"/>
        <w:sectPr w:rsidR="009F049C">
          <w:footnotePr>
            <w:numStart w:val="3"/>
          </w:footnotePr>
          <w:pgSz w:w="11900" w:h="16840"/>
          <w:pgMar w:top="692" w:right="1407" w:bottom="1028" w:left="1407" w:header="0" w:footer="3" w:gutter="0"/>
          <w:cols w:space="720"/>
          <w:noEndnote/>
          <w:docGrid w:linePitch="360"/>
          <w15:footnoteColumns w:val="1"/>
        </w:sectPr>
      </w:pPr>
      <w:r>
        <w:t xml:space="preserve">For full-time students (Figure 8), the situation </w:t>
      </w:r>
      <w:proofErr w:type="spellStart"/>
      <w:r>
        <w:t>differs</w:t>
      </w:r>
      <w:proofErr w:type="spellEnd"/>
      <w:r>
        <w:t xml:space="preserve">, with three groups of disciplines — technical sciences and </w:t>
      </w:r>
      <w:proofErr w:type="spellStart"/>
      <w:r>
        <w:t>teachings</w:t>
      </w:r>
      <w:proofErr w:type="spellEnd"/>
      <w:r>
        <w:t xml:space="preserve">, social sciences, </w:t>
      </w:r>
      <w:proofErr w:type="spellStart"/>
      <w:r>
        <w:t>teachings</w:t>
      </w:r>
      <w:proofErr w:type="spellEnd"/>
      <w:r>
        <w:t xml:space="preserve"> and </w:t>
      </w:r>
      <w:proofErr w:type="spellStart"/>
      <w:r>
        <w:t>services</w:t>
      </w:r>
      <w:proofErr w:type="spellEnd"/>
      <w:r>
        <w:t xml:space="preserve"> and natural sciences more strongly </w:t>
      </w:r>
      <w:proofErr w:type="spellStart"/>
      <w:r>
        <w:t>dominated</w:t>
      </w:r>
      <w:proofErr w:type="spellEnd"/>
      <w:r>
        <w:t xml:space="preserve"> over the period under review (with </w:t>
      </w:r>
      <w:proofErr w:type="spellStart"/>
      <w:r>
        <w:t>weaker</w:t>
      </w:r>
      <w:proofErr w:type="spellEnd"/>
      <w:r>
        <w:t xml:space="preserve"> </w:t>
      </w:r>
      <w:proofErr w:type="spellStart"/>
      <w:r>
        <w:t>growth</w:t>
      </w:r>
      <w:proofErr w:type="spellEnd"/>
      <w:r>
        <w:t xml:space="preserve"> compared to the remaining two in 2007-2009). The remaining groups of trade </w:t>
      </w:r>
      <w:proofErr w:type="spellStart"/>
      <w:r>
        <w:t>unions</w:t>
      </w:r>
      <w:proofErr w:type="spellEnd"/>
      <w:r>
        <w:t xml:space="preserve"> hold a relatively </w:t>
      </w:r>
      <w:proofErr w:type="spellStart"/>
      <w:r>
        <w:t>stable</w:t>
      </w:r>
      <w:proofErr w:type="spellEnd"/>
      <w:r>
        <w:t xml:space="preserve"> population of their students, with a </w:t>
      </w:r>
      <w:proofErr w:type="spellStart"/>
      <w:r>
        <w:t>small</w:t>
      </w:r>
      <w:proofErr w:type="spellEnd"/>
      <w:r>
        <w:t xml:space="preserve"> </w:t>
      </w:r>
      <w:proofErr w:type="spellStart"/>
      <w:r>
        <w:t>exception</w:t>
      </w:r>
      <w:proofErr w:type="spellEnd"/>
      <w:r>
        <w:t xml:space="preserve"> of medical disciplines:</w:t>
      </w:r>
    </w:p>
    <w:p w14:paraId="4F7FA70C" w14:textId="77777777" w:rsidR="009F049C" w:rsidRDefault="00DD745D">
      <w:pPr>
        <w:pStyle w:val="Bodytext20"/>
      </w:pPr>
      <w:r>
        <w:lastRenderedPageBreak/>
        <w:t>SLOVAK ACCREDITATION AGENCY FOR HIGHER EDUCATION</w:t>
      </w:r>
    </w:p>
    <w:p w14:paraId="4F7FA70D" w14:textId="77777777" w:rsidR="009F049C" w:rsidRDefault="00DD745D">
      <w:pPr>
        <w:pStyle w:val="Bodytext10"/>
        <w:spacing w:after="400" w:line="257" w:lineRule="auto"/>
        <w:jc w:val="both"/>
      </w:pPr>
      <w:r>
        <w:t xml:space="preserve">medical disciplines increased more strongly in the </w:t>
      </w:r>
      <w:proofErr w:type="spellStart"/>
      <w:r>
        <w:t>middle</w:t>
      </w:r>
      <w:proofErr w:type="spellEnd"/>
      <w:r>
        <w:t xml:space="preserve"> of the reporting period, but subsequently approached the remaining three groups of disciplines with </w:t>
      </w:r>
      <w:proofErr w:type="spellStart"/>
      <w:r>
        <w:t>fewer</w:t>
      </w:r>
      <w:proofErr w:type="spellEnd"/>
      <w:r>
        <w:t xml:space="preserve"> students compared to the leading trio described above.</w:t>
      </w:r>
    </w:p>
    <w:p w14:paraId="4F7FA70E" w14:textId="77777777" w:rsidR="009F049C" w:rsidRDefault="00DD745D">
      <w:pPr>
        <w:pStyle w:val="P68B1DB1-Style364"/>
        <w:ind w:left="1090"/>
      </w:pPr>
      <w:r>
        <w:rPr>
          <w:color w:val="201F1E"/>
        </w:rPr>
        <w:t xml:space="preserve">Figure </w:t>
      </w:r>
      <w:r>
        <w:t xml:space="preserve">9. Number of </w:t>
      </w:r>
      <w:r>
        <w:rPr>
          <w:color w:val="201F1E"/>
        </w:rPr>
        <w:t>students (</w:t>
      </w:r>
      <w:proofErr w:type="spellStart"/>
      <w:r>
        <w:rPr>
          <w:color w:val="201F1E"/>
        </w:rPr>
        <w:t>IIIth</w:t>
      </w:r>
      <w:proofErr w:type="spellEnd"/>
      <w:r>
        <w:rPr>
          <w:color w:val="201F1E"/>
        </w:rPr>
        <w:t xml:space="preserve"> degree, </w:t>
      </w:r>
      <w:r>
        <w:t xml:space="preserve">external) </w:t>
      </w:r>
      <w:r>
        <w:rPr>
          <w:color w:val="201F1E"/>
        </w:rPr>
        <w:t xml:space="preserve">in groups of disciplines </w:t>
      </w:r>
      <w:r>
        <w:t xml:space="preserve">2003-2019 </w:t>
      </w:r>
      <w:r>
        <w:rPr>
          <w:color w:val="201F1E"/>
        </w:rPr>
        <w:t>(CVTI)</w:t>
      </w:r>
    </w:p>
    <w:p w14:paraId="4F7FA70F" w14:textId="77777777" w:rsidR="009F049C" w:rsidRDefault="00DD745D">
      <w:pPr>
        <w:jc w:val="center"/>
        <w:rPr>
          <w:sz w:val="2"/>
        </w:rPr>
      </w:pPr>
      <w:r>
        <w:rPr>
          <w:noProof/>
        </w:rPr>
        <w:drawing>
          <wp:inline distT="0" distB="0" distL="0" distR="0" wp14:anchorId="4F7FA79A" wp14:editId="4F7FA79B">
            <wp:extent cx="5706110" cy="25908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pic:blipFill>
                  <pic:spPr>
                    <a:xfrm>
                      <a:off x="0" y="0"/>
                      <a:ext cx="5706110" cy="2590800"/>
                    </a:xfrm>
                    <a:prstGeom prst="rect">
                      <a:avLst/>
                    </a:prstGeom>
                  </pic:spPr>
                </pic:pic>
              </a:graphicData>
            </a:graphic>
          </wp:inline>
        </w:drawing>
      </w:r>
    </w:p>
    <w:p w14:paraId="4F7FA710" w14:textId="77777777" w:rsidR="009F049C" w:rsidRDefault="00DD745D">
      <w:pPr>
        <w:pStyle w:val="Picturecaption10"/>
      </w:pPr>
      <w:bookmarkStart w:id="59" w:name="bookmark61"/>
      <w:r>
        <w:t xml:space="preserve">Figure 9. Evolution of the number of external students of </w:t>
      </w:r>
      <w:proofErr w:type="spellStart"/>
      <w:r>
        <w:t>Grade</w:t>
      </w:r>
      <w:proofErr w:type="spellEnd"/>
      <w:r>
        <w:t xml:space="preserve"> III by groups of disciplines</w:t>
      </w:r>
      <w:bookmarkEnd w:id="59"/>
    </w:p>
    <w:p w14:paraId="4F7FA711" w14:textId="77777777" w:rsidR="009F049C" w:rsidRDefault="009F049C">
      <w:pPr>
        <w:spacing w:after="199" w:line="1" w:lineRule="exact"/>
      </w:pPr>
    </w:p>
    <w:p w14:paraId="4F7FA712" w14:textId="77777777" w:rsidR="009F049C" w:rsidRDefault="00DD745D">
      <w:pPr>
        <w:pStyle w:val="Bodytext10"/>
        <w:spacing w:after="560" w:line="257" w:lineRule="auto"/>
        <w:jc w:val="both"/>
      </w:pPr>
      <w:r>
        <w:t xml:space="preserve">The view of the relative representation of trade union groups </w:t>
      </w:r>
      <w:proofErr w:type="spellStart"/>
      <w:r>
        <w:t>again</w:t>
      </w:r>
      <w:proofErr w:type="spellEnd"/>
      <w:r>
        <w:t xml:space="preserve"> </w:t>
      </w:r>
      <w:proofErr w:type="spellStart"/>
      <w:r>
        <w:t>illustrates</w:t>
      </w:r>
      <w:proofErr w:type="spellEnd"/>
      <w:r>
        <w:t xml:space="preserve"> the overall picture and slightly </w:t>
      </w:r>
      <w:proofErr w:type="spellStart"/>
      <w:r>
        <w:t>corrects</w:t>
      </w:r>
      <w:proofErr w:type="spellEnd"/>
      <w:r>
        <w:t xml:space="preserve"> the interpretation offered above. While the same three groups of disciplines still </w:t>
      </w:r>
      <w:proofErr w:type="spellStart"/>
      <w:r>
        <w:t>dominate</w:t>
      </w:r>
      <w:proofErr w:type="spellEnd"/>
      <w:r>
        <w:t xml:space="preserve"> the share of their </w:t>
      </w:r>
      <w:proofErr w:type="spellStart"/>
      <w:r>
        <w:t>daily</w:t>
      </w:r>
      <w:proofErr w:type="spellEnd"/>
      <w:r>
        <w:t xml:space="preserve"> doctoral students, this share did not change significantly over the period under review, </w:t>
      </w:r>
      <w:proofErr w:type="spellStart"/>
      <w:r>
        <w:t>although</w:t>
      </w:r>
      <w:proofErr w:type="spellEnd"/>
      <w:r>
        <w:t xml:space="preserve"> </w:t>
      </w:r>
      <w:proofErr w:type="spellStart"/>
      <w:r>
        <w:t>again</w:t>
      </w:r>
      <w:proofErr w:type="spellEnd"/>
      <w:r>
        <w:t xml:space="preserve"> some </w:t>
      </w:r>
      <w:proofErr w:type="spellStart"/>
      <w:r>
        <w:t>shifts</w:t>
      </w:r>
      <w:proofErr w:type="spellEnd"/>
      <w:r>
        <w:t xml:space="preserve"> </w:t>
      </w:r>
      <w:proofErr w:type="spellStart"/>
      <w:r>
        <w:t>occurred</w:t>
      </w:r>
      <w:proofErr w:type="spellEnd"/>
      <w:r>
        <w:t xml:space="preserve"> (Figure 10). While technical sciences and </w:t>
      </w:r>
      <w:proofErr w:type="spellStart"/>
      <w:r>
        <w:t>teachings</w:t>
      </w:r>
      <w:proofErr w:type="spellEnd"/>
      <w:r>
        <w:t xml:space="preserve"> </w:t>
      </w:r>
      <w:proofErr w:type="spellStart"/>
      <w:r>
        <w:t>declined</w:t>
      </w:r>
      <w:proofErr w:type="spellEnd"/>
      <w:r>
        <w:t xml:space="preserve"> by 5 percentage points compared to the beginning of the reporting period, thus </w:t>
      </w:r>
      <w:proofErr w:type="spellStart"/>
      <w:r>
        <w:t>losing</w:t>
      </w:r>
      <w:proofErr w:type="spellEnd"/>
      <w:r>
        <w:t xml:space="preserve"> a leading position, social sciences, </w:t>
      </w:r>
      <w:proofErr w:type="spellStart"/>
      <w:r>
        <w:t>teachings</w:t>
      </w:r>
      <w:proofErr w:type="spellEnd"/>
    </w:p>
    <w:p w14:paraId="4F7FA713" w14:textId="77777777" w:rsidR="009F049C" w:rsidRDefault="00DD745D">
      <w:pPr>
        <w:pStyle w:val="P68B1DB1-Style364"/>
        <w:ind w:left="1003"/>
      </w:pPr>
      <w:r>
        <w:t>Figure 10. % Of students (level III, full-time) in union groups 2003-2019</w:t>
      </w:r>
    </w:p>
    <w:p w14:paraId="4F7FA714" w14:textId="77777777" w:rsidR="009F049C" w:rsidRDefault="00DD745D">
      <w:pPr>
        <w:jc w:val="center"/>
        <w:rPr>
          <w:sz w:val="2"/>
        </w:rPr>
      </w:pPr>
      <w:r>
        <w:rPr>
          <w:noProof/>
        </w:rPr>
        <w:drawing>
          <wp:inline distT="0" distB="0" distL="0" distR="0" wp14:anchorId="4F7FA79C" wp14:editId="4F7FA79D">
            <wp:extent cx="5669280" cy="301752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stretch/>
                  </pic:blipFill>
                  <pic:spPr>
                    <a:xfrm>
                      <a:off x="0" y="0"/>
                      <a:ext cx="5669280" cy="3017520"/>
                    </a:xfrm>
                    <a:prstGeom prst="rect">
                      <a:avLst/>
                    </a:prstGeom>
                  </pic:spPr>
                </pic:pic>
              </a:graphicData>
            </a:graphic>
          </wp:inline>
        </w:drawing>
      </w:r>
    </w:p>
    <w:p w14:paraId="4F7FA715" w14:textId="77777777" w:rsidR="009F049C" w:rsidRDefault="00DD745D">
      <w:pPr>
        <w:pStyle w:val="Picturecaption10"/>
        <w:sectPr w:rsidR="009F049C">
          <w:footnotePr>
            <w:numStart w:val="3"/>
          </w:footnotePr>
          <w:pgSz w:w="11900" w:h="16840"/>
          <w:pgMar w:top="692" w:right="1402" w:bottom="1028" w:left="1407" w:header="0" w:footer="3" w:gutter="0"/>
          <w:cols w:space="720"/>
          <w:noEndnote/>
          <w:docGrid w:linePitch="360"/>
          <w15:footnoteColumns w:val="1"/>
        </w:sectPr>
      </w:pPr>
      <w:bookmarkStart w:id="60" w:name="bookmark62"/>
      <w:r>
        <w:t xml:space="preserve">Figure 10. Evolution of the percentage of full-time students of </w:t>
      </w:r>
      <w:proofErr w:type="spellStart"/>
      <w:r>
        <w:t>grade</w:t>
      </w:r>
      <w:proofErr w:type="spellEnd"/>
      <w:r>
        <w:t xml:space="preserve"> III by group of disciplines</w:t>
      </w:r>
      <w:bookmarkEnd w:id="60"/>
    </w:p>
    <w:p w14:paraId="4F7FA717" w14:textId="77777777" w:rsidR="009F049C" w:rsidRDefault="00DD745D">
      <w:pPr>
        <w:pStyle w:val="Bodytext20"/>
      </w:pPr>
      <w:r>
        <w:lastRenderedPageBreak/>
        <w:t>SLOVAK ACCREDITATION AGENCY FOR HIGHER EDUCATION</w:t>
      </w:r>
    </w:p>
    <w:p w14:paraId="4F7FA718" w14:textId="77777777" w:rsidR="009F049C" w:rsidRDefault="00DD745D">
      <w:pPr>
        <w:pStyle w:val="Bodytext10"/>
        <w:jc w:val="both"/>
      </w:pPr>
      <w:r>
        <w:t xml:space="preserve">and the </w:t>
      </w:r>
      <w:proofErr w:type="spellStart"/>
      <w:r>
        <w:t>services</w:t>
      </w:r>
      <w:proofErr w:type="spellEnd"/>
      <w:r>
        <w:t xml:space="preserve"> </w:t>
      </w:r>
      <w:proofErr w:type="spellStart"/>
      <w:r>
        <w:t>improved</w:t>
      </w:r>
      <w:proofErr w:type="spellEnd"/>
      <w:r>
        <w:t xml:space="preserve"> by almost 3 percentage points and </w:t>
      </w:r>
      <w:proofErr w:type="spellStart"/>
      <w:r>
        <w:t>gained</w:t>
      </w:r>
      <w:proofErr w:type="spellEnd"/>
      <w:r>
        <w:t xml:space="preserve"> leadership. Similarly, natural sciences grew by almost 4 percentage points towards the end of the reporting period and </w:t>
      </w:r>
      <w:proofErr w:type="spellStart"/>
      <w:r>
        <w:t>withdrew</w:t>
      </w:r>
      <w:proofErr w:type="spellEnd"/>
      <w:r>
        <w:t xml:space="preserve"> their </w:t>
      </w:r>
      <w:proofErr w:type="spellStart"/>
      <w:r>
        <w:t>loss</w:t>
      </w:r>
      <w:proofErr w:type="spellEnd"/>
      <w:r>
        <w:t xml:space="preserve"> to leading groups of disciplines. The remaining groups of trade </w:t>
      </w:r>
      <w:proofErr w:type="spellStart"/>
      <w:r>
        <w:t>unions</w:t>
      </w:r>
      <w:proofErr w:type="spellEnd"/>
      <w:r>
        <w:t xml:space="preserve"> developed relatively </w:t>
      </w:r>
      <w:proofErr w:type="spellStart"/>
      <w:r>
        <w:t>constant</w:t>
      </w:r>
      <w:proofErr w:type="spellEnd"/>
      <w:r>
        <w:t xml:space="preserve"> and, after a </w:t>
      </w:r>
      <w:proofErr w:type="spellStart"/>
      <w:r>
        <w:t>slight</w:t>
      </w:r>
      <w:proofErr w:type="spellEnd"/>
      <w:r>
        <w:t xml:space="preserve"> decline in the </w:t>
      </w:r>
      <w:proofErr w:type="spellStart"/>
      <w:r>
        <w:t>middle</w:t>
      </w:r>
      <w:proofErr w:type="spellEnd"/>
      <w:r>
        <w:t xml:space="preserve"> of the period under review, with the </w:t>
      </w:r>
      <w:proofErr w:type="spellStart"/>
      <w:r>
        <w:t>exception</w:t>
      </w:r>
      <w:proofErr w:type="spellEnd"/>
      <w:r>
        <w:t xml:space="preserve"> of </w:t>
      </w:r>
      <w:proofErr w:type="spellStart"/>
      <w:r>
        <w:t>agro-forestry</w:t>
      </w:r>
      <w:proofErr w:type="spellEnd"/>
      <w:r>
        <w:t xml:space="preserve"> and </w:t>
      </w:r>
      <w:proofErr w:type="spellStart"/>
      <w:r>
        <w:t>veterinary</w:t>
      </w:r>
      <w:proofErr w:type="spellEnd"/>
      <w:r>
        <w:t xml:space="preserve"> sciences, and teaching came slightly above their </w:t>
      </w:r>
      <w:proofErr w:type="spellStart"/>
      <w:r>
        <w:t>baseline</w:t>
      </w:r>
      <w:proofErr w:type="spellEnd"/>
      <w:r>
        <w:t>.</w:t>
      </w:r>
    </w:p>
    <w:p w14:paraId="4F7FA719" w14:textId="77777777" w:rsidR="009F049C" w:rsidRDefault="00DD745D">
      <w:pPr>
        <w:pStyle w:val="Bodytext10"/>
        <w:spacing w:after="280"/>
        <w:jc w:val="both"/>
      </w:pPr>
      <w:r>
        <w:t xml:space="preserve">External doctoral students (Figure 11) are </w:t>
      </w:r>
      <w:proofErr w:type="spellStart"/>
      <w:r>
        <w:t>again</w:t>
      </w:r>
      <w:proofErr w:type="spellEnd"/>
      <w:r>
        <w:t xml:space="preserve"> more strongly </w:t>
      </w:r>
      <w:proofErr w:type="spellStart"/>
      <w:r>
        <w:t>dominated</w:t>
      </w:r>
      <w:proofErr w:type="spellEnd"/>
      <w:r>
        <w:t xml:space="preserve"> by social sciences, </w:t>
      </w:r>
      <w:proofErr w:type="spellStart"/>
      <w:r>
        <w:t>teachings</w:t>
      </w:r>
      <w:proofErr w:type="spellEnd"/>
      <w:r>
        <w:t xml:space="preserve"> and </w:t>
      </w:r>
      <w:proofErr w:type="spellStart"/>
      <w:r>
        <w:t>services</w:t>
      </w:r>
      <w:proofErr w:type="spellEnd"/>
      <w:r>
        <w:t xml:space="preserve">, which, with the </w:t>
      </w:r>
      <w:proofErr w:type="spellStart"/>
      <w:r>
        <w:t>exception</w:t>
      </w:r>
      <w:proofErr w:type="spellEnd"/>
      <w:r>
        <w:t xml:space="preserve"> of the last three years under review, have increased the share of their students in the overall population. In technical sciences and </w:t>
      </w:r>
      <w:proofErr w:type="spellStart"/>
      <w:r>
        <w:t>teachings</w:t>
      </w:r>
      <w:proofErr w:type="spellEnd"/>
      <w:r>
        <w:t xml:space="preserve">, we see a gradual fall to less than 15 % from the original over 27 %, on the </w:t>
      </w:r>
      <w:proofErr w:type="spellStart"/>
      <w:r>
        <w:t>contrary</w:t>
      </w:r>
      <w:proofErr w:type="spellEnd"/>
      <w:r>
        <w:t xml:space="preserve">, in the period under review, the proportion of external doctoral students increased by 100 % from the original 12.3 % to 26.6 % in 2019. The share of the remaining trade union groups did not change significantly for this group as a whole, </w:t>
      </w:r>
      <w:proofErr w:type="spellStart"/>
      <w:r>
        <w:t>although</w:t>
      </w:r>
      <w:proofErr w:type="spellEnd"/>
      <w:r>
        <w:t xml:space="preserve"> the different groups of trade </w:t>
      </w:r>
      <w:proofErr w:type="spellStart"/>
      <w:r>
        <w:t>unions</w:t>
      </w:r>
      <w:proofErr w:type="spellEnd"/>
      <w:r>
        <w:t xml:space="preserve"> gradually approached the mid-point (their </w:t>
      </w:r>
      <w:proofErr w:type="spellStart"/>
      <w:r>
        <w:t>deviations</w:t>
      </w:r>
      <w:proofErr w:type="spellEnd"/>
      <w:r>
        <w:t xml:space="preserve"> </w:t>
      </w:r>
      <w:proofErr w:type="spellStart"/>
      <w:r>
        <w:t>declined</w:t>
      </w:r>
      <w:proofErr w:type="spellEnd"/>
      <w:r>
        <w:t xml:space="preserve">), while in 2006 the differences between them were almost </w:t>
      </w:r>
      <w:proofErr w:type="spellStart"/>
      <w:r>
        <w:t>negligible</w:t>
      </w:r>
      <w:proofErr w:type="spellEnd"/>
      <w:r>
        <w:t xml:space="preserve">. After this year, their respective </w:t>
      </w:r>
      <w:proofErr w:type="spellStart"/>
      <w:r>
        <w:t>shares</w:t>
      </w:r>
      <w:proofErr w:type="spellEnd"/>
      <w:r>
        <w:t xml:space="preserve"> </w:t>
      </w:r>
      <w:proofErr w:type="spellStart"/>
      <w:r>
        <w:t>again</w:t>
      </w:r>
      <w:proofErr w:type="spellEnd"/>
      <w:r>
        <w:t xml:space="preserve"> began to vary very slightly, with their ranking almost </w:t>
      </w:r>
      <w:proofErr w:type="spellStart"/>
      <w:r>
        <w:t>turning</w:t>
      </w:r>
      <w:proofErr w:type="spellEnd"/>
      <w:r>
        <w:t xml:space="preserve"> </w:t>
      </w:r>
      <w:proofErr w:type="spellStart"/>
      <w:r>
        <w:t>mirror</w:t>
      </w:r>
      <w:proofErr w:type="spellEnd"/>
      <w:r>
        <w:t xml:space="preserve"> — e.g. </w:t>
      </w:r>
      <w:proofErr w:type="spellStart"/>
      <w:r>
        <w:t>military</w:t>
      </w:r>
      <w:proofErr w:type="spellEnd"/>
      <w:r>
        <w:t xml:space="preserve"> and security sciences and </w:t>
      </w:r>
      <w:proofErr w:type="spellStart"/>
      <w:r>
        <w:t>doctrines</w:t>
      </w:r>
      <w:proofErr w:type="spellEnd"/>
      <w:r>
        <w:t xml:space="preserve"> recorded the most significant increase (almost 9 times) and </w:t>
      </w:r>
      <w:proofErr w:type="spellStart"/>
      <w:r>
        <w:t>moved</w:t>
      </w:r>
      <w:proofErr w:type="spellEnd"/>
      <w:r>
        <w:t xml:space="preserve"> from last to first position, on the </w:t>
      </w:r>
      <w:proofErr w:type="spellStart"/>
      <w:r>
        <w:t>contrary</w:t>
      </w:r>
      <w:proofErr w:type="spellEnd"/>
      <w:r>
        <w:t xml:space="preserve">, natural sciences recorded the </w:t>
      </w:r>
      <w:proofErr w:type="spellStart"/>
      <w:r>
        <w:t>largest</w:t>
      </w:r>
      <w:proofErr w:type="spellEnd"/>
      <w:r>
        <w:t xml:space="preserve"> decline (by more than half in 2006) and lost leadership.</w:t>
      </w:r>
    </w:p>
    <w:p w14:paraId="4F7FA71A" w14:textId="77777777" w:rsidR="009F049C" w:rsidRDefault="00DD745D">
      <w:pPr>
        <w:pStyle w:val="P68B1DB1-Style364"/>
        <w:ind w:left="931"/>
      </w:pPr>
      <w:r>
        <w:t xml:space="preserve">Figure 11. </w:t>
      </w:r>
      <w:r>
        <w:rPr>
          <w:color w:val="201F1E"/>
        </w:rPr>
        <w:t xml:space="preserve">% Of </w:t>
      </w:r>
      <w:r>
        <w:t>students (</w:t>
      </w:r>
      <w:proofErr w:type="spellStart"/>
      <w:r>
        <w:t>Grade</w:t>
      </w:r>
      <w:proofErr w:type="spellEnd"/>
      <w:r>
        <w:t xml:space="preserve"> III</w:t>
      </w:r>
      <w:r>
        <w:rPr>
          <w:color w:val="201F1E"/>
        </w:rPr>
        <w:t>, external</w:t>
      </w:r>
      <w:r>
        <w:t xml:space="preserve">) in union groups </w:t>
      </w:r>
      <w:r>
        <w:rPr>
          <w:color w:val="201F1E"/>
        </w:rPr>
        <w:t xml:space="preserve">2003 </w:t>
      </w:r>
      <w:r>
        <w:t>-2019</w:t>
      </w:r>
    </w:p>
    <w:p w14:paraId="4F7FA71B" w14:textId="77777777" w:rsidR="009F049C" w:rsidRDefault="00DD745D">
      <w:pPr>
        <w:jc w:val="center"/>
        <w:rPr>
          <w:sz w:val="2"/>
        </w:rPr>
      </w:pPr>
      <w:r>
        <w:rPr>
          <w:noProof/>
        </w:rPr>
        <w:drawing>
          <wp:inline distT="0" distB="0" distL="0" distR="0" wp14:anchorId="4F7FA79E" wp14:editId="4F7FA79F">
            <wp:extent cx="5650865" cy="29019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stretch/>
                  </pic:blipFill>
                  <pic:spPr>
                    <a:xfrm>
                      <a:off x="0" y="0"/>
                      <a:ext cx="5650865" cy="2901950"/>
                    </a:xfrm>
                    <a:prstGeom prst="rect">
                      <a:avLst/>
                    </a:prstGeom>
                  </pic:spPr>
                </pic:pic>
              </a:graphicData>
            </a:graphic>
          </wp:inline>
        </w:drawing>
      </w:r>
    </w:p>
    <w:p w14:paraId="4F7FA71C" w14:textId="77777777" w:rsidR="009F049C" w:rsidRDefault="00DD745D">
      <w:pPr>
        <w:pStyle w:val="Picturecaption10"/>
      </w:pPr>
      <w:bookmarkStart w:id="61" w:name="bookmark63"/>
      <w:r>
        <w:t xml:space="preserve">Figure 11. Evolution of % share of external students of </w:t>
      </w:r>
      <w:proofErr w:type="spellStart"/>
      <w:r>
        <w:t>Grade</w:t>
      </w:r>
      <w:proofErr w:type="spellEnd"/>
      <w:r>
        <w:t xml:space="preserve"> III by groups of disciplines</w:t>
      </w:r>
      <w:bookmarkEnd w:id="61"/>
    </w:p>
    <w:p w14:paraId="4F7FA71D" w14:textId="77777777" w:rsidR="009F049C" w:rsidRDefault="009F049C">
      <w:pPr>
        <w:spacing w:after="619" w:line="1" w:lineRule="exact"/>
      </w:pPr>
    </w:p>
    <w:p w14:paraId="4F7FA71E" w14:textId="77777777" w:rsidR="009F049C" w:rsidRDefault="00DD745D">
      <w:pPr>
        <w:pStyle w:val="Heading110"/>
        <w:keepNext/>
        <w:keepLines/>
      </w:pPr>
      <w:bookmarkStart w:id="62" w:name="bookmark65"/>
      <w:bookmarkStart w:id="63" w:name="bookmark67"/>
      <w:bookmarkStart w:id="64" w:name="bookmark64"/>
      <w:bookmarkStart w:id="65" w:name="_Toc97734029"/>
      <w:bookmarkStart w:id="66" w:name="_Toc97734048"/>
      <w:r>
        <w:t xml:space="preserve">I.e. Share of </w:t>
      </w:r>
      <w:proofErr w:type="spellStart"/>
      <w:r>
        <w:t>graduated</w:t>
      </w:r>
      <w:proofErr w:type="spellEnd"/>
      <w:r>
        <w:t xml:space="preserve"> population</w:t>
      </w:r>
      <w:bookmarkEnd w:id="62"/>
      <w:bookmarkEnd w:id="63"/>
      <w:bookmarkEnd w:id="64"/>
      <w:bookmarkEnd w:id="65"/>
      <w:bookmarkEnd w:id="66"/>
    </w:p>
    <w:p w14:paraId="4F7FA71F" w14:textId="77777777" w:rsidR="009F049C" w:rsidRDefault="00DD745D">
      <w:pPr>
        <w:pStyle w:val="Bodytext10"/>
        <w:spacing w:after="340"/>
        <w:jc w:val="both"/>
        <w:sectPr w:rsidR="009F049C">
          <w:footnotePr>
            <w:numStart w:val="3"/>
          </w:footnotePr>
          <w:pgSz w:w="11900" w:h="16840"/>
          <w:pgMar w:top="692" w:right="1407" w:bottom="1028" w:left="1412" w:header="0" w:footer="3" w:gutter="0"/>
          <w:cols w:space="720"/>
          <w:noEndnote/>
          <w:docGrid w:linePitch="360"/>
          <w15:footnoteColumns w:val="1"/>
        </w:sectPr>
      </w:pPr>
      <w:r>
        <w:t xml:space="preserve">Due to </w:t>
      </w:r>
      <w:proofErr w:type="spellStart"/>
      <w:r>
        <w:t>limitations</w:t>
      </w:r>
      <w:proofErr w:type="spellEnd"/>
      <w:r>
        <w:t xml:space="preserve"> in the reporting of graduates, </w:t>
      </w:r>
      <w:proofErr w:type="spellStart"/>
      <w:r>
        <w:t>tracking</w:t>
      </w:r>
      <w:proofErr w:type="spellEnd"/>
      <w:r>
        <w:t xml:space="preserve"> the </w:t>
      </w:r>
      <w:proofErr w:type="spellStart"/>
      <w:r>
        <w:t>evolution</w:t>
      </w:r>
      <w:proofErr w:type="spellEnd"/>
      <w:r>
        <w:t xml:space="preserve"> of the share of the population with higher education is one of the other </w:t>
      </w:r>
      <w:proofErr w:type="spellStart"/>
      <w:r>
        <w:t>options</w:t>
      </w:r>
      <w:proofErr w:type="spellEnd"/>
      <w:r>
        <w:t xml:space="preserve"> for </w:t>
      </w:r>
      <w:proofErr w:type="spellStart"/>
      <w:r>
        <w:t>observing</w:t>
      </w:r>
      <w:proofErr w:type="spellEnd"/>
      <w:r>
        <w:t xml:space="preserve"> the development of higher education. Figure 12 shows the share in the entire active population (24-64 years), while Figure 13 only </w:t>
      </w:r>
      <w:proofErr w:type="spellStart"/>
      <w:r>
        <w:t>looks</w:t>
      </w:r>
      <w:proofErr w:type="spellEnd"/>
      <w:r>
        <w:t xml:space="preserve"> at young people </w:t>
      </w:r>
      <w:proofErr w:type="spellStart"/>
      <w:r>
        <w:t>aged</w:t>
      </w:r>
      <w:proofErr w:type="spellEnd"/>
      <w:r>
        <w:t xml:space="preserve"> 25-34. These </w:t>
      </w:r>
      <w:proofErr w:type="spellStart"/>
      <w:r>
        <w:t>images</w:t>
      </w:r>
      <w:proofErr w:type="spellEnd"/>
      <w:r>
        <w:t xml:space="preserve"> do not show the degree of education obtained, but make it possible to </w:t>
      </w:r>
      <w:proofErr w:type="spellStart"/>
      <w:r>
        <w:t>compare</w:t>
      </w:r>
      <w:proofErr w:type="spellEnd"/>
      <w:r>
        <w:t xml:space="preserve"> the level of education </w:t>
      </w:r>
      <w:proofErr w:type="spellStart"/>
      <w:r>
        <w:t>across</w:t>
      </w:r>
      <w:proofErr w:type="spellEnd"/>
      <w:r>
        <w:t xml:space="preserve"> countries. By comparison, the graph shows the </w:t>
      </w:r>
      <w:proofErr w:type="spellStart"/>
      <w:r>
        <w:t>surrounding</w:t>
      </w:r>
      <w:proofErr w:type="spellEnd"/>
      <w:r>
        <w:t xml:space="preserve"> countries as well as the </w:t>
      </w:r>
      <w:proofErr w:type="spellStart"/>
      <w:r>
        <w:t>average</w:t>
      </w:r>
      <w:proofErr w:type="spellEnd"/>
      <w:r>
        <w:t xml:space="preserve"> of the countries associated in the OECD (Figure 12) and the </w:t>
      </w:r>
      <w:proofErr w:type="spellStart"/>
      <w:r>
        <w:t>average</w:t>
      </w:r>
      <w:proofErr w:type="spellEnd"/>
      <w:r>
        <w:t xml:space="preserve"> of the 27 EU countries (Figure 13).</w:t>
      </w:r>
    </w:p>
    <w:p w14:paraId="4F7FA721" w14:textId="77777777" w:rsidR="009F049C" w:rsidRDefault="00DD745D">
      <w:pPr>
        <w:pStyle w:val="Bodytext20"/>
        <w:spacing w:after="680"/>
      </w:pPr>
      <w:r>
        <w:lastRenderedPageBreak/>
        <w:t>SLOVAK ACCREDITATION AGENCY FOR HIGHER EDUCATION</w:t>
      </w:r>
    </w:p>
    <w:p w14:paraId="4F7FA722" w14:textId="77777777" w:rsidR="009F049C" w:rsidRDefault="00DD745D">
      <w:pPr>
        <w:jc w:val="center"/>
        <w:rPr>
          <w:sz w:val="2"/>
        </w:rPr>
      </w:pPr>
      <w:r>
        <w:rPr>
          <w:noProof/>
        </w:rPr>
        <w:drawing>
          <wp:inline distT="0" distB="0" distL="0" distR="0" wp14:anchorId="4F7FA7A0" wp14:editId="4F7FA7A1">
            <wp:extent cx="5718175" cy="340169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stretch/>
                  </pic:blipFill>
                  <pic:spPr>
                    <a:xfrm>
                      <a:off x="0" y="0"/>
                      <a:ext cx="5718175" cy="3401695"/>
                    </a:xfrm>
                    <a:prstGeom prst="rect">
                      <a:avLst/>
                    </a:prstGeom>
                  </pic:spPr>
                </pic:pic>
              </a:graphicData>
            </a:graphic>
          </wp:inline>
        </w:drawing>
      </w:r>
    </w:p>
    <w:p w14:paraId="4F7FA723" w14:textId="77777777" w:rsidR="009F049C" w:rsidRDefault="009F049C">
      <w:pPr>
        <w:spacing w:after="179" w:line="1" w:lineRule="exact"/>
      </w:pPr>
    </w:p>
    <w:p w14:paraId="4F7FA724" w14:textId="77777777" w:rsidR="009F049C" w:rsidRDefault="00DD745D">
      <w:pPr>
        <w:pStyle w:val="P68B1DB1-Style145"/>
        <w:spacing w:after="180" w:line="240" w:lineRule="auto"/>
      </w:pPr>
      <w:bookmarkStart w:id="67" w:name="bookmark68"/>
      <w:r>
        <w:t>Figure 12. Share of active population 25-64 years with higher education</w:t>
      </w:r>
      <w:bookmarkEnd w:id="67"/>
    </w:p>
    <w:p w14:paraId="4F7FA725" w14:textId="77777777" w:rsidR="009F049C" w:rsidRDefault="00DD745D">
      <w:pPr>
        <w:pStyle w:val="Bodytext10"/>
        <w:spacing w:after="440" w:line="257" w:lineRule="auto"/>
        <w:jc w:val="both"/>
      </w:pPr>
      <w:r>
        <w:t xml:space="preserve">Over the </w:t>
      </w:r>
      <w:proofErr w:type="spellStart"/>
      <w:r>
        <w:t>past</w:t>
      </w:r>
      <w:proofErr w:type="spellEnd"/>
      <w:r>
        <w:t xml:space="preserve"> 23 years, Slovakia has managed to increase the share of </w:t>
      </w:r>
      <w:proofErr w:type="spellStart"/>
      <w:r>
        <w:t>graduated</w:t>
      </w:r>
      <w:proofErr w:type="spellEnd"/>
      <w:r>
        <w:t xml:space="preserve"> people in the </w:t>
      </w:r>
      <w:proofErr w:type="spellStart"/>
      <w:r>
        <w:t>economically</w:t>
      </w:r>
      <w:proofErr w:type="spellEnd"/>
      <w:r>
        <w:t xml:space="preserve"> active population by up to 16.5 percentage points (Graph 12). However, all </w:t>
      </w:r>
      <w:proofErr w:type="spellStart"/>
      <w:r>
        <w:t>surrounding</w:t>
      </w:r>
      <w:proofErr w:type="spellEnd"/>
      <w:r>
        <w:t xml:space="preserve"> countries follow a similar </w:t>
      </w:r>
      <w:proofErr w:type="spellStart"/>
      <w:r>
        <w:t>trajectory</w:t>
      </w:r>
      <w:proofErr w:type="spellEnd"/>
      <w:r>
        <w:t xml:space="preserve">. Thus, Slovakia </w:t>
      </w:r>
      <w:proofErr w:type="spellStart"/>
      <w:r>
        <w:t>despite</w:t>
      </w:r>
      <w:proofErr w:type="spellEnd"/>
      <w:r>
        <w:t xml:space="preserve"> </w:t>
      </w:r>
      <w:proofErr w:type="spellStart"/>
      <w:r>
        <w:t>mass</w:t>
      </w:r>
      <w:proofErr w:type="spellEnd"/>
      <w:r>
        <w:t xml:space="preserve"> access to university</w:t>
      </w:r>
    </w:p>
    <w:p w14:paraId="4F7FA726" w14:textId="77777777" w:rsidR="009F049C" w:rsidRDefault="00DD745D">
      <w:pPr>
        <w:jc w:val="center"/>
        <w:rPr>
          <w:sz w:val="2"/>
        </w:rPr>
      </w:pPr>
      <w:r>
        <w:rPr>
          <w:noProof/>
        </w:rPr>
        <w:drawing>
          <wp:inline distT="0" distB="0" distL="0" distR="0" wp14:anchorId="4F7FA7A2" wp14:editId="4F7FA7A3">
            <wp:extent cx="5730240" cy="340741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stretch/>
                  </pic:blipFill>
                  <pic:spPr>
                    <a:xfrm>
                      <a:off x="0" y="0"/>
                      <a:ext cx="5730240" cy="3407410"/>
                    </a:xfrm>
                    <a:prstGeom prst="rect">
                      <a:avLst/>
                    </a:prstGeom>
                  </pic:spPr>
                </pic:pic>
              </a:graphicData>
            </a:graphic>
          </wp:inline>
        </w:drawing>
      </w:r>
    </w:p>
    <w:p w14:paraId="4F7FA727" w14:textId="77777777" w:rsidR="009F049C" w:rsidRDefault="00DD745D">
      <w:pPr>
        <w:pStyle w:val="Picturecaption10"/>
        <w:sectPr w:rsidR="009F049C">
          <w:footnotePr>
            <w:numStart w:val="3"/>
          </w:footnotePr>
          <w:pgSz w:w="11900" w:h="16840"/>
          <w:pgMar w:top="692" w:right="1407" w:bottom="1028" w:left="1407" w:header="0" w:footer="3" w:gutter="0"/>
          <w:cols w:space="720"/>
          <w:noEndnote/>
          <w:docGrid w:linePitch="360"/>
          <w15:footnoteColumns w:val="1"/>
        </w:sectPr>
      </w:pPr>
      <w:bookmarkStart w:id="68" w:name="bookmark69"/>
      <w:r>
        <w:t>Figure 13. Share of population 25-34 years with higher education</w:t>
      </w:r>
      <w:bookmarkEnd w:id="68"/>
    </w:p>
    <w:p w14:paraId="4F7FA729" w14:textId="77777777" w:rsidR="009F049C" w:rsidRDefault="00DD745D">
      <w:pPr>
        <w:pStyle w:val="Bodytext20"/>
      </w:pPr>
      <w:r>
        <w:lastRenderedPageBreak/>
        <w:t>SLOVAK ACCREDITATION AGENCY FOR HIGHER EDUCATION</w:t>
      </w:r>
    </w:p>
    <w:p w14:paraId="4F7FA72A" w14:textId="77777777" w:rsidR="009F049C" w:rsidRDefault="00DD745D">
      <w:pPr>
        <w:pStyle w:val="Bodytext10"/>
        <w:jc w:val="both"/>
      </w:pPr>
      <w:r>
        <w:t xml:space="preserve">education </w:t>
      </w:r>
      <w:proofErr w:type="spellStart"/>
      <w:r>
        <w:t>remains</w:t>
      </w:r>
      <w:proofErr w:type="spellEnd"/>
      <w:r>
        <w:t xml:space="preserve"> below the OECD </w:t>
      </w:r>
      <w:proofErr w:type="spellStart"/>
      <w:r>
        <w:t>average</w:t>
      </w:r>
      <w:proofErr w:type="spellEnd"/>
      <w:r>
        <w:footnoteReference w:id="11"/>
      </w:r>
      <w:r>
        <w:t xml:space="preserve">. The Hungarian and Czech </w:t>
      </w:r>
      <w:proofErr w:type="spellStart"/>
      <w:r>
        <w:t>economically</w:t>
      </w:r>
      <w:proofErr w:type="spellEnd"/>
      <w:r>
        <w:t xml:space="preserve"> active </w:t>
      </w:r>
      <w:proofErr w:type="spellStart"/>
      <w:r>
        <w:t>populations</w:t>
      </w:r>
      <w:proofErr w:type="spellEnd"/>
      <w:r>
        <w:t xml:space="preserve"> have a similarly high share of HEIs educated as Slovakia, while Poland and </w:t>
      </w:r>
      <w:proofErr w:type="spellStart"/>
      <w:r>
        <w:t>Austria</w:t>
      </w:r>
      <w:proofErr w:type="spellEnd"/>
      <w:r>
        <w:t xml:space="preserve"> are </w:t>
      </w:r>
      <w:proofErr w:type="spellStart"/>
      <w:r>
        <w:t>ahead</w:t>
      </w:r>
      <w:proofErr w:type="spellEnd"/>
      <w:r>
        <w:t xml:space="preserve"> of 7 and 8 percentage points respectively. The educational </w:t>
      </w:r>
      <w:proofErr w:type="spellStart"/>
      <w:r>
        <w:t>gap</w:t>
      </w:r>
      <w:proofErr w:type="spellEnd"/>
      <w:r>
        <w:t xml:space="preserve"> of the entire population </w:t>
      </w:r>
      <w:proofErr w:type="spellStart"/>
      <w:r>
        <w:t>surveyed</w:t>
      </w:r>
      <w:proofErr w:type="spellEnd"/>
      <w:r>
        <w:t xml:space="preserve"> is partly due to the </w:t>
      </w:r>
      <w:proofErr w:type="spellStart"/>
      <w:r>
        <w:t>lower</w:t>
      </w:r>
      <w:proofErr w:type="spellEnd"/>
      <w:r>
        <w:t xml:space="preserve"> level of education of </w:t>
      </w:r>
      <w:proofErr w:type="spellStart"/>
      <w:r>
        <w:t>older</w:t>
      </w:r>
      <w:proofErr w:type="spellEnd"/>
      <w:r>
        <w:t xml:space="preserve"> </w:t>
      </w:r>
      <w:proofErr w:type="spellStart"/>
      <w:r>
        <w:t>generations</w:t>
      </w:r>
      <w:proofErr w:type="spellEnd"/>
      <w:r>
        <w:t>.</w:t>
      </w:r>
    </w:p>
    <w:p w14:paraId="4F7FA72B" w14:textId="77777777" w:rsidR="009F049C" w:rsidRDefault="00DD745D">
      <w:pPr>
        <w:pStyle w:val="Bodytext10"/>
        <w:spacing w:after="280"/>
        <w:jc w:val="both"/>
        <w:sectPr w:rsidR="009F049C">
          <w:footnotePr>
            <w:numStart w:val="3"/>
          </w:footnotePr>
          <w:pgSz w:w="11900" w:h="16840"/>
          <w:pgMar w:top="692" w:right="1407" w:bottom="1028" w:left="1402" w:header="0" w:footer="3" w:gutter="0"/>
          <w:cols w:space="720"/>
          <w:noEndnote/>
          <w:docGrid w:linePitch="360"/>
          <w15:footnoteColumns w:val="1"/>
        </w:sectPr>
      </w:pPr>
      <w:r>
        <w:t xml:space="preserve">A similar increase in education levels can be seen in the view of the population of young people </w:t>
      </w:r>
      <w:proofErr w:type="spellStart"/>
      <w:r>
        <w:t>aged</w:t>
      </w:r>
      <w:proofErr w:type="spellEnd"/>
      <w:r>
        <w:t xml:space="preserve"> 25-34 (Figure 13). The </w:t>
      </w:r>
      <w:proofErr w:type="spellStart"/>
      <w:r>
        <w:t>Eurostat</w:t>
      </w:r>
      <w:proofErr w:type="spellEnd"/>
      <w:r>
        <w:t xml:space="preserve"> comparison</w:t>
      </w:r>
      <w:r>
        <w:footnoteReference w:id="12"/>
      </w:r>
      <w:r>
        <w:t xml:space="preserve"> further </w:t>
      </w:r>
      <w:proofErr w:type="spellStart"/>
      <w:r>
        <w:t>reflects</w:t>
      </w:r>
      <w:proofErr w:type="spellEnd"/>
      <w:r>
        <w:t xml:space="preserve"> the </w:t>
      </w:r>
      <w:proofErr w:type="spellStart"/>
      <w:r>
        <w:t>rise</w:t>
      </w:r>
      <w:proofErr w:type="spellEnd"/>
      <w:r>
        <w:t xml:space="preserve"> in higher education since the 1990s and is more closely linked to </w:t>
      </w:r>
      <w:proofErr w:type="spellStart"/>
      <w:r>
        <w:t>demographic</w:t>
      </w:r>
      <w:proofErr w:type="spellEnd"/>
      <w:r>
        <w:t xml:space="preserve"> </w:t>
      </w:r>
      <w:proofErr w:type="spellStart"/>
      <w:r>
        <w:t>developments</w:t>
      </w:r>
      <w:proofErr w:type="spellEnd"/>
      <w:r>
        <w:t xml:space="preserve"> in recent years. Slovakia reached almost the EU </w:t>
      </w:r>
      <w:proofErr w:type="spellStart"/>
      <w:r>
        <w:t>average</w:t>
      </w:r>
      <w:proofErr w:type="spellEnd"/>
      <w:r>
        <w:t xml:space="preserve"> and has a </w:t>
      </w:r>
      <w:proofErr w:type="spellStart"/>
      <w:r>
        <w:t>stronger</w:t>
      </w:r>
      <w:proofErr w:type="spellEnd"/>
      <w:r>
        <w:t xml:space="preserve"> lead over Hungary and the Czech Republic. In the case of </w:t>
      </w:r>
      <w:proofErr w:type="spellStart"/>
      <w:r>
        <w:t>surrounding</w:t>
      </w:r>
      <w:proofErr w:type="spellEnd"/>
      <w:r>
        <w:t xml:space="preserve"> countries, we have seen the </w:t>
      </w:r>
      <w:proofErr w:type="spellStart"/>
      <w:r>
        <w:t>stabilisation</w:t>
      </w:r>
      <w:proofErr w:type="spellEnd"/>
      <w:r>
        <w:t xml:space="preserve"> of the share in the last 3-5 years, while Slovakia has </w:t>
      </w:r>
      <w:proofErr w:type="spellStart"/>
      <w:r>
        <w:t>risen</w:t>
      </w:r>
      <w:proofErr w:type="spellEnd"/>
      <w:r>
        <w:t xml:space="preserve"> </w:t>
      </w:r>
      <w:proofErr w:type="spellStart"/>
      <w:r>
        <w:t>sharply</w:t>
      </w:r>
      <w:proofErr w:type="spellEnd"/>
      <w:r>
        <w:t xml:space="preserve">, the question is whether Slovakia started its </w:t>
      </w:r>
      <w:proofErr w:type="spellStart"/>
      <w:r>
        <w:t>stagnation</w:t>
      </w:r>
      <w:proofErr w:type="spellEnd"/>
      <w:r>
        <w:t xml:space="preserve"> in 2019.</w:t>
      </w:r>
    </w:p>
    <w:p w14:paraId="4F7FA72D" w14:textId="77777777" w:rsidR="009F049C" w:rsidRDefault="00DD745D">
      <w:pPr>
        <w:pStyle w:val="Bodytext20"/>
        <w:spacing w:after="840"/>
      </w:pPr>
      <w:r>
        <w:lastRenderedPageBreak/>
        <w:t>SLOVAK ACCREDITATION AGENCY FOR HIGHER EDUCATION</w:t>
      </w:r>
    </w:p>
    <w:p w14:paraId="4F7FA72E" w14:textId="77777777" w:rsidR="009F049C" w:rsidRDefault="00DD745D">
      <w:pPr>
        <w:pStyle w:val="Heading110"/>
        <w:keepNext/>
        <w:keepLines/>
        <w:numPr>
          <w:ilvl w:val="0"/>
          <w:numId w:val="9"/>
        </w:numPr>
        <w:tabs>
          <w:tab w:val="left" w:pos="398"/>
        </w:tabs>
      </w:pPr>
      <w:bookmarkStart w:id="69" w:name="bookmark73"/>
      <w:bookmarkStart w:id="70" w:name="bookmark71"/>
      <w:bookmarkStart w:id="71" w:name="bookmark74"/>
      <w:bookmarkStart w:id="72" w:name="bookmark70"/>
      <w:bookmarkStart w:id="73" w:name="_Toc97734030"/>
      <w:bookmarkStart w:id="74" w:name="_Toc97734049"/>
      <w:bookmarkEnd w:id="69"/>
      <w:r>
        <w:t>Teachers</w:t>
      </w:r>
      <w:bookmarkEnd w:id="70"/>
      <w:bookmarkEnd w:id="71"/>
      <w:bookmarkEnd w:id="72"/>
      <w:bookmarkEnd w:id="73"/>
      <w:bookmarkEnd w:id="74"/>
    </w:p>
    <w:p w14:paraId="4F7FA72F" w14:textId="77777777" w:rsidR="009F049C" w:rsidRDefault="00DD745D">
      <w:pPr>
        <w:pStyle w:val="Bodytext10"/>
        <w:jc w:val="both"/>
      </w:pPr>
      <w:r>
        <w:t xml:space="preserve">Higher education teachers make up a relatively </w:t>
      </w:r>
      <w:proofErr w:type="spellStart"/>
      <w:r>
        <w:t>diverse</w:t>
      </w:r>
      <w:proofErr w:type="spellEnd"/>
      <w:r>
        <w:t xml:space="preserve"> group of university staff, taking into account their positions and functional positions, as well as the </w:t>
      </w:r>
      <w:proofErr w:type="spellStart"/>
      <w:r>
        <w:t>size</w:t>
      </w:r>
      <w:proofErr w:type="spellEnd"/>
      <w:r>
        <w:t xml:space="preserve"> of their </w:t>
      </w:r>
      <w:proofErr w:type="spellStart"/>
      <w:r>
        <w:t>assignments</w:t>
      </w:r>
      <w:proofErr w:type="spellEnd"/>
      <w:r>
        <w:t xml:space="preserve"> and the proportion of time </w:t>
      </w:r>
      <w:proofErr w:type="spellStart"/>
      <w:r>
        <w:t>spent</w:t>
      </w:r>
      <w:proofErr w:type="spellEnd"/>
      <w:r>
        <w:t xml:space="preserve"> on research or creation, administration or support </w:t>
      </w:r>
      <w:proofErr w:type="spellStart"/>
      <w:r>
        <w:t>services</w:t>
      </w:r>
      <w:proofErr w:type="spellEnd"/>
      <w:r>
        <w:t>. As for students, the number of teachers is reported as at 31 October</w:t>
      </w:r>
      <w:r>
        <w:footnoteReference w:id="13"/>
      </w:r>
      <w:r>
        <w:t xml:space="preserve">. Teacher </w:t>
      </w:r>
      <w:proofErr w:type="spellStart"/>
      <w:r>
        <w:t>conversions</w:t>
      </w:r>
      <w:proofErr w:type="spellEnd"/>
      <w:r>
        <w:t xml:space="preserve"> can be done on the basis of the number of natural persons (FO) or on a contract basis (FTE</w:t>
      </w:r>
      <w:r>
        <w:footnoteReference w:id="14"/>
      </w:r>
      <w:r>
        <w:footnoteReference w:id="15"/>
      </w:r>
      <w:r>
        <w:t>).</w:t>
      </w:r>
    </w:p>
    <w:p w14:paraId="4F7FA730" w14:textId="77777777" w:rsidR="009F049C" w:rsidRDefault="00DD745D">
      <w:pPr>
        <w:pStyle w:val="Heading110"/>
        <w:keepNext/>
        <w:keepLines/>
        <w:numPr>
          <w:ilvl w:val="0"/>
          <w:numId w:val="8"/>
        </w:numPr>
      </w:pPr>
      <w:bookmarkStart w:id="75" w:name="bookmark78"/>
      <w:bookmarkStart w:id="76" w:name="bookmark76"/>
      <w:bookmarkStart w:id="77" w:name="bookmark79"/>
      <w:bookmarkStart w:id="78" w:name="bookmark75"/>
      <w:bookmarkStart w:id="79" w:name="_Toc97734031"/>
      <w:bookmarkStart w:id="80" w:name="_Toc97734050"/>
      <w:bookmarkEnd w:id="75"/>
      <w:r>
        <w:t>a. Development in the number of university teachers</w:t>
      </w:r>
      <w:bookmarkEnd w:id="76"/>
      <w:bookmarkEnd w:id="77"/>
      <w:bookmarkEnd w:id="78"/>
      <w:bookmarkEnd w:id="79"/>
      <w:bookmarkEnd w:id="80"/>
    </w:p>
    <w:p w14:paraId="4F7FA731" w14:textId="77777777" w:rsidR="009F049C" w:rsidRDefault="00DD745D">
      <w:pPr>
        <w:pStyle w:val="Bodytext10"/>
        <w:spacing w:after="440"/>
        <w:jc w:val="both"/>
      </w:pPr>
      <w:r>
        <w:t xml:space="preserve">The overview of the </w:t>
      </w:r>
      <w:proofErr w:type="spellStart"/>
      <w:r>
        <w:t>evolution</w:t>
      </w:r>
      <w:proofErr w:type="spellEnd"/>
      <w:r>
        <w:t xml:space="preserve"> of the number of teachers is divided into the number of teachers as natural persons — FO (Figure 14) and as a full-time </w:t>
      </w:r>
      <w:proofErr w:type="spellStart"/>
      <w:r>
        <w:t>equivalent</w:t>
      </w:r>
      <w:proofErr w:type="spellEnd"/>
      <w:r>
        <w:t xml:space="preserve"> — FTE (Figure 15). Since the data in these cases come from two different sources, the categories </w:t>
      </w:r>
      <w:proofErr w:type="spellStart"/>
      <w:r>
        <w:t>differ</w:t>
      </w:r>
      <w:proofErr w:type="spellEnd"/>
      <w:r>
        <w:t xml:space="preserve"> slightly. In the case of FO, the source of the data is the regular </w:t>
      </w:r>
      <w:proofErr w:type="spellStart"/>
      <w:r>
        <w:t>statistical</w:t>
      </w:r>
      <w:proofErr w:type="spellEnd"/>
      <w:r>
        <w:t xml:space="preserve"> reporting of higher education institutions for CVTI, which is carried out on 31 October each year. Persons whose time includes pedagogical activities are divided into full-time and part-time employees. Full-time employees shall have at least 2/3 of the time, the individual positions and </w:t>
      </w:r>
      <w:proofErr w:type="spellStart"/>
      <w:r>
        <w:t>functions</w:t>
      </w:r>
      <w:proofErr w:type="spellEnd"/>
      <w:r>
        <w:t xml:space="preserve"> shall be reported </w:t>
      </w:r>
      <w:proofErr w:type="spellStart"/>
      <w:r>
        <w:t>separately</w:t>
      </w:r>
      <w:proofErr w:type="spellEnd"/>
      <w:r>
        <w:t xml:space="preserve"> in this case: Professor, Associate Professor, </w:t>
      </w:r>
      <w:proofErr w:type="spellStart"/>
      <w:r>
        <w:t>Assistant</w:t>
      </w:r>
      <w:proofErr w:type="spellEnd"/>
      <w:r>
        <w:t xml:space="preserve"> and </w:t>
      </w:r>
      <w:proofErr w:type="spellStart"/>
      <w:r>
        <w:t>others</w:t>
      </w:r>
      <w:proofErr w:type="spellEnd"/>
      <w:r>
        <w:t xml:space="preserve"> (</w:t>
      </w:r>
      <w:proofErr w:type="spellStart"/>
      <w:r>
        <w:t>assistant</w:t>
      </w:r>
      <w:proofErr w:type="spellEnd"/>
      <w:r>
        <w:t xml:space="preserve">, </w:t>
      </w:r>
      <w:proofErr w:type="spellStart"/>
      <w:r>
        <w:t>lecturer</w:t>
      </w:r>
      <w:proofErr w:type="spellEnd"/>
      <w:r>
        <w:t xml:space="preserve">, visiting professor). Part-time teachers have less than 2/3 of the time and are reported together </w:t>
      </w:r>
      <w:proofErr w:type="spellStart"/>
      <w:r>
        <w:t>regardless</w:t>
      </w:r>
      <w:proofErr w:type="spellEnd"/>
      <w:r>
        <w:t xml:space="preserve"> of their position or function. All teachers are reported as natural persons, so the </w:t>
      </w:r>
      <w:proofErr w:type="spellStart"/>
      <w:r>
        <w:t>size</w:t>
      </w:r>
      <w:proofErr w:type="spellEnd"/>
      <w:r>
        <w:t xml:space="preserve"> of their </w:t>
      </w:r>
      <w:proofErr w:type="spellStart"/>
      <w:r>
        <w:t>assignment</w:t>
      </w:r>
      <w:proofErr w:type="spellEnd"/>
      <w:r>
        <w:t xml:space="preserve"> is only taken into account in the </w:t>
      </w:r>
      <w:proofErr w:type="spellStart"/>
      <w:r>
        <w:t>division</w:t>
      </w:r>
      <w:proofErr w:type="spellEnd"/>
      <w:r>
        <w:t xml:space="preserve"> into full-time and part-time teachers. Researchers in these</w:t>
      </w:r>
    </w:p>
    <w:p w14:paraId="4F7FA732" w14:textId="77777777" w:rsidR="009F049C" w:rsidRDefault="00DD745D">
      <w:pPr>
        <w:jc w:val="center"/>
        <w:rPr>
          <w:sz w:val="2"/>
        </w:rPr>
      </w:pPr>
      <w:r>
        <w:rPr>
          <w:noProof/>
        </w:rPr>
        <w:drawing>
          <wp:inline distT="0" distB="0" distL="0" distR="0" wp14:anchorId="4F7FA7A4" wp14:editId="4F7FA7A5">
            <wp:extent cx="5699760" cy="35540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stretch/>
                  </pic:blipFill>
                  <pic:spPr>
                    <a:xfrm>
                      <a:off x="0" y="0"/>
                      <a:ext cx="5699760" cy="3554095"/>
                    </a:xfrm>
                    <a:prstGeom prst="rect">
                      <a:avLst/>
                    </a:prstGeom>
                  </pic:spPr>
                </pic:pic>
              </a:graphicData>
            </a:graphic>
          </wp:inline>
        </w:drawing>
      </w:r>
    </w:p>
    <w:p w14:paraId="4F7FA733" w14:textId="77777777" w:rsidR="009F049C" w:rsidRDefault="00DD745D">
      <w:pPr>
        <w:pStyle w:val="Picturecaption10"/>
        <w:sectPr w:rsidR="009F049C">
          <w:footnotePr>
            <w:numStart w:val="3"/>
          </w:footnotePr>
          <w:pgSz w:w="11900" w:h="16840"/>
          <w:pgMar w:top="692" w:right="1411" w:bottom="1028" w:left="1397" w:header="0" w:footer="3" w:gutter="0"/>
          <w:cols w:space="720"/>
          <w:noEndnote/>
          <w:docGrid w:linePitch="360"/>
          <w15:footnoteColumns w:val="1"/>
        </w:sectPr>
      </w:pPr>
      <w:bookmarkStart w:id="81" w:name="bookmark80"/>
      <w:r>
        <w:t>Figure 14. Development of the number of university teachers FO 1989-202O</w:t>
      </w:r>
      <w:r>
        <w:rPr>
          <w:vertAlign w:val="superscript"/>
        </w:rPr>
        <w:t>17</w:t>
      </w:r>
      <w:bookmarkEnd w:id="81"/>
    </w:p>
    <w:p w14:paraId="4F7FA735" w14:textId="77777777" w:rsidR="009F049C" w:rsidRDefault="00DD745D">
      <w:pPr>
        <w:pStyle w:val="Bodytext20"/>
      </w:pPr>
      <w:r>
        <w:lastRenderedPageBreak/>
        <w:t>SLOVAK ACCREDITATION AGENCY FOR HIGHER EDUCATION</w:t>
      </w:r>
    </w:p>
    <w:p w14:paraId="4F7FA736" w14:textId="77777777" w:rsidR="009F049C" w:rsidRDefault="00DD745D">
      <w:pPr>
        <w:pStyle w:val="Bodytext10"/>
        <w:jc w:val="both"/>
      </w:pPr>
      <w:proofErr w:type="spellStart"/>
      <w:r>
        <w:t>statistics</w:t>
      </w:r>
      <w:proofErr w:type="spellEnd"/>
      <w:r>
        <w:t xml:space="preserve"> are not </w:t>
      </w:r>
      <w:proofErr w:type="spellStart"/>
      <w:r>
        <w:t>separated</w:t>
      </w:r>
      <w:proofErr w:type="spellEnd"/>
      <w:r>
        <w:t xml:space="preserve"> and </w:t>
      </w:r>
      <w:proofErr w:type="spellStart"/>
      <w:r>
        <w:t>appear</w:t>
      </w:r>
      <w:proofErr w:type="spellEnd"/>
      <w:r>
        <w:t xml:space="preserve"> to be </w:t>
      </w:r>
      <w:proofErr w:type="spellStart"/>
      <w:r>
        <w:t>counted</w:t>
      </w:r>
      <w:proofErr w:type="spellEnd"/>
      <w:r>
        <w:t xml:space="preserve">, even if only part of their work is linked to educational activity. It is therefore not clear whether a part-time teacher </w:t>
      </w:r>
      <w:proofErr w:type="spellStart"/>
      <w:r>
        <w:t>teaches</w:t>
      </w:r>
      <w:proofErr w:type="spellEnd"/>
      <w:r>
        <w:t xml:space="preserve"> one or more subjects and how much time he actually </w:t>
      </w:r>
      <w:proofErr w:type="spellStart"/>
      <w:r>
        <w:t>devotes</w:t>
      </w:r>
      <w:proofErr w:type="spellEnd"/>
      <w:r>
        <w:t xml:space="preserve"> to students </w:t>
      </w:r>
      <w:proofErr w:type="spellStart"/>
      <w:r>
        <w:t>versus</w:t>
      </w:r>
      <w:proofErr w:type="spellEnd"/>
      <w:r>
        <w:t xml:space="preserve"> other activities — that is to </w:t>
      </w:r>
      <w:proofErr w:type="spellStart"/>
      <w:r>
        <w:t>say</w:t>
      </w:r>
      <w:proofErr w:type="spellEnd"/>
      <w:r>
        <w:t xml:space="preserve">, in what proportion is to be included in the </w:t>
      </w:r>
      <w:proofErr w:type="spellStart"/>
      <w:r>
        <w:t>conversion</w:t>
      </w:r>
      <w:proofErr w:type="spellEnd"/>
      <w:r>
        <w:t xml:space="preserve"> of students into a teacher.</w:t>
      </w:r>
    </w:p>
    <w:p w14:paraId="4F7FA737" w14:textId="77777777" w:rsidR="009F049C" w:rsidRDefault="00DD745D">
      <w:pPr>
        <w:pStyle w:val="Bodytext10"/>
        <w:jc w:val="both"/>
      </w:pPr>
      <w:r>
        <w:t xml:space="preserve">The </w:t>
      </w:r>
      <w:proofErr w:type="spellStart"/>
      <w:r>
        <w:t>evolution</w:t>
      </w:r>
      <w:proofErr w:type="spellEnd"/>
      <w:r>
        <w:t xml:space="preserve"> of the number of teachers by position </w:t>
      </w:r>
      <w:proofErr w:type="spellStart"/>
      <w:r>
        <w:t>differs</w:t>
      </w:r>
      <w:proofErr w:type="spellEnd"/>
      <w:r>
        <w:t xml:space="preserve"> from that of the number of students, as teachers </w:t>
      </w:r>
      <w:proofErr w:type="spellStart"/>
      <w:r>
        <w:t>remain</w:t>
      </w:r>
      <w:proofErr w:type="spellEnd"/>
      <w:r>
        <w:t xml:space="preserve"> longer in higher education (mostly the whole </w:t>
      </w:r>
      <w:proofErr w:type="spellStart"/>
      <w:r>
        <w:t>career</w:t>
      </w:r>
      <w:proofErr w:type="spellEnd"/>
      <w:r>
        <w:t xml:space="preserve">), which is reflected in the greater stability of the indicators on the chart over the years shown. In 2020, the number of teachers was between 1999 and 2000. The number of professors has </w:t>
      </w:r>
      <w:proofErr w:type="spellStart"/>
      <w:r>
        <w:t>declined</w:t>
      </w:r>
      <w:proofErr w:type="spellEnd"/>
      <w:r>
        <w:t xml:space="preserve"> very slightly in recent years, associate professors are a relatively </w:t>
      </w:r>
      <w:proofErr w:type="spellStart"/>
      <w:r>
        <w:t>stable</w:t>
      </w:r>
      <w:proofErr w:type="spellEnd"/>
      <w:r>
        <w:t xml:space="preserve"> group. In terms of changes in staff structure, the most </w:t>
      </w:r>
      <w:proofErr w:type="spellStart"/>
      <w:r>
        <w:t>moving</w:t>
      </w:r>
      <w:proofErr w:type="spellEnd"/>
      <w:r>
        <w:t xml:space="preserve"> groups are </w:t>
      </w:r>
      <w:proofErr w:type="spellStart"/>
      <w:r>
        <w:t>assistants</w:t>
      </w:r>
      <w:proofErr w:type="spellEnd"/>
      <w:r>
        <w:t xml:space="preserve"> and </w:t>
      </w:r>
      <w:proofErr w:type="spellStart"/>
      <w:r>
        <w:t>short</w:t>
      </w:r>
      <w:proofErr w:type="spellEnd"/>
      <w:r>
        <w:t xml:space="preserve">-term teachers. The numbers of teachers in other positions have </w:t>
      </w:r>
      <w:proofErr w:type="spellStart"/>
      <w:r>
        <w:t>stabilised</w:t>
      </w:r>
      <w:proofErr w:type="spellEnd"/>
      <w:r>
        <w:t xml:space="preserve"> since 2010. There was a </w:t>
      </w:r>
      <w:proofErr w:type="spellStart"/>
      <w:r>
        <w:t>leap</w:t>
      </w:r>
      <w:proofErr w:type="spellEnd"/>
      <w:r>
        <w:t xml:space="preserve"> between 2006 and 2007 which is </w:t>
      </w:r>
      <w:proofErr w:type="spellStart"/>
      <w:r>
        <w:t>likely</w:t>
      </w:r>
      <w:proofErr w:type="spellEnd"/>
      <w:r>
        <w:t xml:space="preserve"> to result from a change in reporting. It is also </w:t>
      </w:r>
      <w:proofErr w:type="spellStart"/>
      <w:r>
        <w:t>unclear</w:t>
      </w:r>
      <w:proofErr w:type="spellEnd"/>
      <w:r>
        <w:t xml:space="preserve"> from the available sources whether the same person can be </w:t>
      </w:r>
      <w:proofErr w:type="spellStart"/>
      <w:r>
        <w:t>counted</w:t>
      </w:r>
      <w:proofErr w:type="spellEnd"/>
      <w:r>
        <w:t xml:space="preserve"> several times. According to the HEI register, persons with multiple </w:t>
      </w:r>
      <w:proofErr w:type="spellStart"/>
      <w:r>
        <w:t>contracts</w:t>
      </w:r>
      <w:proofErr w:type="spellEnd"/>
      <w:r>
        <w:t xml:space="preserve"> are slightly over 400, their </w:t>
      </w:r>
      <w:proofErr w:type="spellStart"/>
      <w:r>
        <w:t>average</w:t>
      </w:r>
      <w:proofErr w:type="spellEnd"/>
      <w:r>
        <w:t xml:space="preserve"> time is 1.36. These </w:t>
      </w:r>
      <w:proofErr w:type="spellStart"/>
      <w:r>
        <w:t>contracts</w:t>
      </w:r>
      <w:proofErr w:type="spellEnd"/>
      <w:r>
        <w:t xml:space="preserve"> may slightly </w:t>
      </w:r>
      <w:proofErr w:type="spellStart"/>
      <w:r>
        <w:t>overestimate</w:t>
      </w:r>
      <w:proofErr w:type="spellEnd"/>
      <w:r>
        <w:t xml:space="preserve"> the real number of </w:t>
      </w:r>
      <w:proofErr w:type="spellStart"/>
      <w:r>
        <w:t>individuals</w:t>
      </w:r>
      <w:proofErr w:type="spellEnd"/>
      <w:r>
        <w:t xml:space="preserve"> active in higher education institutions. In the last </w:t>
      </w:r>
      <w:proofErr w:type="spellStart"/>
      <w:r>
        <w:t>decade</w:t>
      </w:r>
      <w:proofErr w:type="spellEnd"/>
      <w:r>
        <w:t xml:space="preserve">, however, there has also been a decrease in multiple </w:t>
      </w:r>
      <w:proofErr w:type="spellStart"/>
      <w:r>
        <w:t>contracts</w:t>
      </w:r>
      <w:proofErr w:type="spellEnd"/>
      <w:r>
        <w:t>.</w:t>
      </w:r>
    </w:p>
    <w:p w14:paraId="4F7FA738" w14:textId="77777777" w:rsidR="009F049C" w:rsidRDefault="00DD745D">
      <w:pPr>
        <w:pStyle w:val="Bodytext10"/>
        <w:jc w:val="both"/>
      </w:pPr>
      <w:r>
        <w:t xml:space="preserve">Figure 15 shows the number of teachers, </w:t>
      </w:r>
      <w:proofErr w:type="spellStart"/>
      <w:r>
        <w:t>expressed</w:t>
      </w:r>
      <w:proofErr w:type="spellEnd"/>
      <w:r>
        <w:t xml:space="preserve"> in full-time terms, i.e. the </w:t>
      </w:r>
      <w:proofErr w:type="spellStart"/>
      <w:r>
        <w:t>sum</w:t>
      </w:r>
      <w:proofErr w:type="spellEnd"/>
      <w:r>
        <w:t xml:space="preserve"> of the </w:t>
      </w:r>
      <w:proofErr w:type="spellStart"/>
      <w:r>
        <w:t>contracts</w:t>
      </w:r>
      <w:proofErr w:type="spellEnd"/>
      <w:r>
        <w:t xml:space="preserve"> rather than the number of persons </w:t>
      </w:r>
      <w:proofErr w:type="spellStart"/>
      <w:r>
        <w:t>performing</w:t>
      </w:r>
      <w:proofErr w:type="spellEnd"/>
      <w:r>
        <w:t xml:space="preserve"> these </w:t>
      </w:r>
      <w:proofErr w:type="spellStart"/>
      <w:r>
        <w:t>contracts</w:t>
      </w:r>
      <w:proofErr w:type="spellEnd"/>
      <w:r>
        <w:t xml:space="preserve">. This data </w:t>
      </w:r>
      <w:proofErr w:type="spellStart"/>
      <w:r>
        <w:t>comes</w:t>
      </w:r>
      <w:proofErr w:type="spellEnd"/>
      <w:r>
        <w:t xml:space="preserve"> from the public section of the Register of Employees of Higher Education</w:t>
      </w:r>
      <w:r>
        <w:footnoteReference w:id="16"/>
      </w:r>
      <w:r>
        <w:footnoteReference w:id="17"/>
      </w:r>
      <w:r>
        <w:t xml:space="preserve">. The register is </w:t>
      </w:r>
      <w:proofErr w:type="spellStart"/>
      <w:r>
        <w:t>updated</w:t>
      </w:r>
      <w:proofErr w:type="spellEnd"/>
      <w:r>
        <w:t xml:space="preserve"> by universities on a </w:t>
      </w:r>
      <w:proofErr w:type="spellStart"/>
      <w:r>
        <w:t>monthly</w:t>
      </w:r>
      <w:proofErr w:type="spellEnd"/>
      <w:r>
        <w:t xml:space="preserve"> basis, with a total of 11 </w:t>
      </w:r>
      <w:proofErr w:type="spellStart"/>
      <w:r>
        <w:t>functions</w:t>
      </w:r>
      <w:proofErr w:type="spellEnd"/>
      <w:r>
        <w:t xml:space="preserve">/positions to which staff can be assigned. Only the categories relevant to the learning activity were used for the display: [1] together Professor and Professor, [2] Associate Professor, [3] </w:t>
      </w:r>
      <w:proofErr w:type="spellStart"/>
      <w:r>
        <w:t>Assistant</w:t>
      </w:r>
      <w:proofErr w:type="spellEnd"/>
      <w:r>
        <w:t xml:space="preserve">, [4] </w:t>
      </w:r>
      <w:proofErr w:type="spellStart"/>
      <w:r>
        <w:t>Assistant</w:t>
      </w:r>
      <w:proofErr w:type="spellEnd"/>
      <w:r>
        <w:t xml:space="preserve">, [5] </w:t>
      </w:r>
      <w:proofErr w:type="spellStart"/>
      <w:r>
        <w:t>Lecturer</w:t>
      </w:r>
      <w:proofErr w:type="spellEnd"/>
      <w:r>
        <w:t xml:space="preserve"> and [6] Staff </w:t>
      </w:r>
      <w:proofErr w:type="spellStart"/>
      <w:r>
        <w:t>engaged</w:t>
      </w:r>
      <w:proofErr w:type="spellEnd"/>
      <w:r>
        <w:t xml:space="preserve"> in non-employment activities of the University of Teacher.</w:t>
      </w:r>
    </w:p>
    <w:p w14:paraId="4F7FA739" w14:textId="77777777" w:rsidR="009F049C" w:rsidRDefault="00DD745D">
      <w:pPr>
        <w:jc w:val="center"/>
        <w:rPr>
          <w:sz w:val="2"/>
        </w:rPr>
      </w:pPr>
      <w:r>
        <w:rPr>
          <w:noProof/>
        </w:rPr>
        <w:drawing>
          <wp:inline distT="0" distB="0" distL="0" distR="0" wp14:anchorId="4F7FA7A6" wp14:editId="4F7FA7A7">
            <wp:extent cx="5632450" cy="316992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a:stretch/>
                  </pic:blipFill>
                  <pic:spPr>
                    <a:xfrm>
                      <a:off x="0" y="0"/>
                      <a:ext cx="5632450" cy="3169920"/>
                    </a:xfrm>
                    <a:prstGeom prst="rect">
                      <a:avLst/>
                    </a:prstGeom>
                  </pic:spPr>
                </pic:pic>
              </a:graphicData>
            </a:graphic>
          </wp:inline>
        </w:drawing>
      </w:r>
    </w:p>
    <w:p w14:paraId="4F7FA73A" w14:textId="77777777" w:rsidR="009F049C" w:rsidRDefault="00DD745D">
      <w:pPr>
        <w:pStyle w:val="Picturecaption10"/>
        <w:sectPr w:rsidR="009F049C">
          <w:footnotePr>
            <w:numStart w:val="3"/>
          </w:footnotePr>
          <w:pgSz w:w="11900" w:h="16840"/>
          <w:pgMar w:top="692" w:right="1407" w:bottom="1033" w:left="1402" w:header="0" w:footer="3" w:gutter="0"/>
          <w:cols w:space="720"/>
          <w:noEndnote/>
          <w:docGrid w:linePitch="360"/>
          <w15:footnoteColumns w:val="1"/>
        </w:sectPr>
      </w:pPr>
      <w:bookmarkStart w:id="82" w:name="bookmark81"/>
      <w:r>
        <w:t>Figure 15. Evolution of the number of university teachers FTE 2011-2020</w:t>
      </w:r>
      <w:r>
        <w:rPr>
          <w:vertAlign w:val="superscript"/>
        </w:rPr>
        <w:t>19</w:t>
      </w:r>
      <w:bookmarkEnd w:id="82"/>
    </w:p>
    <w:p w14:paraId="4F7FA73C" w14:textId="77777777" w:rsidR="009F049C" w:rsidRDefault="00DD745D">
      <w:pPr>
        <w:pStyle w:val="Bodytext20"/>
      </w:pPr>
      <w:r>
        <w:lastRenderedPageBreak/>
        <w:t>SLOVAK ACCREDITATION AGENCY FOR HIGHER EDUCATION</w:t>
      </w:r>
    </w:p>
    <w:p w14:paraId="4F7FA73D" w14:textId="77777777" w:rsidR="009F049C" w:rsidRDefault="00DD745D">
      <w:pPr>
        <w:pStyle w:val="Bodytext10"/>
        <w:jc w:val="both"/>
      </w:pPr>
      <w:r>
        <w:t xml:space="preserve">While natural persons </w:t>
      </w:r>
      <w:proofErr w:type="spellStart"/>
      <w:r>
        <w:t>fell</w:t>
      </w:r>
      <w:proofErr w:type="spellEnd"/>
      <w:r>
        <w:t xml:space="preserve"> between 2011 and 2020 to 92 % of the 2011 </w:t>
      </w:r>
      <w:proofErr w:type="spellStart"/>
      <w:r>
        <w:t>stock</w:t>
      </w:r>
      <w:proofErr w:type="spellEnd"/>
      <w:r>
        <w:t xml:space="preserve">, the </w:t>
      </w:r>
      <w:proofErr w:type="spellStart"/>
      <w:r>
        <w:t>contraction</w:t>
      </w:r>
      <w:proofErr w:type="spellEnd"/>
      <w:r>
        <w:t xml:space="preserve"> was more pronounced and </w:t>
      </w:r>
      <w:proofErr w:type="spellStart"/>
      <w:r>
        <w:t>fell</w:t>
      </w:r>
      <w:proofErr w:type="spellEnd"/>
      <w:r>
        <w:t xml:space="preserve"> to 85 % of 2011. The </w:t>
      </w:r>
      <w:proofErr w:type="spellStart"/>
      <w:r>
        <w:t>biggest</w:t>
      </w:r>
      <w:proofErr w:type="spellEnd"/>
      <w:r>
        <w:t xml:space="preserve"> decrease was in the group of </w:t>
      </w:r>
      <w:proofErr w:type="spellStart"/>
      <w:r>
        <w:t>assistants</w:t>
      </w:r>
      <w:proofErr w:type="spellEnd"/>
      <w:r>
        <w:t xml:space="preserve">, where almost 30 % of staff left in the last 10 years. At the same time, there was an increase in teachers working </w:t>
      </w:r>
      <w:proofErr w:type="spellStart"/>
      <w:r>
        <w:t>alongside</w:t>
      </w:r>
      <w:proofErr w:type="spellEnd"/>
      <w:r>
        <w:t xml:space="preserve"> other professional activities. There is also a significant </w:t>
      </w:r>
      <w:proofErr w:type="spellStart"/>
      <w:r>
        <w:t>difference</w:t>
      </w:r>
      <w:proofErr w:type="spellEnd"/>
      <w:r>
        <w:t xml:space="preserve"> in the total number of teachers — while the </w:t>
      </w:r>
      <w:proofErr w:type="spellStart"/>
      <w:r>
        <w:t>physical</w:t>
      </w:r>
      <w:proofErr w:type="spellEnd"/>
      <w:r>
        <w:t xml:space="preserve"> persons </w:t>
      </w:r>
      <w:proofErr w:type="spellStart"/>
      <w:r>
        <w:t>employed</w:t>
      </w:r>
      <w:proofErr w:type="spellEnd"/>
      <w:r>
        <w:t xml:space="preserve"> as many as 11.6 </w:t>
      </w:r>
      <w:proofErr w:type="spellStart"/>
      <w:r>
        <w:t>thousand</w:t>
      </w:r>
      <w:proofErr w:type="spellEnd"/>
      <w:r>
        <w:t xml:space="preserve"> people in HEI, according to full-time </w:t>
      </w:r>
      <w:proofErr w:type="spellStart"/>
      <w:r>
        <w:t>equivalents</w:t>
      </w:r>
      <w:proofErr w:type="spellEnd"/>
      <w:r>
        <w:t xml:space="preserve">, they </w:t>
      </w:r>
      <w:proofErr w:type="spellStart"/>
      <w:r>
        <w:t>accounted</w:t>
      </w:r>
      <w:proofErr w:type="spellEnd"/>
      <w:r>
        <w:t xml:space="preserve"> for only 9.8 </w:t>
      </w:r>
      <w:proofErr w:type="spellStart"/>
      <w:r>
        <w:t>thousand</w:t>
      </w:r>
      <w:proofErr w:type="spellEnd"/>
      <w:r>
        <w:t xml:space="preserve"> full-time jobs.</w:t>
      </w:r>
    </w:p>
    <w:p w14:paraId="4F7FA73E" w14:textId="77777777" w:rsidR="009F049C" w:rsidRDefault="00DD745D">
      <w:pPr>
        <w:pStyle w:val="Heading110"/>
        <w:keepNext/>
        <w:keepLines/>
        <w:numPr>
          <w:ilvl w:val="0"/>
          <w:numId w:val="7"/>
        </w:numPr>
        <w:jc w:val="both"/>
      </w:pPr>
      <w:bookmarkStart w:id="83" w:name="bookmark85"/>
      <w:bookmarkStart w:id="84" w:name="bookmark83"/>
      <w:bookmarkStart w:id="85" w:name="bookmark86"/>
      <w:bookmarkStart w:id="86" w:name="bookmark82"/>
      <w:bookmarkStart w:id="87" w:name="_Toc97734032"/>
      <w:bookmarkStart w:id="88" w:name="_Toc97734051"/>
      <w:bookmarkEnd w:id="83"/>
      <w:r>
        <w:t>B. Researchers</w:t>
      </w:r>
      <w:bookmarkEnd w:id="84"/>
      <w:bookmarkEnd w:id="85"/>
      <w:bookmarkEnd w:id="86"/>
      <w:bookmarkEnd w:id="87"/>
      <w:bookmarkEnd w:id="88"/>
    </w:p>
    <w:p w14:paraId="4F7FA73F" w14:textId="77777777" w:rsidR="009F049C" w:rsidRDefault="00DD745D">
      <w:pPr>
        <w:pStyle w:val="Bodytext10"/>
        <w:jc w:val="both"/>
      </w:pPr>
      <w:r>
        <w:t xml:space="preserve">In addition to teachers, there are also researchers in higher education. Detailed data on their operations have been available since 2011 on the basis of a public overview of the Register of Employees. Currently, 1520 full-time </w:t>
      </w:r>
      <w:proofErr w:type="spellStart"/>
      <w:r>
        <w:t>equivalents</w:t>
      </w:r>
      <w:proofErr w:type="spellEnd"/>
      <w:r>
        <w:t xml:space="preserve"> (</w:t>
      </w:r>
      <w:proofErr w:type="spellStart"/>
      <w:r>
        <w:t>FTEs</w:t>
      </w:r>
      <w:proofErr w:type="spellEnd"/>
      <w:r>
        <w:t xml:space="preserve">) are </w:t>
      </w:r>
      <w:proofErr w:type="spellStart"/>
      <w:r>
        <w:t>employed</w:t>
      </w:r>
      <w:proofErr w:type="spellEnd"/>
      <w:r>
        <w:t xml:space="preserve"> in higher education institutions in a research-related position. Of these, researchers make up more than 1481 </w:t>
      </w:r>
      <w:proofErr w:type="spellStart"/>
      <w:r>
        <w:t>contracts</w:t>
      </w:r>
      <w:proofErr w:type="spellEnd"/>
      <w:r>
        <w:t xml:space="preserve">. </w:t>
      </w:r>
      <w:proofErr w:type="spellStart"/>
      <w:r>
        <w:t>Technicians</w:t>
      </w:r>
      <w:proofErr w:type="spellEnd"/>
      <w:r>
        <w:t xml:space="preserve">, </w:t>
      </w:r>
      <w:proofErr w:type="spellStart"/>
      <w:r>
        <w:t>auxiliaries</w:t>
      </w:r>
      <w:proofErr w:type="spellEnd"/>
      <w:r>
        <w:t xml:space="preserve"> and staff </w:t>
      </w:r>
      <w:proofErr w:type="spellStart"/>
      <w:r>
        <w:t>engaged</w:t>
      </w:r>
      <w:proofErr w:type="spellEnd"/>
      <w:r>
        <w:t xml:space="preserve"> in non-employment research activities shall have a total of less than 39 jobs. Since 2011, there has been a significant decrease of more than 200 jobs, the number of </w:t>
      </w:r>
      <w:proofErr w:type="spellStart"/>
      <w:r>
        <w:t>technicians</w:t>
      </w:r>
      <w:proofErr w:type="spellEnd"/>
      <w:r>
        <w:t xml:space="preserve"> has almost </w:t>
      </w:r>
      <w:proofErr w:type="spellStart"/>
      <w:r>
        <w:t>halved</w:t>
      </w:r>
      <w:proofErr w:type="spellEnd"/>
      <w:r>
        <w:t xml:space="preserve"> from 39 to 21.</w:t>
      </w:r>
    </w:p>
    <w:p w14:paraId="4F7FA740" w14:textId="77777777" w:rsidR="009F049C" w:rsidRDefault="00DD745D">
      <w:pPr>
        <w:pStyle w:val="Heading110"/>
        <w:keepNext/>
        <w:keepLines/>
        <w:numPr>
          <w:ilvl w:val="0"/>
          <w:numId w:val="6"/>
        </w:numPr>
        <w:jc w:val="both"/>
      </w:pPr>
      <w:bookmarkStart w:id="89" w:name="bookmark90"/>
      <w:bookmarkStart w:id="90" w:name="bookmark88"/>
      <w:bookmarkStart w:id="91" w:name="bookmark91"/>
      <w:bookmarkStart w:id="92" w:name="bookmark87"/>
      <w:bookmarkStart w:id="93" w:name="_Toc97734033"/>
      <w:bookmarkStart w:id="94" w:name="_Toc97734052"/>
      <w:bookmarkEnd w:id="89"/>
      <w:r>
        <w:t>C. Developing the number of students at university teacher (1989-2020)</w:t>
      </w:r>
      <w:bookmarkEnd w:id="90"/>
      <w:bookmarkEnd w:id="91"/>
      <w:bookmarkEnd w:id="92"/>
      <w:bookmarkEnd w:id="93"/>
      <w:bookmarkEnd w:id="94"/>
    </w:p>
    <w:p w14:paraId="4F7FA741" w14:textId="77777777" w:rsidR="009F049C" w:rsidRDefault="00DD745D">
      <w:pPr>
        <w:pStyle w:val="Bodytext10"/>
        <w:spacing w:after="440" w:line="257" w:lineRule="auto"/>
        <w:jc w:val="both"/>
      </w:pPr>
      <w:r>
        <w:t xml:space="preserve">More important data than teacher numbers is the </w:t>
      </w:r>
      <w:proofErr w:type="spellStart"/>
      <w:r>
        <w:t>conversion</w:t>
      </w:r>
      <w:proofErr w:type="spellEnd"/>
      <w:r>
        <w:t xml:space="preserve"> of students into teachers. Figure 16 shows the number of students per teacher and </w:t>
      </w:r>
      <w:proofErr w:type="spellStart"/>
      <w:r>
        <w:t>reflects</w:t>
      </w:r>
      <w:proofErr w:type="spellEnd"/>
      <w:r>
        <w:t xml:space="preserve"> different </w:t>
      </w:r>
      <w:proofErr w:type="spellStart"/>
      <w:r>
        <w:t>calculations</w:t>
      </w:r>
      <w:proofErr w:type="spellEnd"/>
      <w:r>
        <w:t xml:space="preserve"> of the number of university teachers. Student data are always reported on 31 October of a given year and come from data published by CVTI. The number of teachers was with one </w:t>
      </w:r>
      <w:proofErr w:type="spellStart"/>
      <w:r>
        <w:t>exception</w:t>
      </w:r>
      <w:proofErr w:type="spellEnd"/>
      <w:r>
        <w:t xml:space="preserve"> (FTE in 2011 was 31. 12. 2011) also </w:t>
      </w:r>
      <w:proofErr w:type="spellStart"/>
      <w:r>
        <w:t>quoted</w:t>
      </w:r>
      <w:proofErr w:type="spellEnd"/>
      <w:r>
        <w:t xml:space="preserve"> on 31 October. The graph shows three different </w:t>
      </w:r>
      <w:proofErr w:type="spellStart"/>
      <w:r>
        <w:t>variants</w:t>
      </w:r>
      <w:proofErr w:type="spellEnd"/>
      <w:r>
        <w:t xml:space="preserve"> of the </w:t>
      </w:r>
      <w:proofErr w:type="spellStart"/>
      <w:r>
        <w:t>calculation</w:t>
      </w:r>
      <w:proofErr w:type="spellEnd"/>
      <w:r>
        <w:t xml:space="preserve">, the </w:t>
      </w:r>
      <w:proofErr w:type="spellStart"/>
      <w:r>
        <w:t>grey</w:t>
      </w:r>
      <w:proofErr w:type="spellEnd"/>
      <w:r>
        <w:t xml:space="preserve"> line contains the basic </w:t>
      </w:r>
      <w:proofErr w:type="spellStart"/>
      <w:r>
        <w:t>conversion</w:t>
      </w:r>
      <w:proofErr w:type="spellEnd"/>
      <w:r>
        <w:t xml:space="preserve"> based on the number</w:t>
      </w:r>
    </w:p>
    <w:p w14:paraId="4F7FA742" w14:textId="77777777" w:rsidR="009F049C" w:rsidRDefault="00DD745D">
      <w:pPr>
        <w:jc w:val="center"/>
        <w:rPr>
          <w:sz w:val="2"/>
        </w:rPr>
      </w:pPr>
      <w:r>
        <w:rPr>
          <w:noProof/>
        </w:rPr>
        <w:drawing>
          <wp:inline distT="0" distB="0" distL="0" distR="0" wp14:anchorId="4F7FA7A8" wp14:editId="4F7FA7A9">
            <wp:extent cx="5699760" cy="377952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a:stretch/>
                  </pic:blipFill>
                  <pic:spPr>
                    <a:xfrm>
                      <a:off x="0" y="0"/>
                      <a:ext cx="5699760" cy="3779520"/>
                    </a:xfrm>
                    <a:prstGeom prst="rect">
                      <a:avLst/>
                    </a:prstGeom>
                  </pic:spPr>
                </pic:pic>
              </a:graphicData>
            </a:graphic>
          </wp:inline>
        </w:drawing>
      </w:r>
    </w:p>
    <w:p w14:paraId="4F7FA743" w14:textId="77777777" w:rsidR="009F049C" w:rsidRDefault="00DD745D">
      <w:pPr>
        <w:pStyle w:val="Picturecaption10"/>
        <w:sectPr w:rsidR="009F049C">
          <w:footnotePr>
            <w:numStart w:val="3"/>
          </w:footnotePr>
          <w:pgSz w:w="11900" w:h="16840"/>
          <w:pgMar w:top="692" w:right="1407" w:bottom="1028" w:left="1407" w:header="0" w:footer="3" w:gutter="0"/>
          <w:cols w:space="720"/>
          <w:noEndnote/>
          <w:docGrid w:linePitch="360"/>
          <w15:footnoteColumns w:val="1"/>
        </w:sectPr>
      </w:pPr>
      <w:bookmarkStart w:id="95" w:name="bookmark92"/>
      <w:r>
        <w:t>Figure 1616. Development of the number of students per university teacher</w:t>
      </w:r>
      <w:bookmarkEnd w:id="95"/>
    </w:p>
    <w:p w14:paraId="4F7FA745" w14:textId="77777777" w:rsidR="009F049C" w:rsidRDefault="00DD745D">
      <w:pPr>
        <w:pStyle w:val="Bodytext20"/>
      </w:pPr>
      <w:r>
        <w:lastRenderedPageBreak/>
        <w:t>SLOVAK ACCREDITATION AGENCY FOR HIGHER EDUCATION</w:t>
      </w:r>
    </w:p>
    <w:p w14:paraId="4F7FA746" w14:textId="77777777" w:rsidR="009F049C" w:rsidRDefault="00DD745D">
      <w:pPr>
        <w:pStyle w:val="Bodytext10"/>
        <w:jc w:val="both"/>
      </w:pPr>
      <w:r>
        <w:t xml:space="preserve">teachers like FO, </w:t>
      </w:r>
      <w:proofErr w:type="spellStart"/>
      <w:r>
        <w:t>regardless</w:t>
      </w:r>
      <w:proofErr w:type="spellEnd"/>
      <w:r>
        <w:t xml:space="preserve"> of whether they are full-time or part-time teachers. The </w:t>
      </w:r>
      <w:proofErr w:type="spellStart"/>
      <w:r>
        <w:t>limitation</w:t>
      </w:r>
      <w:proofErr w:type="spellEnd"/>
      <w:r>
        <w:t xml:space="preserve"> is that all teachers, including those with </w:t>
      </w:r>
      <w:proofErr w:type="spellStart"/>
      <w:r>
        <w:t>incomplete</w:t>
      </w:r>
      <w:proofErr w:type="spellEnd"/>
      <w:r>
        <w:t xml:space="preserve"> </w:t>
      </w:r>
      <w:proofErr w:type="spellStart"/>
      <w:r>
        <w:t>contracts</w:t>
      </w:r>
      <w:proofErr w:type="spellEnd"/>
      <w:r>
        <w:t xml:space="preserve">, are </w:t>
      </w:r>
      <w:proofErr w:type="spellStart"/>
      <w:r>
        <w:t>counted</w:t>
      </w:r>
      <w:proofErr w:type="spellEnd"/>
      <w:r>
        <w:t xml:space="preserve"> as full-time teachers. The blue line shows only the </w:t>
      </w:r>
      <w:proofErr w:type="spellStart"/>
      <w:r>
        <w:t>conversion</w:t>
      </w:r>
      <w:proofErr w:type="spellEnd"/>
      <w:r>
        <w:t xml:space="preserve"> with full-time teachers, i.e. if they have more than 2/3 of the time. Thus, more than one-</w:t>
      </w:r>
      <w:proofErr w:type="spellStart"/>
      <w:r>
        <w:t>tenth</w:t>
      </w:r>
      <w:proofErr w:type="spellEnd"/>
      <w:r>
        <w:t xml:space="preserve"> of part-time persons are </w:t>
      </w:r>
      <w:proofErr w:type="spellStart"/>
      <w:r>
        <w:t>omitted</w:t>
      </w:r>
      <w:proofErr w:type="spellEnd"/>
      <w:r>
        <w:t xml:space="preserve"> from the </w:t>
      </w:r>
      <w:proofErr w:type="spellStart"/>
      <w:r>
        <w:t>calculation</w:t>
      </w:r>
      <w:proofErr w:type="spellEnd"/>
      <w:r>
        <w:t xml:space="preserve">. The </w:t>
      </w:r>
      <w:proofErr w:type="spellStart"/>
      <w:r>
        <w:t>red</w:t>
      </w:r>
      <w:proofErr w:type="spellEnd"/>
      <w:r>
        <w:t xml:space="preserve"> line shows a full-time </w:t>
      </w:r>
      <w:proofErr w:type="spellStart"/>
      <w:r>
        <w:t>equivalent</w:t>
      </w:r>
      <w:proofErr w:type="spellEnd"/>
      <w:r>
        <w:t xml:space="preserve"> (FTE) </w:t>
      </w:r>
      <w:proofErr w:type="spellStart"/>
      <w:r>
        <w:t>conversion</w:t>
      </w:r>
      <w:proofErr w:type="spellEnd"/>
      <w:r>
        <w:t xml:space="preserve">, but source data only </w:t>
      </w:r>
      <w:proofErr w:type="spellStart"/>
      <w:r>
        <w:t>exists</w:t>
      </w:r>
      <w:proofErr w:type="spellEnd"/>
      <w:r>
        <w:t xml:space="preserve"> since 2011 and only takes into account contract </w:t>
      </w:r>
      <w:proofErr w:type="spellStart"/>
      <w:r>
        <w:t>sizes</w:t>
      </w:r>
      <w:proofErr w:type="spellEnd"/>
      <w:r>
        <w:t xml:space="preserve"> (not real persons).</w:t>
      </w:r>
    </w:p>
    <w:p w14:paraId="4F7FA747" w14:textId="77777777" w:rsidR="009F049C" w:rsidRDefault="00DD745D">
      <w:pPr>
        <w:pStyle w:val="Bodytext10"/>
        <w:jc w:val="both"/>
      </w:pPr>
      <w:r>
        <w:t xml:space="preserve">Thanks to different </w:t>
      </w:r>
      <w:proofErr w:type="spellStart"/>
      <w:r>
        <w:t>calculation</w:t>
      </w:r>
      <w:proofErr w:type="spellEnd"/>
      <w:r>
        <w:t xml:space="preserve"> approaches, we have the opportunity to </w:t>
      </w:r>
      <w:proofErr w:type="spellStart"/>
      <w:r>
        <w:t>compare</w:t>
      </w:r>
      <w:proofErr w:type="spellEnd"/>
      <w:r>
        <w:t xml:space="preserve"> the </w:t>
      </w:r>
      <w:proofErr w:type="spellStart"/>
      <w:r>
        <w:t>consequences</w:t>
      </w:r>
      <w:proofErr w:type="spellEnd"/>
      <w:r>
        <w:t xml:space="preserve"> of different data sources on the resulting set. The </w:t>
      </w:r>
      <w:proofErr w:type="spellStart"/>
      <w:r>
        <w:t>conversion</w:t>
      </w:r>
      <w:proofErr w:type="spellEnd"/>
      <w:r>
        <w:t xml:space="preserve"> of the number of students per teacher follows the development of the number of students, with a </w:t>
      </w:r>
      <w:proofErr w:type="spellStart"/>
      <w:r>
        <w:t>sharp</w:t>
      </w:r>
      <w:proofErr w:type="spellEnd"/>
      <w:r>
        <w:t xml:space="preserve"> increase from the 90s until the end of the first </w:t>
      </w:r>
      <w:proofErr w:type="spellStart"/>
      <w:r>
        <w:t>decade</w:t>
      </w:r>
      <w:proofErr w:type="spellEnd"/>
      <w:r>
        <w:t xml:space="preserve"> of the 21st </w:t>
      </w:r>
      <w:proofErr w:type="spellStart"/>
      <w:r>
        <w:t>century</w:t>
      </w:r>
      <w:proofErr w:type="spellEnd"/>
      <w:r>
        <w:t xml:space="preserve">, </w:t>
      </w:r>
      <w:proofErr w:type="spellStart"/>
      <w:r>
        <w:t>followed</w:t>
      </w:r>
      <w:proofErr w:type="spellEnd"/>
      <w:r>
        <w:t xml:space="preserve"> by a gradual decline since 2009 and </w:t>
      </w:r>
      <w:proofErr w:type="spellStart"/>
      <w:r>
        <w:t>stabilisation</w:t>
      </w:r>
      <w:proofErr w:type="spellEnd"/>
      <w:r>
        <w:t xml:space="preserve"> in the last 3 years. If we look at a case where all teachers, including part-time teachers, are </w:t>
      </w:r>
      <w:proofErr w:type="spellStart"/>
      <w:r>
        <w:t>engaged</w:t>
      </w:r>
      <w:proofErr w:type="spellEnd"/>
      <w:r>
        <w:t xml:space="preserve"> in teaching, there were 11.8 students per teacher in 2020. If we do not take part-time teachers into account, there were as many as 13.9 students per teacher. If we only look at full-time </w:t>
      </w:r>
      <w:proofErr w:type="spellStart"/>
      <w:r>
        <w:t>equivalents</w:t>
      </w:r>
      <w:proofErr w:type="spellEnd"/>
      <w:r>
        <w:t xml:space="preserve">, this number will </w:t>
      </w:r>
      <w:proofErr w:type="spellStart"/>
      <w:r>
        <w:t>rise</w:t>
      </w:r>
      <w:proofErr w:type="spellEnd"/>
      <w:r>
        <w:t xml:space="preserve"> to 14 students per teacher. These </w:t>
      </w:r>
      <w:proofErr w:type="spellStart"/>
      <w:r>
        <w:t>figures</w:t>
      </w:r>
      <w:proofErr w:type="spellEnd"/>
      <w:r>
        <w:t xml:space="preserve"> are </w:t>
      </w:r>
      <w:proofErr w:type="spellStart"/>
      <w:r>
        <w:t>approximately</w:t>
      </w:r>
      <w:proofErr w:type="spellEnd"/>
      <w:r>
        <w:t xml:space="preserve"> at the 1999-2001 level.</w:t>
      </w:r>
    </w:p>
    <w:p w14:paraId="4F7FA748" w14:textId="77777777" w:rsidR="009F049C" w:rsidRDefault="00DD745D">
      <w:pPr>
        <w:pStyle w:val="Bodytext10"/>
        <w:spacing w:after="280"/>
        <w:jc w:val="both"/>
        <w:sectPr w:rsidR="009F049C">
          <w:footnotePr>
            <w:numStart w:val="3"/>
          </w:footnotePr>
          <w:pgSz w:w="11900" w:h="16840"/>
          <w:pgMar w:top="692" w:right="1407" w:bottom="1028" w:left="1407" w:header="0" w:footer="3" w:gutter="0"/>
          <w:cols w:space="720"/>
          <w:noEndnote/>
          <w:docGrid w:linePitch="360"/>
          <w15:footnoteColumns w:val="1"/>
        </w:sectPr>
      </w:pPr>
      <w:r>
        <w:t xml:space="preserve">In recent years, a number of analyses have focused on the slow decline of teachers compared to the trend in student numbers. However, their </w:t>
      </w:r>
      <w:proofErr w:type="spellStart"/>
      <w:r>
        <w:t>calculations</w:t>
      </w:r>
      <w:proofErr w:type="spellEnd"/>
      <w:r>
        <w:t xml:space="preserve"> have focused on </w:t>
      </w:r>
      <w:proofErr w:type="spellStart"/>
      <w:r>
        <w:t>developments</w:t>
      </w:r>
      <w:proofErr w:type="spellEnd"/>
      <w:r>
        <w:t xml:space="preserve"> only in the last 10-15 years. However, if we look at these data in a </w:t>
      </w:r>
      <w:proofErr w:type="spellStart"/>
      <w:r>
        <w:t>larger</w:t>
      </w:r>
      <w:proofErr w:type="spellEnd"/>
      <w:r>
        <w:t xml:space="preserve"> time </w:t>
      </w:r>
      <w:proofErr w:type="spellStart"/>
      <w:r>
        <w:t>window</w:t>
      </w:r>
      <w:proofErr w:type="spellEnd"/>
      <w:r>
        <w:t xml:space="preserve">, we will find that the current state of </w:t>
      </w:r>
      <w:proofErr w:type="spellStart"/>
      <w:r>
        <w:t>affairs</w:t>
      </w:r>
      <w:proofErr w:type="spellEnd"/>
      <w:r>
        <w:t xml:space="preserve"> </w:t>
      </w:r>
      <w:proofErr w:type="spellStart"/>
      <w:r>
        <w:t>resembles</w:t>
      </w:r>
      <w:proofErr w:type="spellEnd"/>
      <w:r>
        <w:t xml:space="preserve"> a situation from the </w:t>
      </w:r>
      <w:proofErr w:type="spellStart"/>
      <w:r>
        <w:t>turn</w:t>
      </w:r>
      <w:proofErr w:type="spellEnd"/>
      <w:r>
        <w:t xml:space="preserve"> of the </w:t>
      </w:r>
      <w:proofErr w:type="spellStart"/>
      <w:r>
        <w:t>millennium</w:t>
      </w:r>
      <w:proofErr w:type="spellEnd"/>
      <w:r>
        <w:t xml:space="preserve">. Slovakia </w:t>
      </w:r>
      <w:proofErr w:type="spellStart"/>
      <w:r>
        <w:t>ranks</w:t>
      </w:r>
      <w:proofErr w:type="spellEnd"/>
      <w:r>
        <w:t xml:space="preserve"> 4th in</w:t>
      </w:r>
      <w:r>
        <w:footnoteReference w:id="18"/>
      </w:r>
      <w:r>
        <w:t xml:space="preserve"> the international comparison of the OECD, with a value of 11.4 students per teacher, but </w:t>
      </w:r>
      <w:proofErr w:type="spellStart"/>
      <w:r>
        <w:t>older</w:t>
      </w:r>
      <w:proofErr w:type="spellEnd"/>
      <w:r>
        <w:t xml:space="preserve"> data (reported in 2019 but reflecting the situation in 2018) that do not take into account the </w:t>
      </w:r>
      <w:proofErr w:type="spellStart"/>
      <w:r>
        <w:t>size</w:t>
      </w:r>
      <w:proofErr w:type="spellEnd"/>
      <w:r>
        <w:t xml:space="preserve"> of the </w:t>
      </w:r>
      <w:proofErr w:type="spellStart"/>
      <w:r>
        <w:t>contracts</w:t>
      </w:r>
      <w:proofErr w:type="spellEnd"/>
      <w:r>
        <w:t xml:space="preserve">. The data are jointly collected by UNESCO, OECD and </w:t>
      </w:r>
      <w:proofErr w:type="spellStart"/>
      <w:r>
        <w:t>Eurostat</w:t>
      </w:r>
      <w:proofErr w:type="spellEnd"/>
      <w:r>
        <w:t xml:space="preserve">. The last published year was 2019, based on the number of students 137 </w:t>
      </w:r>
      <w:proofErr w:type="spellStart"/>
      <w:r>
        <w:t>thousand</w:t>
      </w:r>
      <w:proofErr w:type="spellEnd"/>
      <w:r>
        <w:t xml:space="preserve"> and the number of university teachers of 11.6 </w:t>
      </w:r>
      <w:proofErr w:type="spellStart"/>
      <w:r>
        <w:t>thousand</w:t>
      </w:r>
      <w:proofErr w:type="spellEnd"/>
      <w:r>
        <w:t xml:space="preserve">, </w:t>
      </w:r>
      <w:proofErr w:type="spellStart"/>
      <w:r>
        <w:t>approximately</w:t>
      </w:r>
      <w:proofErr w:type="spellEnd"/>
      <w:r>
        <w:t xml:space="preserve"> corresponding to the 2018 values. However, the source data does not correspond to the </w:t>
      </w:r>
      <w:proofErr w:type="spellStart"/>
      <w:r>
        <w:t>statistics</w:t>
      </w:r>
      <w:proofErr w:type="spellEnd"/>
      <w:r>
        <w:t xml:space="preserve"> published by CVTI.</w:t>
      </w:r>
    </w:p>
    <w:p w14:paraId="4F7FA74A" w14:textId="77777777" w:rsidR="009F049C" w:rsidRDefault="00DD745D">
      <w:pPr>
        <w:pStyle w:val="Bodytext20"/>
        <w:spacing w:after="620"/>
      </w:pPr>
      <w:r>
        <w:lastRenderedPageBreak/>
        <w:t>SLOVAK ACCREDITATION AGENCY FOR HIGHER EDUCATION</w:t>
      </w:r>
    </w:p>
    <w:p w14:paraId="4F7FA74B" w14:textId="77777777" w:rsidR="009F049C" w:rsidRDefault="00DD745D">
      <w:pPr>
        <w:pStyle w:val="Heading110"/>
        <w:keepNext/>
        <w:keepLines/>
        <w:numPr>
          <w:ilvl w:val="0"/>
          <w:numId w:val="6"/>
        </w:numPr>
        <w:tabs>
          <w:tab w:val="left" w:pos="404"/>
        </w:tabs>
      </w:pPr>
      <w:bookmarkStart w:id="96" w:name="bookmark96"/>
      <w:bookmarkStart w:id="97" w:name="bookmark94"/>
      <w:bookmarkStart w:id="98" w:name="bookmark97"/>
      <w:bookmarkStart w:id="99" w:name="bookmark93"/>
      <w:bookmarkStart w:id="100" w:name="_Toc97734034"/>
      <w:bookmarkStart w:id="101" w:name="_Toc97734053"/>
      <w:bookmarkEnd w:id="96"/>
      <w:r>
        <w:t>Foreign students in Slovakia</w:t>
      </w:r>
      <w:bookmarkEnd w:id="97"/>
      <w:bookmarkEnd w:id="98"/>
      <w:bookmarkEnd w:id="99"/>
      <w:bookmarkEnd w:id="100"/>
      <w:bookmarkEnd w:id="101"/>
    </w:p>
    <w:p w14:paraId="4F7FA74C" w14:textId="77777777" w:rsidR="009F049C" w:rsidRDefault="00DD745D">
      <w:pPr>
        <w:pStyle w:val="Heading110"/>
        <w:keepNext/>
        <w:keepLines/>
        <w:spacing w:line="252" w:lineRule="auto"/>
        <w:ind w:left="580" w:hanging="580"/>
      </w:pPr>
      <w:bookmarkStart w:id="102" w:name="bookmark101"/>
      <w:bookmarkStart w:id="103" w:name="bookmark102"/>
      <w:bookmarkStart w:id="104" w:name="bookmark99"/>
      <w:bookmarkStart w:id="105" w:name="bookmark98"/>
      <w:bookmarkStart w:id="106" w:name="_Toc97734035"/>
      <w:bookmarkStart w:id="107" w:name="_Toc97734054"/>
      <w:proofErr w:type="spellStart"/>
      <w:r>
        <w:t>I</w:t>
      </w:r>
      <w:bookmarkEnd w:id="102"/>
      <w:r>
        <w:t>lI.a</w:t>
      </w:r>
      <w:proofErr w:type="spellEnd"/>
      <w:r>
        <w:t xml:space="preserve">. Development in the number of students with non-Slovak </w:t>
      </w:r>
      <w:proofErr w:type="spellStart"/>
      <w:r>
        <w:t>citizenship</w:t>
      </w:r>
      <w:proofErr w:type="spellEnd"/>
      <w:r>
        <w:t xml:space="preserve"> (2010-2020)</w:t>
      </w:r>
      <w:bookmarkEnd w:id="103"/>
      <w:bookmarkEnd w:id="104"/>
      <w:bookmarkEnd w:id="105"/>
      <w:bookmarkEnd w:id="106"/>
      <w:bookmarkEnd w:id="107"/>
    </w:p>
    <w:p w14:paraId="4F7FA74D" w14:textId="77777777" w:rsidR="009F049C" w:rsidRDefault="00DD745D">
      <w:pPr>
        <w:pStyle w:val="Bodytext10"/>
        <w:spacing w:line="257" w:lineRule="auto"/>
        <w:jc w:val="both"/>
      </w:pPr>
      <w:r>
        <w:t xml:space="preserve">In recent years, we can see an increase in both the number and proportion of students who have non-Slovak </w:t>
      </w:r>
      <w:proofErr w:type="spellStart"/>
      <w:r>
        <w:t>citizenship</w:t>
      </w:r>
      <w:proofErr w:type="spellEnd"/>
      <w:r>
        <w:t xml:space="preserve"> (Figure 17). While in 2010 these students </w:t>
      </w:r>
      <w:proofErr w:type="spellStart"/>
      <w:r>
        <w:t>accounted</w:t>
      </w:r>
      <w:proofErr w:type="spellEnd"/>
      <w:r>
        <w:t xml:space="preserve"> for just about 4 % of all students, which was just over 9 </w:t>
      </w:r>
      <w:proofErr w:type="spellStart"/>
      <w:r>
        <w:t>thousand</w:t>
      </w:r>
      <w:proofErr w:type="spellEnd"/>
      <w:r>
        <w:t xml:space="preserve"> students, in 2020 it was already over 11 %, representing 15 432 people. </w:t>
      </w:r>
      <w:proofErr w:type="spellStart"/>
      <w:r>
        <w:t>Importantly</w:t>
      </w:r>
      <w:proofErr w:type="spellEnd"/>
      <w:r>
        <w:t xml:space="preserve">, their </w:t>
      </w:r>
      <w:proofErr w:type="spellStart"/>
      <w:r>
        <w:t>preferred</w:t>
      </w:r>
      <w:proofErr w:type="spellEnd"/>
      <w:r>
        <w:t xml:space="preserve"> form of study is also </w:t>
      </w:r>
      <w:proofErr w:type="spellStart"/>
      <w:r>
        <w:t>changing</w:t>
      </w:r>
      <w:proofErr w:type="spellEnd"/>
      <w:r>
        <w:t xml:space="preserve"> — there has been a significant increase in the number of students, especially in full-time form.</w:t>
      </w:r>
    </w:p>
    <w:p w14:paraId="4F7FA74E" w14:textId="77777777" w:rsidR="009F049C" w:rsidRDefault="00DD745D">
      <w:pPr>
        <w:pStyle w:val="Bodytext10"/>
        <w:spacing w:after="260"/>
        <w:jc w:val="both"/>
      </w:pPr>
      <w:bookmarkStart w:id="108" w:name="bookmark103"/>
      <w:r>
        <w:t xml:space="preserve">It should be </w:t>
      </w:r>
      <w:proofErr w:type="spellStart"/>
      <w:r>
        <w:t>stressed</w:t>
      </w:r>
      <w:proofErr w:type="spellEnd"/>
      <w:r>
        <w:t xml:space="preserve"> that when studying </w:t>
      </w:r>
      <w:proofErr w:type="spellStart"/>
      <w:r>
        <w:t>externally</w:t>
      </w:r>
      <w:proofErr w:type="spellEnd"/>
      <w:r>
        <w:t xml:space="preserve">, the impact of foreign students on school and students is very </w:t>
      </w:r>
      <w:proofErr w:type="spellStart"/>
      <w:r>
        <w:t>limited</w:t>
      </w:r>
      <w:proofErr w:type="spellEnd"/>
      <w:r>
        <w:t xml:space="preserve">. Schools use external students as a source of additional income rather than </w:t>
      </w:r>
      <w:proofErr w:type="spellStart"/>
      <w:r>
        <w:t>facilitating</w:t>
      </w:r>
      <w:proofErr w:type="spellEnd"/>
      <w:r>
        <w:t xml:space="preserve"> so-called </w:t>
      </w:r>
      <w:proofErr w:type="spellStart"/>
      <w:r>
        <w:t>internationalisation</w:t>
      </w:r>
      <w:proofErr w:type="spellEnd"/>
      <w:r>
        <w:t xml:space="preserve"> at home, which has positive </w:t>
      </w:r>
      <w:proofErr w:type="spellStart"/>
      <w:r>
        <w:t>effects</w:t>
      </w:r>
      <w:proofErr w:type="spellEnd"/>
      <w:r>
        <w:t xml:space="preserve"> on domestic students, such as the possibility to improve in another language or </w:t>
      </w:r>
      <w:proofErr w:type="spellStart"/>
      <w:r>
        <w:t>learn</w:t>
      </w:r>
      <w:proofErr w:type="spellEnd"/>
      <w:r>
        <w:t xml:space="preserve"> to cooperate with people from other </w:t>
      </w:r>
      <w:proofErr w:type="spellStart"/>
      <w:r>
        <w:t>cultures</w:t>
      </w:r>
      <w:proofErr w:type="spellEnd"/>
      <w:r>
        <w:t xml:space="preserve">. Foreign students are also a </w:t>
      </w:r>
      <w:proofErr w:type="spellStart"/>
      <w:r>
        <w:t>promise</w:t>
      </w:r>
      <w:proofErr w:type="spellEnd"/>
      <w:r>
        <w:t xml:space="preserve"> of a future </w:t>
      </w:r>
      <w:proofErr w:type="spellStart"/>
      <w:r>
        <w:t>skilled</w:t>
      </w:r>
      <w:proofErr w:type="spellEnd"/>
      <w:r>
        <w:t xml:space="preserve"> workforce for Slovakia, but in this respect, </w:t>
      </w:r>
      <w:proofErr w:type="spellStart"/>
      <w:r>
        <w:t>immigration</w:t>
      </w:r>
      <w:proofErr w:type="spellEnd"/>
      <w:r>
        <w:t xml:space="preserve"> and </w:t>
      </w:r>
      <w:proofErr w:type="spellStart"/>
      <w:r>
        <w:t>integration</w:t>
      </w:r>
      <w:proofErr w:type="spellEnd"/>
      <w:r>
        <w:t xml:space="preserve"> policies need to be </w:t>
      </w:r>
      <w:proofErr w:type="spellStart"/>
      <w:r>
        <w:t>improved</w:t>
      </w:r>
      <w:proofErr w:type="spellEnd"/>
      <w:r>
        <w:t>, both at state level and at HEI level</w:t>
      </w:r>
      <w:r>
        <w:footnoteReference w:id="19"/>
      </w:r>
      <w:r>
        <w:t xml:space="preserve">. </w:t>
      </w:r>
      <w:proofErr w:type="spellStart"/>
      <w:r>
        <w:t>Interestingly</w:t>
      </w:r>
      <w:proofErr w:type="spellEnd"/>
      <w:r>
        <w:t xml:space="preserve">, the pandemic and the associated </w:t>
      </w:r>
      <w:proofErr w:type="spellStart"/>
      <w:r>
        <w:t>quarantine</w:t>
      </w:r>
      <w:proofErr w:type="spellEnd"/>
      <w:r>
        <w:t xml:space="preserve"> measures have not yet had a significant impact on the </w:t>
      </w:r>
      <w:proofErr w:type="spellStart"/>
      <w:r>
        <w:t>growth</w:t>
      </w:r>
      <w:proofErr w:type="spellEnd"/>
      <w:r>
        <w:t xml:space="preserve"> in the number of foreign students. This would require further analysis.</w:t>
      </w:r>
      <w:bookmarkEnd w:id="108"/>
    </w:p>
    <w:p w14:paraId="4F7FA74F" w14:textId="77777777" w:rsidR="009F049C" w:rsidRDefault="00DD745D">
      <w:pPr>
        <w:pStyle w:val="P68B1DB1-Style367"/>
        <w:ind w:left="1186"/>
      </w:pPr>
      <w:r>
        <w:t xml:space="preserve">Figure 17. Evolution </w:t>
      </w:r>
      <w:r>
        <w:rPr>
          <w:color w:val="201F1E"/>
        </w:rPr>
        <w:t xml:space="preserve">of the number of students with non-SK </w:t>
      </w:r>
      <w:proofErr w:type="spellStart"/>
      <w:r>
        <w:t>citizenship</w:t>
      </w:r>
      <w:proofErr w:type="spellEnd"/>
      <w:r>
        <w:t xml:space="preserve"> </w:t>
      </w:r>
      <w:r>
        <w:rPr>
          <w:color w:val="201F1E"/>
        </w:rPr>
        <w:t>(CVTI)</w:t>
      </w:r>
    </w:p>
    <w:p w14:paraId="4F7FA750" w14:textId="77777777" w:rsidR="009F049C" w:rsidRDefault="00DD745D">
      <w:pPr>
        <w:jc w:val="center"/>
        <w:rPr>
          <w:sz w:val="2"/>
        </w:rPr>
      </w:pPr>
      <w:r>
        <w:rPr>
          <w:noProof/>
        </w:rPr>
        <w:drawing>
          <wp:inline distT="0" distB="0" distL="0" distR="0" wp14:anchorId="4F7FA7AA" wp14:editId="4F7FA7AB">
            <wp:extent cx="5480050" cy="23228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stretch/>
                  </pic:blipFill>
                  <pic:spPr>
                    <a:xfrm>
                      <a:off x="0" y="0"/>
                      <a:ext cx="5480050" cy="2322830"/>
                    </a:xfrm>
                    <a:prstGeom prst="rect">
                      <a:avLst/>
                    </a:prstGeom>
                  </pic:spPr>
                </pic:pic>
              </a:graphicData>
            </a:graphic>
          </wp:inline>
        </w:drawing>
      </w:r>
    </w:p>
    <w:p w14:paraId="4F7FA751" w14:textId="77777777" w:rsidR="009F049C" w:rsidRDefault="00DD745D">
      <w:pPr>
        <w:pStyle w:val="P68B1DB1-Style368"/>
        <w:tabs>
          <w:tab w:val="left" w:pos="5060"/>
        </w:tabs>
        <w:spacing w:after="40"/>
        <w:jc w:val="both"/>
      </w:pPr>
      <w:r>
        <w:rPr>
          <w:color w:val="201F1E"/>
        </w:rPr>
        <w:t xml:space="preserve">III. degree </w:t>
      </w:r>
      <w:r>
        <w:t xml:space="preserve">— study </w:t>
      </w:r>
      <w:r>
        <w:rPr>
          <w:color w:val="201F1E"/>
        </w:rPr>
        <w:t xml:space="preserve">with a non-SK </w:t>
      </w:r>
      <w:proofErr w:type="spellStart"/>
      <w:r>
        <w:rPr>
          <w:color w:val="201F1E"/>
        </w:rPr>
        <w:t>citizen</w:t>
      </w:r>
      <w:proofErr w:type="spellEnd"/>
      <w:r>
        <w:rPr>
          <w:color w:val="201F1E"/>
        </w:rPr>
        <w:t xml:space="preserve">. </w:t>
      </w:r>
      <w:r>
        <w:rPr>
          <w:color w:val="404040"/>
        </w:rPr>
        <w:t>(external)</w:t>
      </w:r>
      <w:r>
        <w:rPr>
          <w:color w:val="404040"/>
        </w:rPr>
        <w:tab/>
        <w:t>III. degree</w:t>
      </w:r>
      <w:r>
        <w:rPr>
          <w:color w:val="201F1E"/>
        </w:rPr>
        <w:t xml:space="preserve">— study </w:t>
      </w:r>
      <w:r>
        <w:t xml:space="preserve"> </w:t>
      </w:r>
      <w:r>
        <w:rPr>
          <w:color w:val="201F1E"/>
        </w:rPr>
        <w:t xml:space="preserve">with a non-SK </w:t>
      </w:r>
      <w:proofErr w:type="spellStart"/>
      <w:r>
        <w:rPr>
          <w:color w:val="201F1E"/>
        </w:rPr>
        <w:t>citizen</w:t>
      </w:r>
      <w:proofErr w:type="spellEnd"/>
      <w:r>
        <w:t xml:space="preserve">. </w:t>
      </w:r>
      <w:r>
        <w:rPr>
          <w:color w:val="404040"/>
        </w:rPr>
        <w:t>(full days)</w:t>
      </w:r>
    </w:p>
    <w:p w14:paraId="4F7FA752" w14:textId="77777777" w:rsidR="009F049C" w:rsidRDefault="00DD745D">
      <w:pPr>
        <w:pStyle w:val="P68B1DB1-Style368"/>
        <w:tabs>
          <w:tab w:val="left" w:pos="5060"/>
        </w:tabs>
        <w:spacing w:after="40"/>
        <w:jc w:val="both"/>
      </w:pPr>
      <w:proofErr w:type="spellStart"/>
      <w:r>
        <w:t>L+ll</w:t>
      </w:r>
      <w:proofErr w:type="spellEnd"/>
      <w:r>
        <w:t xml:space="preserve"> </w:t>
      </w:r>
      <w:r>
        <w:rPr>
          <w:color w:val="201F1E"/>
        </w:rPr>
        <w:t xml:space="preserve">degree, joint. — study with a non-SK </w:t>
      </w:r>
      <w:proofErr w:type="spellStart"/>
      <w:r>
        <w:rPr>
          <w:color w:val="201F1E"/>
        </w:rPr>
        <w:t>citizen</w:t>
      </w:r>
      <w:proofErr w:type="spellEnd"/>
      <w:r>
        <w:rPr>
          <w:color w:val="201F1E"/>
        </w:rPr>
        <w:t>. (external)</w:t>
      </w:r>
      <w:r>
        <w:rPr>
          <w:color w:val="201F1E"/>
        </w:rPr>
        <w:tab/>
      </w:r>
      <w:proofErr w:type="spellStart"/>
      <w:r>
        <w:rPr>
          <w:color w:val="404040"/>
        </w:rPr>
        <w:t>L+ll</w:t>
      </w:r>
      <w:proofErr w:type="spellEnd"/>
      <w:r>
        <w:rPr>
          <w:color w:val="404040"/>
        </w:rPr>
        <w:t xml:space="preserve"> degree, joint</w:t>
      </w:r>
      <w:r>
        <w:rPr>
          <w:color w:val="201F1E"/>
        </w:rPr>
        <w:t xml:space="preserve">. — study with a non-SK </w:t>
      </w:r>
      <w:proofErr w:type="spellStart"/>
      <w:r>
        <w:rPr>
          <w:color w:val="201F1E"/>
        </w:rPr>
        <w:t>citizen</w:t>
      </w:r>
      <w:proofErr w:type="spellEnd"/>
      <w:r>
        <w:rPr>
          <w:color w:val="201F1E"/>
        </w:rPr>
        <w:t xml:space="preserve">. </w:t>
      </w:r>
      <w:r>
        <w:rPr>
          <w:color w:val="404040"/>
        </w:rPr>
        <w:t>(full days)</w:t>
      </w:r>
    </w:p>
    <w:p w14:paraId="4F7FA753" w14:textId="77777777" w:rsidR="009F049C" w:rsidRDefault="00DD745D">
      <w:pPr>
        <w:pStyle w:val="P68B1DB1-Style368"/>
        <w:spacing w:after="40"/>
      </w:pPr>
      <w:r>
        <w:rPr>
          <w:color w:val="0153FA"/>
        </w:rPr>
        <w:t>— —</w:t>
      </w:r>
      <w:r>
        <w:rPr>
          <w:color w:val="201F1E"/>
        </w:rPr>
        <w:t xml:space="preserve">share (%) study with non- </w:t>
      </w:r>
      <w:r>
        <w:rPr>
          <w:color w:val="0153FA"/>
        </w:rPr>
        <w:t xml:space="preserve">SK </w:t>
      </w:r>
      <w:proofErr w:type="spellStart"/>
      <w:r>
        <w:rPr>
          <w:color w:val="0153FA"/>
        </w:rPr>
        <w:t>citizen</w:t>
      </w:r>
      <w:proofErr w:type="spellEnd"/>
      <w:r>
        <w:rPr>
          <w:color w:val="404040"/>
        </w:rPr>
        <w:t xml:space="preserve">. — </w:t>
      </w:r>
      <w:proofErr w:type="spellStart"/>
      <w:r>
        <w:t>L+ll</w:t>
      </w:r>
      <w:proofErr w:type="spellEnd"/>
      <w:r>
        <w:t xml:space="preserve"> </w:t>
      </w:r>
      <w:r>
        <w:rPr>
          <w:color w:val="201F1E"/>
        </w:rPr>
        <w:t xml:space="preserve">degree, joint. </w:t>
      </w:r>
      <w:r>
        <w:rPr>
          <w:color w:val="960201"/>
        </w:rPr>
        <w:t>— —</w:t>
      </w:r>
      <w:r>
        <w:rPr>
          <w:color w:val="201F1E"/>
        </w:rPr>
        <w:t xml:space="preserve">share (%) study with non </w:t>
      </w:r>
      <w:r>
        <w:rPr>
          <w:color w:val="404040"/>
        </w:rPr>
        <w:t xml:space="preserve"> </w:t>
      </w:r>
      <w:r>
        <w:rPr>
          <w:color w:val="960201"/>
        </w:rPr>
        <w:t xml:space="preserve">- </w:t>
      </w:r>
      <w:r>
        <w:rPr>
          <w:color w:val="201F1E"/>
        </w:rPr>
        <w:t xml:space="preserve">SK </w:t>
      </w:r>
      <w:proofErr w:type="spellStart"/>
      <w:r>
        <w:rPr>
          <w:color w:val="201F1E"/>
        </w:rPr>
        <w:t>citizen</w:t>
      </w:r>
      <w:proofErr w:type="spellEnd"/>
      <w:r>
        <w:rPr>
          <w:color w:val="201F1E"/>
        </w:rPr>
        <w:t xml:space="preserve">. — </w:t>
      </w:r>
      <w:r>
        <w:t xml:space="preserve">Stage III </w:t>
      </w:r>
    </w:p>
    <w:p w14:paraId="4F7FA754" w14:textId="77777777" w:rsidR="009F049C" w:rsidRDefault="009F049C">
      <w:pPr>
        <w:spacing w:after="159" w:line="1" w:lineRule="exact"/>
      </w:pPr>
    </w:p>
    <w:p w14:paraId="4F7FA755" w14:textId="77777777" w:rsidR="009F049C" w:rsidRDefault="00DD745D">
      <w:pPr>
        <w:pStyle w:val="P68B1DB1-Style149"/>
        <w:spacing w:after="260" w:line="240" w:lineRule="auto"/>
        <w:jc w:val="both"/>
      </w:pPr>
      <w:r>
        <w:t xml:space="preserve">Figure 1717. Development of the number of students with non-Slovak </w:t>
      </w:r>
      <w:proofErr w:type="spellStart"/>
      <w:r>
        <w:t>citizenship</w:t>
      </w:r>
      <w:proofErr w:type="spellEnd"/>
      <w:r>
        <w:t xml:space="preserve"> at universities</w:t>
      </w:r>
    </w:p>
    <w:p w14:paraId="4F7FA756" w14:textId="77777777" w:rsidR="009F049C" w:rsidRDefault="00DD745D">
      <w:pPr>
        <w:pStyle w:val="Bodytext10"/>
        <w:spacing w:after="220"/>
        <w:jc w:val="both"/>
        <w:sectPr w:rsidR="009F049C">
          <w:footnotePr>
            <w:numStart w:val="3"/>
          </w:footnotePr>
          <w:pgSz w:w="11900" w:h="16840"/>
          <w:pgMar w:top="692" w:right="1407" w:bottom="1028" w:left="1407" w:header="0" w:footer="3" w:gutter="0"/>
          <w:cols w:space="720"/>
          <w:noEndnote/>
          <w:docGrid w:linePitch="360"/>
          <w15:footnoteColumns w:val="1"/>
        </w:sectPr>
      </w:pPr>
      <w:r>
        <w:t xml:space="preserve">When analysing the development of the number of foreign students, it is important to </w:t>
      </w:r>
      <w:proofErr w:type="spellStart"/>
      <w:r>
        <w:t>distinguish</w:t>
      </w:r>
      <w:proofErr w:type="spellEnd"/>
      <w:r>
        <w:t xml:space="preserve"> between different degrees of study. From the beginning of the time series, for </w:t>
      </w:r>
      <w:proofErr w:type="spellStart"/>
      <w:r>
        <w:t>example</w:t>
      </w:r>
      <w:proofErr w:type="spellEnd"/>
      <w:r>
        <w:t xml:space="preserve">, see a more significant share of foreign students in external compared to full-time doctoral studies, </w:t>
      </w:r>
      <w:proofErr w:type="spellStart"/>
      <w:r>
        <w:t>although</w:t>
      </w:r>
      <w:proofErr w:type="spellEnd"/>
      <w:r>
        <w:t xml:space="preserve"> it is gradually </w:t>
      </w:r>
      <w:proofErr w:type="spellStart"/>
      <w:r>
        <w:t>shrinking</w:t>
      </w:r>
      <w:proofErr w:type="spellEnd"/>
      <w:r>
        <w:t xml:space="preserve">. In recent years, there has also been a rapid increase in </w:t>
      </w:r>
      <w:proofErr w:type="spellStart"/>
      <w:r>
        <w:t>daily</w:t>
      </w:r>
      <w:proofErr w:type="spellEnd"/>
      <w:r>
        <w:t xml:space="preserve"> foreign students of I. and II degrees at Slovak universities at the </w:t>
      </w:r>
      <w:proofErr w:type="spellStart"/>
      <w:r>
        <w:t>expense</w:t>
      </w:r>
      <w:proofErr w:type="spellEnd"/>
      <w:r>
        <w:t xml:space="preserve"> of </w:t>
      </w:r>
      <w:proofErr w:type="spellStart"/>
      <w:r>
        <w:t>externalists</w:t>
      </w:r>
      <w:proofErr w:type="spellEnd"/>
      <w:r>
        <w:t>.</w:t>
      </w:r>
    </w:p>
    <w:p w14:paraId="4F7FA758" w14:textId="77777777" w:rsidR="009F049C" w:rsidRDefault="00DD745D">
      <w:pPr>
        <w:pStyle w:val="Bodytext20"/>
        <w:spacing w:after="380"/>
      </w:pPr>
      <w:r>
        <w:lastRenderedPageBreak/>
        <w:t>SLOVAK ACCREDITATION AGENCY FOR HIGHER EDUCATION</w:t>
      </w:r>
    </w:p>
    <w:p w14:paraId="4F7FA759" w14:textId="77777777" w:rsidR="009F049C" w:rsidRDefault="00DD745D">
      <w:pPr>
        <w:pStyle w:val="Heading110"/>
        <w:keepNext/>
        <w:keepLines/>
        <w:numPr>
          <w:ilvl w:val="0"/>
          <w:numId w:val="7"/>
        </w:numPr>
        <w:spacing w:after="240"/>
      </w:pPr>
      <w:bookmarkStart w:id="109" w:name="bookmark107"/>
      <w:bookmarkStart w:id="110" w:name="bookmark105"/>
      <w:bookmarkStart w:id="111" w:name="bookmark108"/>
      <w:bookmarkStart w:id="112" w:name="bookmark104"/>
      <w:bookmarkStart w:id="113" w:name="_Toc97734036"/>
      <w:bookmarkStart w:id="114" w:name="_Toc97734055"/>
      <w:bookmarkEnd w:id="109"/>
      <w:r>
        <w:t>B. International comparison of the share of foreign students</w:t>
      </w:r>
      <w:bookmarkEnd w:id="110"/>
      <w:bookmarkEnd w:id="111"/>
      <w:bookmarkEnd w:id="112"/>
      <w:bookmarkEnd w:id="113"/>
      <w:bookmarkEnd w:id="114"/>
    </w:p>
    <w:p w14:paraId="4F7FA75A" w14:textId="77777777" w:rsidR="009F049C" w:rsidRDefault="00DD745D">
      <w:pPr>
        <w:pStyle w:val="Bodytext10"/>
        <w:spacing w:after="240" w:line="257" w:lineRule="auto"/>
        <w:jc w:val="both"/>
      </w:pPr>
      <w:r>
        <w:t xml:space="preserve">In the international comparison, </w:t>
      </w:r>
      <w:proofErr w:type="spellStart"/>
      <w:r>
        <w:t>Slovakia’s</w:t>
      </w:r>
      <w:proofErr w:type="spellEnd"/>
      <w:r>
        <w:t xml:space="preserve"> </w:t>
      </w:r>
      <w:proofErr w:type="spellStart"/>
      <w:r>
        <w:t>aggregate</w:t>
      </w:r>
      <w:proofErr w:type="spellEnd"/>
      <w:r>
        <w:t xml:space="preserve"> representation of foreign students is above the OECD </w:t>
      </w:r>
      <w:proofErr w:type="spellStart"/>
      <w:r>
        <w:t>average</w:t>
      </w:r>
      <w:proofErr w:type="spellEnd"/>
      <w:r>
        <w:t>, even the EU2 2</w:t>
      </w:r>
      <w:r>
        <w:footnoteReference w:id="20"/>
      </w:r>
      <w:r>
        <w:t xml:space="preserve">. Figure 18 is taken from Education at </w:t>
      </w:r>
      <w:proofErr w:type="spellStart"/>
      <w:r>
        <w:t>Glance</w:t>
      </w:r>
      <w:proofErr w:type="spellEnd"/>
      <w:r>
        <w:t xml:space="preserve"> 2021</w:t>
      </w:r>
      <w:r>
        <w:footnoteReference w:id="21"/>
      </w:r>
      <w:r>
        <w:t xml:space="preserve">, which published an overview of the representation of foreign students by </w:t>
      </w:r>
      <w:proofErr w:type="spellStart"/>
      <w:r>
        <w:t>grade</w:t>
      </w:r>
      <w:proofErr w:type="spellEnd"/>
      <w:r>
        <w:t xml:space="preserve"> of study based on data from 2019. The comparison also shows that Slovakia is already above the OECD and EU </w:t>
      </w:r>
      <w:proofErr w:type="spellStart"/>
      <w:r>
        <w:t>average</w:t>
      </w:r>
      <w:proofErr w:type="spellEnd"/>
      <w:r>
        <w:t xml:space="preserve"> for the 1st degree and the total population of foreign students22. There is a significant </w:t>
      </w:r>
      <w:proofErr w:type="spellStart"/>
      <w:r>
        <w:t>shortage</w:t>
      </w:r>
      <w:proofErr w:type="spellEnd"/>
      <w:r>
        <w:t xml:space="preserve"> of foreign students in doctoral studies, where the OECD </w:t>
      </w:r>
      <w:proofErr w:type="spellStart"/>
      <w:r>
        <w:t>averages</w:t>
      </w:r>
      <w:proofErr w:type="spellEnd"/>
      <w:r>
        <w:t xml:space="preserve"> 20 %, which is almost 12 percentage points higher than in Slovakia.</w:t>
      </w:r>
    </w:p>
    <w:p w14:paraId="4F7FA75B" w14:textId="77777777" w:rsidR="009F049C" w:rsidRDefault="00DD745D">
      <w:pPr>
        <w:pStyle w:val="Bodytext10"/>
        <w:spacing w:after="240" w:line="257" w:lineRule="auto"/>
        <w:jc w:val="both"/>
      </w:pPr>
      <w:bookmarkStart w:id="115" w:name="bookmark109"/>
      <w:r>
        <w:t xml:space="preserve">Several states of the former </w:t>
      </w:r>
      <w:proofErr w:type="spellStart"/>
      <w:r>
        <w:t>Eastern</w:t>
      </w:r>
      <w:proofErr w:type="spellEnd"/>
      <w:r>
        <w:t xml:space="preserve"> </w:t>
      </w:r>
      <w:proofErr w:type="spellStart"/>
      <w:r>
        <w:t>Bloc</w:t>
      </w:r>
      <w:proofErr w:type="spellEnd"/>
      <w:r>
        <w:t xml:space="preserve">, including Slovakia, have a </w:t>
      </w:r>
      <w:proofErr w:type="spellStart"/>
      <w:r>
        <w:t>shortage</w:t>
      </w:r>
      <w:proofErr w:type="spellEnd"/>
      <w:r>
        <w:t xml:space="preserve"> of foreign students at II and especially III degrees. In Western countries, there is a clear trend where, as the degree of study </w:t>
      </w:r>
      <w:proofErr w:type="spellStart"/>
      <w:r>
        <w:t>increases</w:t>
      </w:r>
      <w:proofErr w:type="spellEnd"/>
      <w:r>
        <w:t xml:space="preserve">, the proportion of foreign students </w:t>
      </w:r>
      <w:proofErr w:type="spellStart"/>
      <w:r>
        <w:t>increases</w:t>
      </w:r>
      <w:proofErr w:type="spellEnd"/>
      <w:r>
        <w:t xml:space="preserve">, which can be seen in the </w:t>
      </w:r>
      <w:proofErr w:type="spellStart"/>
      <w:r>
        <w:t>plotted</w:t>
      </w:r>
      <w:proofErr w:type="spellEnd"/>
      <w:r>
        <w:t xml:space="preserve"> trend line of the proportion of foreign doctoral students. This </w:t>
      </w:r>
      <w:proofErr w:type="spellStart"/>
      <w:r>
        <w:t>reflects</w:t>
      </w:r>
      <w:proofErr w:type="spellEnd"/>
      <w:r>
        <w:t xml:space="preserve"> higher mobility within university studies abroad, while in Slovakia there is a </w:t>
      </w:r>
      <w:proofErr w:type="spellStart"/>
      <w:r>
        <w:t>tendency</w:t>
      </w:r>
      <w:proofErr w:type="spellEnd"/>
      <w:r>
        <w:t xml:space="preserve"> to </w:t>
      </w:r>
      <w:proofErr w:type="spellStart"/>
      <w:r>
        <w:t>stay</w:t>
      </w:r>
      <w:proofErr w:type="spellEnd"/>
      <w:r>
        <w:t xml:space="preserve"> in one university from a bachelor to a </w:t>
      </w:r>
      <w:proofErr w:type="spellStart"/>
      <w:r>
        <w:t>doctorate</w:t>
      </w:r>
      <w:proofErr w:type="spellEnd"/>
      <w:r>
        <w:t xml:space="preserve">. However, Slovakia is also </w:t>
      </w:r>
      <w:proofErr w:type="spellStart"/>
      <w:r>
        <w:t>lagging</w:t>
      </w:r>
      <w:proofErr w:type="spellEnd"/>
      <w:r>
        <w:t xml:space="preserve"> </w:t>
      </w:r>
      <w:proofErr w:type="spellStart"/>
      <w:r>
        <w:t>behind</w:t>
      </w:r>
      <w:proofErr w:type="spellEnd"/>
      <w:r>
        <w:t xml:space="preserve"> compared to </w:t>
      </w:r>
      <w:proofErr w:type="spellStart"/>
      <w:r>
        <w:t>neighbouring</w:t>
      </w:r>
      <w:proofErr w:type="spellEnd"/>
      <w:r>
        <w:t xml:space="preserve"> countries — Hungary, </w:t>
      </w:r>
      <w:proofErr w:type="spellStart"/>
      <w:r>
        <w:t>Austria</w:t>
      </w:r>
      <w:proofErr w:type="spellEnd"/>
      <w:r>
        <w:t xml:space="preserve">, but also </w:t>
      </w:r>
      <w:proofErr w:type="spellStart"/>
      <w:r>
        <w:t>Czechia</w:t>
      </w:r>
      <w:proofErr w:type="spellEnd"/>
      <w:r>
        <w:t xml:space="preserve"> are able to </w:t>
      </w:r>
      <w:proofErr w:type="spellStart"/>
      <w:r>
        <w:t>attract</w:t>
      </w:r>
      <w:proofErr w:type="spellEnd"/>
      <w:r>
        <w:t xml:space="preserve"> more foreign students — Slovak universities therefore have </w:t>
      </w:r>
      <w:proofErr w:type="spellStart"/>
      <w:r>
        <w:t>strong</w:t>
      </w:r>
      <w:proofErr w:type="spellEnd"/>
      <w:r>
        <w:t xml:space="preserve"> </w:t>
      </w:r>
      <w:proofErr w:type="spellStart"/>
      <w:r>
        <w:t>competition</w:t>
      </w:r>
      <w:proofErr w:type="spellEnd"/>
      <w:r>
        <w:t xml:space="preserve"> </w:t>
      </w:r>
      <w:proofErr w:type="spellStart"/>
      <w:r>
        <w:t>across</w:t>
      </w:r>
      <w:proofErr w:type="spellEnd"/>
      <w:r>
        <w:t xml:space="preserve"> borders.</w:t>
      </w:r>
      <w:bookmarkEnd w:id="115"/>
    </w:p>
    <w:p w14:paraId="4F7FA75C" w14:textId="77777777" w:rsidR="009F049C" w:rsidRDefault="00DD745D">
      <w:pPr>
        <w:jc w:val="center"/>
        <w:rPr>
          <w:sz w:val="2"/>
        </w:rPr>
      </w:pPr>
      <w:r>
        <w:rPr>
          <w:noProof/>
        </w:rPr>
        <w:drawing>
          <wp:inline distT="0" distB="0" distL="0" distR="0" wp14:anchorId="4F7FA7AC" wp14:editId="4F7FA7AD">
            <wp:extent cx="5706110" cy="33591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stretch/>
                  </pic:blipFill>
                  <pic:spPr>
                    <a:xfrm>
                      <a:off x="0" y="0"/>
                      <a:ext cx="5706110" cy="3359150"/>
                    </a:xfrm>
                    <a:prstGeom prst="rect">
                      <a:avLst/>
                    </a:prstGeom>
                  </pic:spPr>
                </pic:pic>
              </a:graphicData>
            </a:graphic>
          </wp:inline>
        </w:drawing>
      </w:r>
    </w:p>
    <w:p w14:paraId="4F7FA75D" w14:textId="77777777" w:rsidR="009F049C" w:rsidRDefault="00DD745D">
      <w:pPr>
        <w:pStyle w:val="Picturecaption10"/>
      </w:pPr>
      <w:r>
        <w:t>Graph 1818. Representation of foreign students at different levels of study</w:t>
      </w:r>
    </w:p>
    <w:p w14:paraId="4F7FA75E" w14:textId="77777777" w:rsidR="009F049C" w:rsidRDefault="009F049C">
      <w:pPr>
        <w:spacing w:after="159" w:line="1" w:lineRule="exact"/>
      </w:pPr>
    </w:p>
    <w:p w14:paraId="4F7FA75F" w14:textId="77777777" w:rsidR="009F049C" w:rsidRDefault="00DD745D">
      <w:pPr>
        <w:pStyle w:val="Heading110"/>
        <w:keepNext/>
        <w:keepLines/>
        <w:numPr>
          <w:ilvl w:val="0"/>
          <w:numId w:val="8"/>
        </w:numPr>
        <w:jc w:val="both"/>
      </w:pPr>
      <w:bookmarkStart w:id="116" w:name="bookmark113"/>
      <w:bookmarkStart w:id="117" w:name="bookmark111"/>
      <w:bookmarkStart w:id="118" w:name="bookmark114"/>
      <w:bookmarkStart w:id="119" w:name="bookmark110"/>
      <w:bookmarkStart w:id="120" w:name="_Toc97734037"/>
      <w:bookmarkStart w:id="121" w:name="_Toc97734056"/>
      <w:bookmarkEnd w:id="116"/>
      <w:r>
        <w:t>C. Number of foreign students by group of disciplines</w:t>
      </w:r>
      <w:bookmarkEnd w:id="117"/>
      <w:bookmarkEnd w:id="118"/>
      <w:bookmarkEnd w:id="119"/>
      <w:bookmarkEnd w:id="120"/>
      <w:bookmarkEnd w:id="121"/>
    </w:p>
    <w:p w14:paraId="4F7FA760" w14:textId="77777777" w:rsidR="009F049C" w:rsidRDefault="00DD745D">
      <w:pPr>
        <w:pStyle w:val="Bodytext10"/>
        <w:spacing w:after="240"/>
        <w:jc w:val="both"/>
        <w:sectPr w:rsidR="009F049C">
          <w:footnotePr>
            <w:numStart w:val="3"/>
          </w:footnotePr>
          <w:pgSz w:w="11900" w:h="16840"/>
          <w:pgMar w:top="692" w:right="1412" w:bottom="1033" w:left="1407" w:header="0" w:footer="3" w:gutter="0"/>
          <w:cols w:space="720"/>
          <w:noEndnote/>
          <w:docGrid w:linePitch="360"/>
          <w15:footnoteColumns w:val="1"/>
        </w:sectPr>
      </w:pPr>
      <w:r>
        <w:t xml:space="preserve">Although we could </w:t>
      </w:r>
      <w:proofErr w:type="spellStart"/>
      <w:r>
        <w:t>say</w:t>
      </w:r>
      <w:proofErr w:type="spellEnd"/>
      <w:r>
        <w:t xml:space="preserve"> that at least in the total share of foreign students Slovakia does not </w:t>
      </w:r>
      <w:proofErr w:type="spellStart"/>
      <w:r>
        <w:t>lie</w:t>
      </w:r>
      <w:proofErr w:type="spellEnd"/>
      <w:r>
        <w:t xml:space="preserve"> </w:t>
      </w:r>
      <w:proofErr w:type="spellStart"/>
      <w:r>
        <w:t>behind</w:t>
      </w:r>
      <w:proofErr w:type="spellEnd"/>
      <w:r>
        <w:t xml:space="preserve"> Europe and OECD countries, the overall picture is somewhat different. At I and II levels, the </w:t>
      </w:r>
      <w:proofErr w:type="spellStart"/>
      <w:r>
        <w:t>problem</w:t>
      </w:r>
      <w:proofErr w:type="spellEnd"/>
      <w:r>
        <w:t xml:space="preserve"> is that students </w:t>
      </w:r>
      <w:proofErr w:type="spellStart"/>
      <w:r>
        <w:t>concentrate</w:t>
      </w:r>
      <w:proofErr w:type="spellEnd"/>
      <w:r>
        <w:t xml:space="preserve"> only in certain disciplines (medicine, veterina, pharmacy) and, in addition, they are often </w:t>
      </w:r>
      <w:proofErr w:type="spellStart"/>
      <w:r>
        <w:t>separated</w:t>
      </w:r>
      <w:proofErr w:type="spellEnd"/>
      <w:r>
        <w:t xml:space="preserve"> from Slovak students who are so </w:t>
      </w:r>
      <w:proofErr w:type="spellStart"/>
      <w:r>
        <w:t>deprived</w:t>
      </w:r>
      <w:proofErr w:type="spellEnd"/>
      <w:r>
        <w:t xml:space="preserve"> of the </w:t>
      </w:r>
      <w:proofErr w:type="spellStart"/>
      <w:r>
        <w:t>dimension</w:t>
      </w:r>
      <w:proofErr w:type="spellEnd"/>
      <w:r>
        <w:t xml:space="preserve"> of </w:t>
      </w:r>
      <w:proofErr w:type="spellStart"/>
      <w:r>
        <w:t>internationalisation</w:t>
      </w:r>
      <w:proofErr w:type="spellEnd"/>
      <w:r>
        <w:t xml:space="preserve"> when teaching</w:t>
      </w:r>
    </w:p>
    <w:p w14:paraId="4F7FA762" w14:textId="77777777" w:rsidR="009F049C" w:rsidRDefault="00DD745D">
      <w:pPr>
        <w:pStyle w:val="Bodytext20"/>
      </w:pPr>
      <w:r>
        <w:lastRenderedPageBreak/>
        <w:t>SLOVAK ACCREDITATION AGENCY FOR HIGHER EDUCATION</w:t>
      </w:r>
    </w:p>
    <w:p w14:paraId="4F7FA763" w14:textId="77777777" w:rsidR="009F049C" w:rsidRDefault="00DD745D">
      <w:pPr>
        <w:pStyle w:val="Bodytext10"/>
        <w:spacing w:after="280"/>
        <w:jc w:val="both"/>
      </w:pPr>
      <w:r>
        <w:t>study.</w:t>
      </w:r>
      <w:r>
        <w:footnoteReference w:id="22"/>
      </w:r>
      <w:r>
        <w:t xml:space="preserve"> In 2019, the number of foreign students (I., II. and combined studies) in health and social sciences, teaching and </w:t>
      </w:r>
      <w:proofErr w:type="spellStart"/>
      <w:r>
        <w:t>services</w:t>
      </w:r>
      <w:proofErr w:type="spellEnd"/>
      <w:r>
        <w:t xml:space="preserve"> was </w:t>
      </w:r>
      <w:proofErr w:type="spellStart"/>
      <w:r>
        <w:t>equalised</w:t>
      </w:r>
      <w:proofErr w:type="spellEnd"/>
      <w:r>
        <w:t xml:space="preserve">. The increase in social sciences, </w:t>
      </w:r>
      <w:proofErr w:type="spellStart"/>
      <w:r>
        <w:t>teachings</w:t>
      </w:r>
      <w:proofErr w:type="spellEnd"/>
      <w:r>
        <w:t xml:space="preserve"> and </w:t>
      </w:r>
      <w:proofErr w:type="spellStart"/>
      <w:r>
        <w:t>services</w:t>
      </w:r>
      <w:proofErr w:type="spellEnd"/>
      <w:r>
        <w:t xml:space="preserve"> in the last 3 years was the </w:t>
      </w:r>
      <w:proofErr w:type="spellStart"/>
      <w:r>
        <w:t>largest</w:t>
      </w:r>
      <w:proofErr w:type="spellEnd"/>
      <w:r>
        <w:t xml:space="preserve"> share of students with Ukrainian </w:t>
      </w:r>
      <w:proofErr w:type="spellStart"/>
      <w:r>
        <w:t>citizenship</w:t>
      </w:r>
      <w:proofErr w:type="spellEnd"/>
      <w:r>
        <w:t xml:space="preserve">, who are also more </w:t>
      </w:r>
      <w:proofErr w:type="spellStart"/>
      <w:r>
        <w:t>likely</w:t>
      </w:r>
      <w:proofErr w:type="spellEnd"/>
      <w:r>
        <w:t xml:space="preserve"> to enter Slovak programmes. Survey data from the Academic </w:t>
      </w:r>
      <w:proofErr w:type="spellStart"/>
      <w:r>
        <w:t>quarter-hour</w:t>
      </w:r>
      <w:proofErr w:type="spellEnd"/>
      <w:r>
        <w:t xml:space="preserve"> </w:t>
      </w:r>
      <w:proofErr w:type="spellStart"/>
      <w:r>
        <w:t>suggest</w:t>
      </w:r>
      <w:proofErr w:type="spellEnd"/>
      <w:r>
        <w:t xml:space="preserve"> that foreign (especially Ukrainian) students </w:t>
      </w:r>
      <w:proofErr w:type="spellStart"/>
      <w:r>
        <w:t>attend</w:t>
      </w:r>
      <w:proofErr w:type="spellEnd"/>
      <w:r>
        <w:t xml:space="preserve"> Slovak programs, </w:t>
      </w:r>
      <w:proofErr w:type="spellStart"/>
      <w:r>
        <w:t>although</w:t>
      </w:r>
      <w:proofErr w:type="spellEnd"/>
      <w:r>
        <w:t xml:space="preserve"> according to their own statements they do not know well in Slovak.</w:t>
      </w:r>
      <w:r>
        <w:footnoteReference w:id="23"/>
      </w:r>
      <w:r>
        <w:t xml:space="preserve"> The question therefore </w:t>
      </w:r>
      <w:proofErr w:type="spellStart"/>
      <w:r>
        <w:t>arises</w:t>
      </w:r>
      <w:proofErr w:type="spellEnd"/>
      <w:r>
        <w:t xml:space="preserve"> as to the quality of this education and whether these students are for some HEIs only a means of replacing the </w:t>
      </w:r>
      <w:proofErr w:type="spellStart"/>
      <w:r>
        <w:t>subsidy</w:t>
      </w:r>
      <w:proofErr w:type="spellEnd"/>
      <w:r>
        <w:t xml:space="preserve"> for </w:t>
      </w:r>
      <w:proofErr w:type="spellStart"/>
      <w:r>
        <w:t>shrinking</w:t>
      </w:r>
      <w:proofErr w:type="spellEnd"/>
      <w:r>
        <w:t xml:space="preserve"> Slovak students, since in the case of teaching in Slovak HEIs they </w:t>
      </w:r>
      <w:proofErr w:type="spellStart"/>
      <w:r>
        <w:t>receive</w:t>
      </w:r>
      <w:proofErr w:type="spellEnd"/>
      <w:r>
        <w:t xml:space="preserve"> a state </w:t>
      </w:r>
      <w:proofErr w:type="spellStart"/>
      <w:r>
        <w:t>subsidy</w:t>
      </w:r>
      <w:proofErr w:type="spellEnd"/>
      <w:r>
        <w:t xml:space="preserve"> (pursuant to Section 89(4) of the Higher Education Act 131/2002 Coll.).</w:t>
      </w:r>
    </w:p>
    <w:p w14:paraId="4F7FA764" w14:textId="77777777" w:rsidR="009F049C" w:rsidRDefault="00DD745D">
      <w:pPr>
        <w:pStyle w:val="P68B1DB1-Style364"/>
        <w:jc w:val="center"/>
      </w:pPr>
      <w:r>
        <w:t xml:space="preserve">Figure 19. Development of the number of students with </w:t>
      </w:r>
      <w:r>
        <w:rPr>
          <w:color w:val="201F1E"/>
        </w:rPr>
        <w:t xml:space="preserve">non </w:t>
      </w:r>
      <w:r>
        <w:t xml:space="preserve">-SK </w:t>
      </w:r>
      <w:proofErr w:type="spellStart"/>
      <w:r>
        <w:t>citizenship</w:t>
      </w:r>
      <w:proofErr w:type="spellEnd"/>
      <w:r>
        <w:t xml:space="preserve"> L,</w:t>
      </w:r>
      <w:r>
        <w:rPr>
          <w:color w:val="201F1E"/>
        </w:rPr>
        <w:t xml:space="preserve">II. degree </w:t>
      </w:r>
      <w:r>
        <w:t xml:space="preserve">and </w:t>
      </w:r>
      <w:r>
        <w:rPr>
          <w:color w:val="201F1E"/>
        </w:rPr>
        <w:t>connection</w:t>
      </w:r>
      <w:r>
        <w:t xml:space="preserve">, studying the </w:t>
      </w:r>
      <w:proofErr w:type="spellStart"/>
      <w:r>
        <w:t>floors</w:t>
      </w:r>
      <w:proofErr w:type="spellEnd"/>
      <w:r>
        <w:t xml:space="preserve"> of groups of </w:t>
      </w:r>
      <w:r>
        <w:rPr>
          <w:color w:val="201F1E"/>
        </w:rPr>
        <w:t xml:space="preserve">disciplines </w:t>
      </w:r>
      <w:r>
        <w:t>(CVTI)</w:t>
      </w:r>
    </w:p>
    <w:p w14:paraId="4F7FA765" w14:textId="77777777" w:rsidR="009F049C" w:rsidRDefault="00DD745D">
      <w:pPr>
        <w:jc w:val="center"/>
        <w:rPr>
          <w:sz w:val="2"/>
        </w:rPr>
      </w:pPr>
      <w:r>
        <w:rPr>
          <w:noProof/>
        </w:rPr>
        <w:drawing>
          <wp:inline distT="0" distB="0" distL="0" distR="0" wp14:anchorId="4F7FA7AE" wp14:editId="4F7FA7AF">
            <wp:extent cx="5425440" cy="245681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a:stretch/>
                  </pic:blipFill>
                  <pic:spPr>
                    <a:xfrm>
                      <a:off x="0" y="0"/>
                      <a:ext cx="5425440" cy="2456815"/>
                    </a:xfrm>
                    <a:prstGeom prst="rect">
                      <a:avLst/>
                    </a:prstGeom>
                  </pic:spPr>
                </pic:pic>
              </a:graphicData>
            </a:graphic>
          </wp:inline>
        </w:drawing>
      </w:r>
    </w:p>
    <w:p w14:paraId="4F7FA766" w14:textId="77777777" w:rsidR="009F049C" w:rsidRDefault="009F049C">
      <w:pPr>
        <w:spacing w:after="39"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926"/>
        <w:gridCol w:w="1142"/>
        <w:gridCol w:w="1334"/>
        <w:gridCol w:w="1003"/>
        <w:gridCol w:w="1258"/>
        <w:gridCol w:w="1066"/>
        <w:gridCol w:w="1234"/>
      </w:tblGrid>
      <w:tr w:rsidR="009F049C" w14:paraId="4F7FA76E" w14:textId="77777777">
        <w:trPr>
          <w:trHeight w:hRule="exact" w:val="163"/>
        </w:trPr>
        <w:tc>
          <w:tcPr>
            <w:tcW w:w="926" w:type="dxa"/>
            <w:shd w:val="clear" w:color="auto" w:fill="FFFFFF"/>
          </w:tcPr>
          <w:p w14:paraId="4F7FA767" w14:textId="77777777" w:rsidR="009F049C" w:rsidRDefault="00DD745D">
            <w:pPr>
              <w:pStyle w:val="P68B1DB1-Style5110"/>
              <w:framePr w:w="7963" w:h="485" w:vSpace="235" w:wrap="notBeside" w:vAnchor="text" w:hAnchor="text" w:x="560" w:y="1"/>
              <w:spacing w:after="0" w:line="240" w:lineRule="auto"/>
            </w:pPr>
            <w:r>
              <w:rPr>
                <w:color w:val="404040"/>
              </w:rPr>
              <w:t xml:space="preserve">Natural </w:t>
            </w:r>
            <w:r>
              <w:rPr>
                <w:color w:val="646464"/>
              </w:rPr>
              <w:t>Sciences</w:t>
            </w:r>
          </w:p>
        </w:tc>
        <w:tc>
          <w:tcPr>
            <w:tcW w:w="1142" w:type="dxa"/>
            <w:shd w:val="clear" w:color="auto" w:fill="FFFFFF"/>
          </w:tcPr>
          <w:p w14:paraId="4F7FA768" w14:textId="77777777" w:rsidR="009F049C" w:rsidRDefault="00DD745D">
            <w:pPr>
              <w:pStyle w:val="P68B1DB1-Style5110"/>
              <w:framePr w:w="7963" w:h="485" w:vSpace="235" w:wrap="notBeside" w:vAnchor="text" w:hAnchor="text" w:x="560" w:y="1"/>
              <w:spacing w:after="0" w:line="240" w:lineRule="auto"/>
              <w:jc w:val="center"/>
            </w:pPr>
            <w:r>
              <w:rPr>
                <w:color w:val="404040"/>
              </w:rPr>
              <w:t xml:space="preserve">Technical </w:t>
            </w:r>
            <w:r>
              <w:rPr>
                <w:color w:val="201F1E"/>
              </w:rPr>
              <w:t>sciences and</w:t>
            </w:r>
          </w:p>
        </w:tc>
        <w:tc>
          <w:tcPr>
            <w:tcW w:w="1334" w:type="dxa"/>
            <w:shd w:val="clear" w:color="auto" w:fill="FFFFFF"/>
          </w:tcPr>
          <w:p w14:paraId="4F7FA769" w14:textId="77777777" w:rsidR="009F049C" w:rsidRDefault="00DD745D">
            <w:pPr>
              <w:pStyle w:val="P68B1DB1-Style5111"/>
              <w:framePr w:w="7963" w:h="485" w:vSpace="235" w:wrap="notBeside" w:vAnchor="text" w:hAnchor="text" w:x="560" w:y="1"/>
              <w:spacing w:after="0" w:line="240" w:lineRule="auto"/>
            </w:pPr>
            <w:proofErr w:type="spellStart"/>
            <w:r>
              <w:t>Poľnohosp</w:t>
            </w:r>
            <w:proofErr w:type="spellEnd"/>
            <w:r>
              <w:t>.-</w:t>
            </w:r>
            <w:proofErr w:type="spellStart"/>
            <w:r>
              <w:t>forestry</w:t>
            </w:r>
            <w:proofErr w:type="spellEnd"/>
            <w:r>
              <w:t xml:space="preserve"> and</w:t>
            </w:r>
          </w:p>
        </w:tc>
        <w:tc>
          <w:tcPr>
            <w:tcW w:w="1003" w:type="dxa"/>
            <w:shd w:val="clear" w:color="auto" w:fill="FFFFFF"/>
          </w:tcPr>
          <w:p w14:paraId="4F7FA76A" w14:textId="77777777" w:rsidR="009F049C" w:rsidRDefault="00DD745D">
            <w:pPr>
              <w:pStyle w:val="P68B1DB1-Style5112"/>
              <w:framePr w:w="7963" w:h="485" w:vSpace="235" w:wrap="notBeside" w:vAnchor="text" w:hAnchor="text" w:x="560" w:y="1"/>
              <w:spacing w:after="0" w:line="240" w:lineRule="auto"/>
              <w:jc w:val="center"/>
            </w:pPr>
            <w:r>
              <w:t>Health</w:t>
            </w:r>
          </w:p>
        </w:tc>
        <w:tc>
          <w:tcPr>
            <w:tcW w:w="1258" w:type="dxa"/>
            <w:shd w:val="clear" w:color="auto" w:fill="FFFFFF"/>
          </w:tcPr>
          <w:p w14:paraId="4F7FA76B" w14:textId="77777777" w:rsidR="009F049C" w:rsidRDefault="00DD745D">
            <w:pPr>
              <w:pStyle w:val="P68B1DB1-Style5111"/>
              <w:framePr w:w="7963" w:h="485" w:vSpace="235" w:wrap="notBeside" w:vAnchor="text" w:hAnchor="text" w:x="560" w:y="1"/>
              <w:spacing w:after="0" w:line="240" w:lineRule="auto"/>
              <w:jc w:val="center"/>
            </w:pPr>
            <w:r>
              <w:t>Social sciences;</w:t>
            </w:r>
          </w:p>
        </w:tc>
        <w:tc>
          <w:tcPr>
            <w:tcW w:w="1066" w:type="dxa"/>
            <w:shd w:val="clear" w:color="auto" w:fill="FFFFFF"/>
          </w:tcPr>
          <w:p w14:paraId="4F7FA76C" w14:textId="77777777" w:rsidR="009F049C" w:rsidRDefault="00DD745D">
            <w:pPr>
              <w:pStyle w:val="P68B1DB1-Style5110"/>
              <w:framePr w:w="7963" w:h="485" w:vSpace="235" w:wrap="notBeside" w:vAnchor="text" w:hAnchor="text" w:x="560" w:y="1"/>
              <w:spacing w:after="0" w:line="240" w:lineRule="auto"/>
            </w:pPr>
            <w:r>
              <w:t xml:space="preserve">Sciences </w:t>
            </w:r>
            <w:r>
              <w:rPr>
                <w:color w:val="201F1E"/>
              </w:rPr>
              <w:t xml:space="preserve">and </w:t>
            </w:r>
            <w:proofErr w:type="spellStart"/>
            <w:r>
              <w:rPr>
                <w:color w:val="201F1E"/>
              </w:rPr>
              <w:t>teachings</w:t>
            </w:r>
            <w:proofErr w:type="spellEnd"/>
            <w:r>
              <w:rPr>
                <w:color w:val="201F1E"/>
              </w:rPr>
              <w:t xml:space="preserve"> </w:t>
            </w:r>
            <w:r>
              <w:t>about</w:t>
            </w:r>
          </w:p>
        </w:tc>
        <w:tc>
          <w:tcPr>
            <w:tcW w:w="1234" w:type="dxa"/>
            <w:shd w:val="clear" w:color="auto" w:fill="FFFFFF"/>
          </w:tcPr>
          <w:p w14:paraId="4F7FA76D" w14:textId="77777777" w:rsidR="009F049C" w:rsidRDefault="00DD745D">
            <w:pPr>
              <w:pStyle w:val="P68B1DB1-Style5112"/>
              <w:framePr w:w="7963" w:h="485" w:vSpace="235" w:wrap="notBeside" w:vAnchor="text" w:hAnchor="text" w:x="560" w:y="1"/>
              <w:spacing w:after="0" w:line="240" w:lineRule="auto"/>
              <w:jc w:val="center"/>
            </w:pPr>
            <w:proofErr w:type="spellStart"/>
            <w:r>
              <w:t>Military</w:t>
            </w:r>
            <w:proofErr w:type="spellEnd"/>
            <w:r>
              <w:t xml:space="preserve"> and</w:t>
            </w:r>
          </w:p>
        </w:tc>
      </w:tr>
      <w:tr w:rsidR="009F049C" w14:paraId="4F7FA776" w14:textId="77777777">
        <w:trPr>
          <w:trHeight w:hRule="exact" w:val="158"/>
        </w:trPr>
        <w:tc>
          <w:tcPr>
            <w:tcW w:w="926" w:type="dxa"/>
            <w:shd w:val="clear" w:color="auto" w:fill="FFFFFF"/>
          </w:tcPr>
          <w:p w14:paraId="4F7FA76F" w14:textId="77777777" w:rsidR="009F049C" w:rsidRDefault="009F049C">
            <w:pPr>
              <w:framePr w:w="7963" w:h="485" w:vSpace="235" w:wrap="notBeside" w:vAnchor="text" w:hAnchor="text" w:x="560" w:y="1"/>
              <w:rPr>
                <w:sz w:val="10"/>
              </w:rPr>
            </w:pPr>
          </w:p>
        </w:tc>
        <w:tc>
          <w:tcPr>
            <w:tcW w:w="1142" w:type="dxa"/>
            <w:shd w:val="clear" w:color="auto" w:fill="FFFFFF"/>
          </w:tcPr>
          <w:p w14:paraId="4F7FA770" w14:textId="77777777" w:rsidR="009F049C" w:rsidRDefault="00DD745D">
            <w:pPr>
              <w:pStyle w:val="P68B1DB1-Style5111"/>
              <w:framePr w:w="7963" w:h="485" w:vSpace="235" w:wrap="notBeside" w:vAnchor="text" w:hAnchor="text" w:x="560" w:y="1"/>
              <w:spacing w:after="0" w:line="240" w:lineRule="auto"/>
              <w:jc w:val="center"/>
            </w:pPr>
            <w:proofErr w:type="spellStart"/>
            <w:r>
              <w:t>teachings</w:t>
            </w:r>
            <w:proofErr w:type="spellEnd"/>
          </w:p>
        </w:tc>
        <w:tc>
          <w:tcPr>
            <w:tcW w:w="1334" w:type="dxa"/>
            <w:shd w:val="clear" w:color="auto" w:fill="FFFFFF"/>
          </w:tcPr>
          <w:p w14:paraId="4F7FA771" w14:textId="77777777" w:rsidR="009F049C" w:rsidRDefault="00DD745D">
            <w:pPr>
              <w:pStyle w:val="P68B1DB1-Style5110"/>
              <w:framePr w:w="7963" w:h="485" w:vSpace="235" w:wrap="notBeside" w:vAnchor="text" w:hAnchor="text" w:x="560" w:y="1"/>
              <w:spacing w:after="0" w:line="240" w:lineRule="auto"/>
            </w:pPr>
            <w:proofErr w:type="spellStart"/>
            <w:r>
              <w:rPr>
                <w:color w:val="404040"/>
              </w:rPr>
              <w:t>veterinary</w:t>
            </w:r>
            <w:proofErr w:type="spellEnd"/>
            <w:r>
              <w:rPr>
                <w:color w:val="404040"/>
              </w:rPr>
              <w:t xml:space="preserve"> </w:t>
            </w:r>
            <w:r>
              <w:rPr>
                <w:color w:val="646464"/>
              </w:rPr>
              <w:t>sciences and</w:t>
            </w:r>
          </w:p>
        </w:tc>
        <w:tc>
          <w:tcPr>
            <w:tcW w:w="1003" w:type="dxa"/>
            <w:shd w:val="clear" w:color="auto" w:fill="FFFFFF"/>
          </w:tcPr>
          <w:p w14:paraId="4F7FA772" w14:textId="77777777" w:rsidR="009F049C" w:rsidRDefault="009F049C">
            <w:pPr>
              <w:framePr w:w="7963" w:h="485" w:vSpace="235" w:wrap="notBeside" w:vAnchor="text" w:hAnchor="text" w:x="560" w:y="1"/>
              <w:rPr>
                <w:sz w:val="10"/>
              </w:rPr>
            </w:pPr>
          </w:p>
        </w:tc>
        <w:tc>
          <w:tcPr>
            <w:tcW w:w="1258" w:type="dxa"/>
            <w:shd w:val="clear" w:color="auto" w:fill="FFFFFF"/>
          </w:tcPr>
          <w:p w14:paraId="4F7FA773" w14:textId="77777777" w:rsidR="009F049C" w:rsidRDefault="00DD745D">
            <w:pPr>
              <w:pStyle w:val="P68B1DB1-Style5112"/>
              <w:framePr w:w="7963" w:h="485" w:vSpace="235" w:wrap="notBeside" w:vAnchor="text" w:hAnchor="text" w:x="560" w:y="1"/>
              <w:spacing w:after="0" w:line="240" w:lineRule="auto"/>
              <w:jc w:val="center"/>
            </w:pPr>
            <w:proofErr w:type="spellStart"/>
            <w:r>
              <w:t>teachings</w:t>
            </w:r>
            <w:proofErr w:type="spellEnd"/>
            <w:r>
              <w:t xml:space="preserve"> and </w:t>
            </w:r>
            <w:proofErr w:type="spellStart"/>
            <w:r>
              <w:t>services</w:t>
            </w:r>
            <w:proofErr w:type="spellEnd"/>
          </w:p>
        </w:tc>
        <w:tc>
          <w:tcPr>
            <w:tcW w:w="1066" w:type="dxa"/>
            <w:shd w:val="clear" w:color="auto" w:fill="FFFFFF"/>
          </w:tcPr>
          <w:p w14:paraId="4F7FA774" w14:textId="77777777" w:rsidR="009F049C" w:rsidRDefault="00DD745D">
            <w:pPr>
              <w:pStyle w:val="P68B1DB1-Style5110"/>
              <w:framePr w:w="7963" w:h="485" w:vSpace="235" w:wrap="notBeside" w:vAnchor="text" w:hAnchor="text" w:x="560" w:y="1"/>
              <w:spacing w:after="0" w:line="240" w:lineRule="auto"/>
            </w:pPr>
            <w:r>
              <w:rPr>
                <w:color w:val="404040"/>
              </w:rPr>
              <w:t xml:space="preserve">culture and </w:t>
            </w:r>
            <w:r>
              <w:rPr>
                <w:color w:val="201F1E"/>
              </w:rPr>
              <w:t>Arts</w:t>
            </w:r>
          </w:p>
        </w:tc>
        <w:tc>
          <w:tcPr>
            <w:tcW w:w="1234" w:type="dxa"/>
            <w:shd w:val="clear" w:color="auto" w:fill="FFFFFF"/>
          </w:tcPr>
          <w:p w14:paraId="4F7FA775" w14:textId="77777777" w:rsidR="009F049C" w:rsidRDefault="00DD745D">
            <w:pPr>
              <w:pStyle w:val="P68B1DB1-Style5110"/>
              <w:framePr w:w="7963" w:h="485" w:vSpace="235" w:wrap="notBeside" w:vAnchor="text" w:hAnchor="text" w:x="560" w:y="1"/>
              <w:spacing w:after="0" w:line="240" w:lineRule="auto"/>
              <w:jc w:val="center"/>
            </w:pPr>
            <w:r>
              <w:rPr>
                <w:color w:val="404040"/>
              </w:rPr>
              <w:t xml:space="preserve">security </w:t>
            </w:r>
            <w:r>
              <w:rPr>
                <w:color w:val="646464"/>
              </w:rPr>
              <w:t xml:space="preserve">sciences </w:t>
            </w:r>
            <w:r>
              <w:rPr>
                <w:color w:val="404040"/>
              </w:rPr>
              <w:t>and</w:t>
            </w:r>
          </w:p>
        </w:tc>
      </w:tr>
      <w:tr w:rsidR="009F049C" w14:paraId="4F7FA77E" w14:textId="77777777">
        <w:trPr>
          <w:trHeight w:hRule="exact" w:val="163"/>
        </w:trPr>
        <w:tc>
          <w:tcPr>
            <w:tcW w:w="926" w:type="dxa"/>
            <w:shd w:val="clear" w:color="auto" w:fill="FFFFFF"/>
          </w:tcPr>
          <w:p w14:paraId="4F7FA777" w14:textId="77777777" w:rsidR="009F049C" w:rsidRDefault="009F049C">
            <w:pPr>
              <w:framePr w:w="7963" w:h="485" w:vSpace="235" w:wrap="notBeside" w:vAnchor="text" w:hAnchor="text" w:x="560" w:y="1"/>
              <w:rPr>
                <w:sz w:val="10"/>
              </w:rPr>
            </w:pPr>
          </w:p>
        </w:tc>
        <w:tc>
          <w:tcPr>
            <w:tcW w:w="1142" w:type="dxa"/>
            <w:shd w:val="clear" w:color="auto" w:fill="FFFFFF"/>
          </w:tcPr>
          <w:p w14:paraId="4F7FA778" w14:textId="77777777" w:rsidR="009F049C" w:rsidRDefault="009F049C">
            <w:pPr>
              <w:framePr w:w="7963" w:h="485" w:vSpace="235" w:wrap="notBeside" w:vAnchor="text" w:hAnchor="text" w:x="560" w:y="1"/>
              <w:rPr>
                <w:sz w:val="10"/>
              </w:rPr>
            </w:pPr>
          </w:p>
        </w:tc>
        <w:tc>
          <w:tcPr>
            <w:tcW w:w="1334" w:type="dxa"/>
            <w:shd w:val="clear" w:color="auto" w:fill="FFFFFF"/>
          </w:tcPr>
          <w:p w14:paraId="4F7FA779" w14:textId="77777777" w:rsidR="009F049C" w:rsidRDefault="00DD745D">
            <w:pPr>
              <w:pStyle w:val="P68B1DB1-Style5112"/>
              <w:framePr w:w="7963" w:h="485" w:vSpace="235" w:wrap="notBeside" w:vAnchor="text" w:hAnchor="text" w:x="560" w:y="1"/>
              <w:spacing w:after="0" w:line="240" w:lineRule="auto"/>
              <w:jc w:val="center"/>
            </w:pPr>
            <w:proofErr w:type="spellStart"/>
            <w:r>
              <w:t>teachings</w:t>
            </w:r>
            <w:proofErr w:type="spellEnd"/>
          </w:p>
        </w:tc>
        <w:tc>
          <w:tcPr>
            <w:tcW w:w="1003" w:type="dxa"/>
            <w:shd w:val="clear" w:color="auto" w:fill="FFFFFF"/>
          </w:tcPr>
          <w:p w14:paraId="4F7FA77A" w14:textId="77777777" w:rsidR="009F049C" w:rsidRDefault="009F049C">
            <w:pPr>
              <w:framePr w:w="7963" w:h="485" w:vSpace="235" w:wrap="notBeside" w:vAnchor="text" w:hAnchor="text" w:x="560" w:y="1"/>
              <w:rPr>
                <w:sz w:val="10"/>
              </w:rPr>
            </w:pPr>
          </w:p>
        </w:tc>
        <w:tc>
          <w:tcPr>
            <w:tcW w:w="1258" w:type="dxa"/>
            <w:shd w:val="clear" w:color="auto" w:fill="FFFFFF"/>
          </w:tcPr>
          <w:p w14:paraId="4F7FA77B" w14:textId="77777777" w:rsidR="009F049C" w:rsidRDefault="009F049C">
            <w:pPr>
              <w:framePr w:w="7963" w:h="485" w:vSpace="235" w:wrap="notBeside" w:vAnchor="text" w:hAnchor="text" w:x="560" w:y="1"/>
              <w:rPr>
                <w:sz w:val="10"/>
              </w:rPr>
            </w:pPr>
          </w:p>
        </w:tc>
        <w:tc>
          <w:tcPr>
            <w:tcW w:w="1066" w:type="dxa"/>
            <w:shd w:val="clear" w:color="auto" w:fill="FFFFFF"/>
          </w:tcPr>
          <w:p w14:paraId="4F7FA77C" w14:textId="77777777" w:rsidR="009F049C" w:rsidRDefault="009F049C">
            <w:pPr>
              <w:framePr w:w="7963" w:h="485" w:vSpace="235" w:wrap="notBeside" w:vAnchor="text" w:hAnchor="text" w:x="560" w:y="1"/>
              <w:rPr>
                <w:sz w:val="10"/>
              </w:rPr>
            </w:pPr>
          </w:p>
        </w:tc>
        <w:tc>
          <w:tcPr>
            <w:tcW w:w="1234" w:type="dxa"/>
            <w:shd w:val="clear" w:color="auto" w:fill="FFFFFF"/>
          </w:tcPr>
          <w:p w14:paraId="4F7FA77D" w14:textId="77777777" w:rsidR="009F049C" w:rsidRDefault="00DD745D">
            <w:pPr>
              <w:pStyle w:val="P68B1DB1-Style5111"/>
              <w:framePr w:w="7963" w:h="485" w:vSpace="235" w:wrap="notBeside" w:vAnchor="text" w:hAnchor="text" w:x="560" w:y="1"/>
              <w:spacing w:after="0" w:line="240" w:lineRule="auto"/>
              <w:jc w:val="center"/>
            </w:pPr>
            <w:proofErr w:type="spellStart"/>
            <w:r>
              <w:t>teachings</w:t>
            </w:r>
            <w:proofErr w:type="spellEnd"/>
          </w:p>
        </w:tc>
      </w:tr>
    </w:tbl>
    <w:p w14:paraId="4F7FA77F" w14:textId="77777777" w:rsidR="009F049C" w:rsidRDefault="00DD745D">
      <w:pPr>
        <w:pStyle w:val="Tablecaption10"/>
        <w:framePr w:w="1882" w:h="168" w:hSpace="559" w:wrap="notBeside" w:vAnchor="text" w:hAnchor="text" w:x="963" w:y="553"/>
        <w:tabs>
          <w:tab w:val="left" w:pos="754"/>
          <w:tab w:val="left" w:pos="1507"/>
        </w:tabs>
      </w:pPr>
      <w:r>
        <w:t>2010</w:t>
      </w:r>
      <w:r>
        <w:tab/>
        <w:t>2011</w:t>
      </w:r>
      <w:r>
        <w:tab/>
        <w:t>2012</w:t>
      </w:r>
    </w:p>
    <w:p w14:paraId="4F7FA780" w14:textId="77777777" w:rsidR="009F049C" w:rsidRDefault="00DD745D">
      <w:pPr>
        <w:pStyle w:val="Tablecaption10"/>
        <w:framePr w:w="4901" w:h="168" w:hSpace="559" w:wrap="notBeside" w:vAnchor="text" w:hAnchor="text" w:x="3229" w:y="553"/>
        <w:tabs>
          <w:tab w:val="left" w:pos="638"/>
          <w:tab w:val="left" w:pos="1397"/>
          <w:tab w:val="left" w:pos="2150"/>
          <w:tab w:val="left" w:pos="2909"/>
          <w:tab w:val="left" w:pos="3658"/>
          <w:tab w:val="left" w:pos="4416"/>
        </w:tabs>
        <w:jc w:val="right"/>
      </w:pPr>
      <w:r>
        <w:t>2013</w:t>
      </w:r>
      <w:r>
        <w:tab/>
      </w:r>
      <w:r>
        <w:rPr>
          <w:color w:val="404040"/>
        </w:rPr>
        <w:t>B2014</w:t>
      </w:r>
      <w:r>
        <w:rPr>
          <w:color w:val="404040"/>
        </w:rPr>
        <w:tab/>
      </w:r>
      <w:r>
        <w:t>12015</w:t>
      </w:r>
      <w:r>
        <w:tab/>
      </w:r>
      <w:r>
        <w:rPr>
          <w:color w:val="A02525"/>
        </w:rPr>
        <w:t>12016</w:t>
      </w:r>
      <w:r>
        <w:rPr>
          <w:color w:val="A02525"/>
        </w:rPr>
        <w:tab/>
      </w:r>
      <w:r>
        <w:rPr>
          <w:color w:val="254076"/>
        </w:rPr>
        <w:t>12017</w:t>
      </w:r>
      <w:r>
        <w:rPr>
          <w:color w:val="254076"/>
        </w:rPr>
        <w:tab/>
      </w:r>
      <w:r>
        <w:rPr>
          <w:color w:val="960201"/>
        </w:rPr>
        <w:t>12018</w:t>
      </w:r>
      <w:r>
        <w:rPr>
          <w:color w:val="960201"/>
        </w:rPr>
        <w:tab/>
      </w:r>
      <w:r>
        <w:rPr>
          <w:color w:val="011F5E"/>
        </w:rPr>
        <w:t>12019</w:t>
      </w:r>
    </w:p>
    <w:p w14:paraId="4F7FA781" w14:textId="77777777" w:rsidR="009F049C" w:rsidRDefault="009F049C">
      <w:pPr>
        <w:spacing w:line="1" w:lineRule="exact"/>
      </w:pPr>
    </w:p>
    <w:p w14:paraId="4F7FA782" w14:textId="77777777" w:rsidR="009F049C" w:rsidRDefault="00DD745D">
      <w:pPr>
        <w:pStyle w:val="P68B1DB1-Style145"/>
        <w:spacing w:after="180" w:line="240" w:lineRule="auto"/>
      </w:pPr>
      <w:bookmarkStart w:id="122" w:name="bookmark115"/>
      <w:r>
        <w:t xml:space="preserve">Figure 1919. Evolution of the number of students with non-SK </w:t>
      </w:r>
      <w:proofErr w:type="spellStart"/>
      <w:r>
        <w:t>citizenship</w:t>
      </w:r>
      <w:proofErr w:type="spellEnd"/>
      <w:r>
        <w:t xml:space="preserve"> by groups of disciplines</w:t>
      </w:r>
      <w:bookmarkEnd w:id="122"/>
    </w:p>
    <w:p w14:paraId="4F7FA783" w14:textId="77777777" w:rsidR="009F049C" w:rsidRDefault="00DD745D">
      <w:pPr>
        <w:pStyle w:val="Heading110"/>
        <w:keepNext/>
        <w:keepLines/>
        <w:spacing w:after="180"/>
      </w:pPr>
      <w:bookmarkStart w:id="123" w:name="bookmark117"/>
      <w:bookmarkStart w:id="124" w:name="bookmark119"/>
      <w:bookmarkStart w:id="125" w:name="bookmark116"/>
      <w:bookmarkStart w:id="126" w:name="_Toc97734038"/>
      <w:bookmarkStart w:id="127" w:name="_Toc97734057"/>
      <w:proofErr w:type="spellStart"/>
      <w:r>
        <w:lastRenderedPageBreak/>
        <w:t>III.d</w:t>
      </w:r>
      <w:proofErr w:type="spellEnd"/>
      <w:r>
        <w:t xml:space="preserve">. Student </w:t>
      </w:r>
      <w:proofErr w:type="spellStart"/>
      <w:r>
        <w:t>citizenship</w:t>
      </w:r>
      <w:proofErr w:type="spellEnd"/>
      <w:r>
        <w:t xml:space="preserve"> other than Slovak (2010-2020)</w:t>
      </w:r>
      <w:bookmarkEnd w:id="123"/>
      <w:bookmarkEnd w:id="124"/>
      <w:bookmarkEnd w:id="125"/>
      <w:bookmarkEnd w:id="126"/>
      <w:bookmarkEnd w:id="127"/>
    </w:p>
    <w:p w14:paraId="4F7FA784" w14:textId="77777777" w:rsidR="009F049C" w:rsidRDefault="00DD745D">
      <w:pPr>
        <w:pStyle w:val="Bodytext10"/>
        <w:spacing w:after="220"/>
        <w:jc w:val="both"/>
        <w:sectPr w:rsidR="009F049C">
          <w:footnotePr>
            <w:numStart w:val="3"/>
          </w:footnotePr>
          <w:pgSz w:w="11900" w:h="16840"/>
          <w:pgMar w:top="692" w:right="1412" w:bottom="1033" w:left="1407" w:header="0" w:footer="3" w:gutter="0"/>
          <w:cols w:space="720"/>
          <w:noEndnote/>
          <w:docGrid w:linePitch="360"/>
          <w15:footnoteColumns w:val="1"/>
        </w:sectPr>
      </w:pPr>
      <w:r>
        <w:t xml:space="preserve">In 2019 (Figure 20), for the first time among foreign students, </w:t>
      </w:r>
      <w:proofErr w:type="spellStart"/>
      <w:r>
        <w:t>Ukraine</w:t>
      </w:r>
      <w:proofErr w:type="spellEnd"/>
      <w:r>
        <w:t xml:space="preserve"> was the </w:t>
      </w:r>
      <w:proofErr w:type="spellStart"/>
      <w:r>
        <w:t>largest</w:t>
      </w:r>
      <w:proofErr w:type="spellEnd"/>
      <w:r>
        <w:t xml:space="preserve"> group of students, which </w:t>
      </w:r>
      <w:proofErr w:type="spellStart"/>
      <w:r>
        <w:t>appears</w:t>
      </w:r>
      <w:proofErr w:type="spellEnd"/>
      <w:r>
        <w:t xml:space="preserve"> to be a longer-term trend, as the number has increased by more than 31 times since 2010. </w:t>
      </w:r>
      <w:proofErr w:type="spellStart"/>
      <w:r>
        <w:t>Ukrainians</w:t>
      </w:r>
      <w:proofErr w:type="spellEnd"/>
      <w:r>
        <w:t xml:space="preserve"> mostly come to Slovak public universities to study </w:t>
      </w:r>
      <w:proofErr w:type="spellStart"/>
      <w:r>
        <w:t>daily</w:t>
      </w:r>
      <w:proofErr w:type="spellEnd"/>
      <w:r>
        <w:t xml:space="preserve"> and </w:t>
      </w:r>
      <w:proofErr w:type="spellStart"/>
      <w:r>
        <w:t>preferably</w:t>
      </w:r>
      <w:proofErr w:type="spellEnd"/>
      <w:r>
        <w:t xml:space="preserve"> in Slovak language. On the </w:t>
      </w:r>
      <w:proofErr w:type="spellStart"/>
      <w:r>
        <w:t>contrary</w:t>
      </w:r>
      <w:proofErr w:type="spellEnd"/>
      <w:r>
        <w:t xml:space="preserve">, students with Czech </w:t>
      </w:r>
      <w:proofErr w:type="spellStart"/>
      <w:r>
        <w:t>citizenship</w:t>
      </w:r>
      <w:proofErr w:type="spellEnd"/>
      <w:r>
        <w:t xml:space="preserve">, who </w:t>
      </w:r>
      <w:proofErr w:type="spellStart"/>
      <w:r>
        <w:t>accounted</w:t>
      </w:r>
      <w:proofErr w:type="spellEnd"/>
      <w:r>
        <w:t xml:space="preserve"> for a large proportion of foreign students in private schools and in external form, are in </w:t>
      </w:r>
      <w:proofErr w:type="spellStart"/>
      <w:r>
        <w:t>retreat</w:t>
      </w:r>
      <w:proofErr w:type="spellEnd"/>
      <w:r>
        <w:t>.</w:t>
      </w:r>
    </w:p>
    <w:p w14:paraId="4F7FA786" w14:textId="77777777" w:rsidR="009F049C" w:rsidRDefault="00DD745D">
      <w:pPr>
        <w:pStyle w:val="Bodytext20"/>
      </w:pPr>
      <w:r>
        <w:lastRenderedPageBreak/>
        <w:t>SLOVAK ACCREDITATION AGENCY FOR HIGHER EDUCATION</w:t>
      </w:r>
    </w:p>
    <w:p w14:paraId="4F7FA787" w14:textId="77777777" w:rsidR="009F049C" w:rsidRDefault="00DD745D">
      <w:pPr>
        <w:pStyle w:val="Bodytext10"/>
        <w:spacing w:after="140"/>
        <w:jc w:val="both"/>
      </w:pPr>
      <w:r>
        <w:t xml:space="preserve">However, the increase in the number of foreign students was not </w:t>
      </w:r>
      <w:proofErr w:type="spellStart"/>
      <w:r>
        <w:t>caused</w:t>
      </w:r>
      <w:proofErr w:type="spellEnd"/>
      <w:r>
        <w:t xml:space="preserve"> only by </w:t>
      </w:r>
      <w:proofErr w:type="spellStart"/>
      <w:r>
        <w:t>Ukrainians</w:t>
      </w:r>
      <w:proofErr w:type="spellEnd"/>
      <w:r>
        <w:t xml:space="preserve">, but in recent years the number of students from </w:t>
      </w:r>
      <w:proofErr w:type="spellStart"/>
      <w:r>
        <w:t>Germany</w:t>
      </w:r>
      <w:proofErr w:type="spellEnd"/>
      <w:r>
        <w:t xml:space="preserve">, </w:t>
      </w:r>
      <w:proofErr w:type="spellStart"/>
      <w:r>
        <w:t>Serbia</w:t>
      </w:r>
      <w:proofErr w:type="spellEnd"/>
      <w:r>
        <w:t xml:space="preserve">, Hungary and </w:t>
      </w:r>
      <w:proofErr w:type="spellStart"/>
      <w:r>
        <w:t>Russia</w:t>
      </w:r>
      <w:proofErr w:type="spellEnd"/>
      <w:r>
        <w:t xml:space="preserve"> has also increased. The number of students from </w:t>
      </w:r>
      <w:proofErr w:type="spellStart"/>
      <w:r>
        <w:t>Norway</w:t>
      </w:r>
      <w:proofErr w:type="spellEnd"/>
      <w:r>
        <w:t xml:space="preserve"> and Poland </w:t>
      </w:r>
      <w:proofErr w:type="spellStart"/>
      <w:r>
        <w:t>seems</w:t>
      </w:r>
      <w:proofErr w:type="spellEnd"/>
      <w:r>
        <w:t xml:space="preserve"> </w:t>
      </w:r>
      <w:proofErr w:type="spellStart"/>
      <w:r>
        <w:t>stable</w:t>
      </w:r>
      <w:proofErr w:type="spellEnd"/>
      <w:r>
        <w:t xml:space="preserve">, while, on the </w:t>
      </w:r>
      <w:proofErr w:type="spellStart"/>
      <w:r>
        <w:t>contrary</w:t>
      </w:r>
      <w:proofErr w:type="spellEnd"/>
      <w:r>
        <w:t xml:space="preserve">, the number of </w:t>
      </w:r>
      <w:proofErr w:type="spellStart"/>
      <w:r>
        <w:t>Greek</w:t>
      </w:r>
      <w:proofErr w:type="spellEnd"/>
      <w:r>
        <w:t xml:space="preserve"> students who were over a </w:t>
      </w:r>
      <w:proofErr w:type="spellStart"/>
      <w:r>
        <w:t>thousand</w:t>
      </w:r>
      <w:proofErr w:type="spellEnd"/>
      <w:r>
        <w:t xml:space="preserve"> years ago is </w:t>
      </w:r>
      <w:proofErr w:type="spellStart"/>
      <w:r>
        <w:t>falling</w:t>
      </w:r>
      <w:proofErr w:type="spellEnd"/>
      <w:r>
        <w:t xml:space="preserve"> </w:t>
      </w:r>
      <w:proofErr w:type="spellStart"/>
      <w:r>
        <w:t>sharply</w:t>
      </w:r>
      <w:proofErr w:type="spellEnd"/>
      <w:r>
        <w:t xml:space="preserve">. The </w:t>
      </w:r>
      <w:proofErr w:type="spellStart"/>
      <w:r>
        <w:t>largest</w:t>
      </w:r>
      <w:proofErr w:type="spellEnd"/>
      <w:r>
        <w:t xml:space="preserve"> groups in the category include students with </w:t>
      </w:r>
      <w:proofErr w:type="spellStart"/>
      <w:r>
        <w:t>citizenship</w:t>
      </w:r>
      <w:proofErr w:type="spellEnd"/>
      <w:r>
        <w:t xml:space="preserve"> from India, Spain, </w:t>
      </w:r>
      <w:proofErr w:type="spellStart"/>
      <w:r>
        <w:t>Israel</w:t>
      </w:r>
      <w:proofErr w:type="spellEnd"/>
      <w:r>
        <w:t xml:space="preserve">, </w:t>
      </w:r>
      <w:proofErr w:type="spellStart"/>
      <w:r>
        <w:t>Iran</w:t>
      </w:r>
      <w:proofErr w:type="spellEnd"/>
      <w:r>
        <w:t xml:space="preserve">, </w:t>
      </w:r>
      <w:proofErr w:type="spellStart"/>
      <w:r>
        <w:t>Austria</w:t>
      </w:r>
      <w:proofErr w:type="spellEnd"/>
      <w:r>
        <w:t xml:space="preserve"> and </w:t>
      </w:r>
      <w:proofErr w:type="spellStart"/>
      <w:r>
        <w:t>Iceland</w:t>
      </w:r>
      <w:proofErr w:type="spellEnd"/>
      <w:r>
        <w:t xml:space="preserve">. There is also an increasing trend and the share of the remaining countries has </w:t>
      </w:r>
      <w:proofErr w:type="spellStart"/>
      <w:r>
        <w:t>doubled</w:t>
      </w:r>
      <w:proofErr w:type="spellEnd"/>
      <w:r>
        <w:t xml:space="preserve"> in the last 10 years.</w:t>
      </w:r>
    </w:p>
    <w:p w14:paraId="4F7FA788" w14:textId="77777777" w:rsidR="009F049C" w:rsidRDefault="00DD745D">
      <w:pPr>
        <w:jc w:val="center"/>
        <w:rPr>
          <w:sz w:val="2"/>
        </w:rPr>
      </w:pPr>
      <w:r>
        <w:rPr>
          <w:noProof/>
        </w:rPr>
        <w:drawing>
          <wp:inline distT="0" distB="0" distL="0" distR="0" wp14:anchorId="4F7FA7B0" wp14:editId="4F7FA7B1">
            <wp:extent cx="5687695" cy="39624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a:stretch/>
                  </pic:blipFill>
                  <pic:spPr>
                    <a:xfrm>
                      <a:off x="0" y="0"/>
                      <a:ext cx="5687695" cy="3962400"/>
                    </a:xfrm>
                    <a:prstGeom prst="rect">
                      <a:avLst/>
                    </a:prstGeom>
                  </pic:spPr>
                </pic:pic>
              </a:graphicData>
            </a:graphic>
          </wp:inline>
        </w:drawing>
      </w:r>
    </w:p>
    <w:p w14:paraId="4F7FA789" w14:textId="77777777" w:rsidR="009F049C" w:rsidRDefault="00DD745D">
      <w:pPr>
        <w:pStyle w:val="Picturecaption10"/>
      </w:pPr>
      <w:bookmarkStart w:id="128" w:name="bookmark120"/>
      <w:r>
        <w:t xml:space="preserve">Figure 20. </w:t>
      </w:r>
      <w:proofErr w:type="spellStart"/>
      <w:r>
        <w:t>Citizenship</w:t>
      </w:r>
      <w:proofErr w:type="spellEnd"/>
      <w:r>
        <w:t xml:space="preserve"> of students (other than Slovak)</w:t>
      </w:r>
      <w:bookmarkEnd w:id="128"/>
    </w:p>
    <w:sectPr w:rsidR="009F049C">
      <w:footnotePr>
        <w:numStart w:val="3"/>
      </w:footnotePr>
      <w:pgSz w:w="11900" w:h="16840"/>
      <w:pgMar w:top="692" w:right="1417" w:bottom="1028" w:left="1407"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FA7B8" w14:textId="77777777" w:rsidR="000766C8" w:rsidRDefault="00DD745D">
      <w:r>
        <w:separator/>
      </w:r>
    </w:p>
  </w:endnote>
  <w:endnote w:type="continuationSeparator" w:id="0">
    <w:p w14:paraId="4F7FA7BA" w14:textId="77777777" w:rsidR="000766C8" w:rsidRDefault="00DD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A7B5" w14:textId="77777777" w:rsidR="009F049C" w:rsidRDefault="00DD745D">
    <w:pPr>
      <w:spacing w:line="1" w:lineRule="exact"/>
    </w:pPr>
    <w:r>
      <w:rPr>
        <w:noProof/>
      </w:rPr>
      <mc:AlternateContent>
        <mc:Choice Requires="wps">
          <w:drawing>
            <wp:anchor distT="0" distB="0" distL="0" distR="0" simplePos="0" relativeHeight="251659264" behindDoc="1" locked="0" layoutInCell="1" allowOverlap="1" wp14:anchorId="4F7FA7BA" wp14:editId="4F7FA7BB">
              <wp:simplePos x="0" y="0"/>
              <wp:positionH relativeFrom="page">
                <wp:posOffset>3648710</wp:posOffset>
              </wp:positionH>
              <wp:positionV relativeFrom="page">
                <wp:posOffset>10059035</wp:posOffset>
              </wp:positionV>
              <wp:extent cx="2990215" cy="82550"/>
              <wp:effectExtent l="0" t="0" r="0" b="0"/>
              <wp:wrapNone/>
              <wp:docPr id="4" name="Shape 4"/>
              <wp:cNvGraphicFramePr/>
              <a:graphic xmlns:a="http://schemas.openxmlformats.org/drawingml/2006/main">
                <a:graphicData uri="http://schemas.microsoft.com/office/word/2010/wordprocessingShape">
                  <wps:wsp>
                    <wps:cNvSpPr txBox="1"/>
                    <wps:spPr>
                      <a:xfrm>
                        <a:off x="0" y="0"/>
                        <a:ext cx="2990215" cy="82550"/>
                      </a:xfrm>
                      <a:prstGeom prst="rect">
                        <a:avLst/>
                      </a:prstGeom>
                      <a:noFill/>
                    </wps:spPr>
                    <wps:txbx>
                      <w:txbxContent>
                        <w:p w14:paraId="4F7FA7D9" w14:textId="77777777" w:rsidR="009F049C" w:rsidRDefault="00DD745D">
                          <w:pPr>
                            <w:pStyle w:val="P68B1DB1-Style2214"/>
                            <w:tabs>
                              <w:tab w:val="right" w:pos="4709"/>
                            </w:tabs>
                          </w:pPr>
                          <w:proofErr w:type="spellStart"/>
                          <w:r>
                            <w:t>page</w:t>
                          </w:r>
                          <w:proofErr w:type="spellEnd"/>
                          <w:r>
                            <w:t xml:space="preserve"> </w:t>
                          </w:r>
                          <w:r>
                            <w:fldChar w:fldCharType="begin"/>
                          </w:r>
                          <w:r>
                            <w:instrText xml:space="preserve"> PAGE \* MERGEFORMAT </w:instrText>
                          </w:r>
                          <w:r>
                            <w:fldChar w:fldCharType="separate"/>
                          </w:r>
                          <w:r>
                            <w:t>#</w:t>
                          </w:r>
                          <w:r>
                            <w:fldChar w:fldCharType="end"/>
                          </w:r>
                          <w:r>
                            <w:tab/>
                            <w:t>20. 12. 2021</w:t>
                          </w:r>
                        </w:p>
                      </w:txbxContent>
                    </wps:txbx>
                    <wps:bodyPr lIns="0" tIns="0" rIns="0" bIns="0">
                      <a:spAutoFit/>
                    </wps:bodyPr>
                  </wps:wsp>
                </a:graphicData>
              </a:graphic>
            </wp:anchor>
          </w:drawing>
        </mc:Choice>
        <mc:Fallback>
          <w:pict>
            <v:shapetype w14:anchorId="4F7FA7BA" id="_x0000_t202" coordsize="21600,21600" o:spt="202" path="m,l,21600r21600,l21600,xe">
              <v:stroke joinstyle="miter"/>
              <v:path gradientshapeok="t" o:connecttype="rect"/>
            </v:shapetype>
            <v:shape id="Shape 4" o:spid="_x0000_s1027" type="#_x0000_t202" style="position:absolute;margin-left:287.3pt;margin-top:792.05pt;width:235.45pt;height: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" filled="f" stroked="f">
              <v:textbox style="mso-fit-shape-to-text:t" inset="0,0,0,0">
                <w:txbxContent>
                  <w:p w14:paraId="4F7FA7D9" w14:textId="77777777" w:rsidR="009F049C" w:rsidRDefault="00DD745D">
                    <w:pPr>
                      <w:pStyle w:val="P68B1DB1-Style2214"/>
                      <w:tabs>
                        <w:tab w:val="right" w:pos="4709"/>
                      </w:tabs>
                    </w:pPr>
                    <w:proofErr w:type="spellStart"/>
                    <w:r>
                      <w:t>page</w:t>
                    </w:r>
                    <w:proofErr w:type="spellEnd"/>
                    <w:r>
                      <w:t xml:space="preserve"> </w:t>
                    </w:r>
                    <w:r>
                      <w:fldChar w:fldCharType="begin"/>
                    </w:r>
                    <w:r>
                      <w:instrText xml:space="preserve"> PAGE \* MERGEFORMAT </w:instrText>
                    </w:r>
                    <w:r>
                      <w:fldChar w:fldCharType="separate"/>
                    </w:r>
                    <w:r>
                      <w:t>#</w:t>
                    </w:r>
                    <w:r>
                      <w:fldChar w:fldCharType="end"/>
                    </w:r>
                    <w:r>
                      <w:tab/>
                      <w:t>20. 12. 2021</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F7FA7BC" wp14:editId="4F7FA7BD">
              <wp:simplePos x="0" y="0"/>
              <wp:positionH relativeFrom="page">
                <wp:posOffset>893445</wp:posOffset>
              </wp:positionH>
              <wp:positionV relativeFrom="page">
                <wp:posOffset>9986010</wp:posOffset>
              </wp:positionV>
              <wp:extent cx="5769610" cy="0"/>
              <wp:effectExtent l="0" t="0" r="0" b="0"/>
              <wp:wrapNone/>
              <wp:docPr id="6" name="SHAPE 6"/>
              <wp:cNvGraphicFramePr/>
              <a:graphic xmlns:a="http://schemas.openxmlformats.org/drawingml/2006/main">
                <a:graphicData uri="http://schemas.microsoft.com/office/word/2010/wordprocessingShape">
                  <wps:wsp>
                    <wps:cNvCnPr/>
                    <wps:spPr>
                      <a:xfrm>
                        <a:off x="0" y="0"/>
                        <a:ext cx="5769610" cy="0"/>
                      </a:xfrm>
                      <a:prstGeom prst="straightConnector1">
                        <a:avLst/>
                      </a:prstGeom>
                      <a:ln w="12700">
                        <a:solidFill/>
                      </a:ln>
                    </wps:spPr>
                    <wps:bodyPr/>
                  </wps:wsp>
                </a:graphicData>
              </a:graphic>
            </wp:anchor>
          </w:drawing>
        </mc:Choice>
        <mc:Fallback>
          <w:pict>
            <v:shapetype w14:anchorId="74B0C2D2" id="_x0000_t32" coordsize="21600,21600" o:spt="32" o:oned="t" path="m,l21600,21600e" filled="f">
              <v:path arrowok="t" fillok="f" o:connecttype="none"/>
              <o:lock v:ext="edit" shapetype="t"/>
            </v:shapetype>
            <v:shape id="SHAPE 6" o:spid="_x0000_s1026" type="#_x0000_t32" style="position:absolute;margin-left:70.35pt;margin-top:786.3pt;width:454.3pt;height:0;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"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FA7B2" w14:textId="77777777" w:rsidR="009F049C" w:rsidRDefault="00DD745D">
      <w:r>
        <w:separator/>
      </w:r>
    </w:p>
  </w:footnote>
  <w:footnote w:type="continuationSeparator" w:id="0">
    <w:p w14:paraId="4F7FA7B3" w14:textId="77777777" w:rsidR="009F049C" w:rsidRDefault="00DD745D">
      <w:r>
        <w:continuationSeparator/>
      </w:r>
    </w:p>
  </w:footnote>
  <w:footnote w:id="1">
    <w:p w14:paraId="4F7FA7BE" w14:textId="77777777" w:rsidR="009F049C" w:rsidRDefault="00DD745D">
      <w:pPr>
        <w:pStyle w:val="Footnote10"/>
        <w:tabs>
          <w:tab w:val="left" w:pos="120"/>
        </w:tabs>
      </w:pPr>
      <w:r>
        <w:rPr>
          <w:sz w:val="12"/>
        </w:rPr>
        <w:footnoteRef/>
      </w:r>
      <w:r>
        <w:t>Countries that are both OECD and EU members.</w:t>
      </w:r>
    </w:p>
  </w:footnote>
  <w:footnote w:id="2">
    <w:p w14:paraId="4F7FA7BF" w14:textId="77777777" w:rsidR="009F049C" w:rsidRDefault="00DD745D">
      <w:pPr>
        <w:pStyle w:val="Footnote10"/>
        <w:tabs>
          <w:tab w:val="left" w:pos="120"/>
        </w:tabs>
      </w:pPr>
      <w:r>
        <w:rPr>
          <w:sz w:val="12"/>
        </w:rPr>
        <w:footnoteRef/>
      </w:r>
      <w:r>
        <w:t>Formerly UIPŠ (Convention of Education Information and Forecasts)</w:t>
      </w:r>
    </w:p>
  </w:footnote>
  <w:footnote w:id="3">
    <w:p w14:paraId="4F7FA7C0" w14:textId="60F00811" w:rsidR="009F049C" w:rsidRDefault="00DD745D">
      <w:pPr>
        <w:pStyle w:val="Footnote10"/>
        <w:tabs>
          <w:tab w:val="left" w:pos="149"/>
        </w:tabs>
        <w:jc w:val="both"/>
      </w:pPr>
      <w:r>
        <w:rPr>
          <w:sz w:val="12"/>
          <w:shd w:val="clear" w:color="auto" w:fill="FFFFFF"/>
        </w:rPr>
        <w:footnoteRef/>
      </w:r>
      <w:r>
        <w:t xml:space="preserve">“Infostat is a subordinate organisation of the Statistical Office of the Slovak Republic with the status of contributory organisation. Its mission is to assist in the development of the statistical system of the Slovak Republic within the framework of national statistics through the solution of research and development tasks" </w:t>
      </w:r>
      <w:hyperlink r:id="rId1" w:history="1">
        <w:r>
          <w:t>(</w:t>
        </w:r>
        <w:r>
          <w:rPr>
            <w:color w:val="0563C1"/>
            <w:u w:val="single"/>
          </w:rPr>
          <w:t>INFOSTAT SK — Infostat and its organisation</w:t>
        </w:r>
        <w:r>
          <w:t>)</w:t>
        </w:r>
      </w:hyperlink>
      <w:r>
        <w:t>.</w:t>
      </w:r>
    </w:p>
  </w:footnote>
  <w:footnote w:id="4">
    <w:p w14:paraId="4F7FA7C1" w14:textId="63E04FA6" w:rsidR="009F049C" w:rsidRDefault="00DD745D">
      <w:pPr>
        <w:pStyle w:val="Footnote10"/>
        <w:tabs>
          <w:tab w:val="left" w:pos="134"/>
        </w:tabs>
        <w:jc w:val="both"/>
      </w:pPr>
      <w:r>
        <w:rPr>
          <w:sz w:val="12"/>
        </w:rPr>
        <w:footnoteRef/>
      </w:r>
      <w:r>
        <w:t xml:space="preserve">source: Statistical Office of the Slovak Republic [numbers of 19-year-olds {datacube.statistics.sk} </w:t>
      </w:r>
      <w:hyperlink r:id="rId2" w:history="1">
        <w:r w:rsidR="00E564C7" w:rsidRPr="00E564C7">
          <w:rPr>
            <w:rStyle w:val="Hypertextovprepojenie"/>
            <w:rFonts w:ascii="Times New Roman" w:eastAsia="Times New Roman" w:hAnsi="Times New Roman" w:cs="Times New Roman"/>
            <w:sz w:val="24"/>
          </w:rPr>
          <w:t>http://datacube.statistics.sk/%23!/view/sk/VBD_DEM/om7009rr/v_om7009rr_00_00_00_sk</w:t>
        </w:r>
      </w:hyperlink>
      <w:r>
        <w:t xml:space="preserve"> and born {datacube.statistics.sk} </w:t>
      </w:r>
      <w:hyperlink r:id="rId3" w:history="1">
        <w:r w:rsidR="00E564C7" w:rsidRPr="00E564C7">
          <w:rPr>
            <w:rStyle w:val="Hypertextovprepojenie"/>
            <w:rFonts w:ascii="Times New Roman" w:eastAsia="Times New Roman" w:hAnsi="Times New Roman" w:cs="Times New Roman"/>
            <w:sz w:val="24"/>
          </w:rPr>
          <w:t>http://datacube.statistics.sk/%23!/view/sk/VBD_DEM/om7009rr/v_om7009rr_00_00_00_sk</w:t>
        </w:r>
      </w:hyperlink>
      <w:r>
        <w:t xml:space="preserve"> until 2020], the Research Demographic Centre at INFOSTAT (processed for the project “To Sense”) [prognosis of 19-year-olds until 2030 {https://analyza.todarozum.sk/docs/19061818140001xfj1/ }] </w:t>
      </w:r>
      <w:hyperlink r:id="rId4" w:history="1">
        <w:r w:rsidR="00E564C7" w:rsidRPr="00E564C7">
          <w:rPr>
            <w:rStyle w:val="Hypertextovprepojenie"/>
            <w:rFonts w:ascii="Times New Roman" w:eastAsia="Times New Roman" w:hAnsi="Times New Roman" w:cs="Times New Roman"/>
            <w:sz w:val="24"/>
          </w:rPr>
          <w:t>https://analyza.todarozum.sk/docs/19061818140001xfj1/</w:t>
        </w:r>
      </w:hyperlink>
      <w:r>
        <w:t>, 19-year-old estimates [own estimates in 2031-2038 based on the number of births]</w:t>
      </w:r>
    </w:p>
  </w:footnote>
  <w:footnote w:id="5">
    <w:p w14:paraId="4F7FA7C2" w14:textId="2F5C8F76" w:rsidR="009F049C" w:rsidRDefault="00DD745D">
      <w:pPr>
        <w:pStyle w:val="Footnote10"/>
        <w:tabs>
          <w:tab w:val="left" w:pos="120"/>
        </w:tabs>
        <w:jc w:val="both"/>
      </w:pPr>
      <w:r>
        <w:rPr>
          <w:sz w:val="12"/>
        </w:rPr>
        <w:footnoteRef/>
      </w:r>
      <w:hyperlink r:id="rId5" w:history="1">
        <w:r>
          <w:rPr>
            <w:sz w:val="12"/>
          </w:rPr>
          <w:tab/>
        </w:r>
        <w:r>
          <w:rPr>
            <w:color w:val="0563C1"/>
            <w:u w:val="single"/>
          </w:rPr>
          <w:t>https://analyza.todarozum.sk/docs/19061818140001xfj1/</w:t>
        </w:r>
      </w:hyperlink>
    </w:p>
  </w:footnote>
  <w:footnote w:id="6">
    <w:p w14:paraId="4F7FA7C3" w14:textId="0CF87AE3" w:rsidR="009F049C" w:rsidRDefault="00DD745D">
      <w:pPr>
        <w:pStyle w:val="Footnote10"/>
        <w:tabs>
          <w:tab w:val="left" w:pos="120"/>
        </w:tabs>
      </w:pPr>
      <w:r>
        <w:rPr>
          <w:sz w:val="12"/>
        </w:rPr>
        <w:footnoteRef/>
      </w:r>
      <w:hyperlink r:id="rId6" w:history="1">
        <w:r>
          <w:rPr>
            <w:sz w:val="12"/>
          </w:rPr>
          <w:tab/>
        </w:r>
        <w:r>
          <w:rPr>
            <w:color w:val="0563C1"/>
            <w:u w:val="single"/>
          </w:rPr>
          <w:t>https://data.oecd.org/chart/6xR6</w:t>
        </w:r>
      </w:hyperlink>
    </w:p>
  </w:footnote>
  <w:footnote w:id="7">
    <w:p w14:paraId="4F7FA7C4" w14:textId="338F01D9" w:rsidR="009F049C" w:rsidRDefault="00DD745D">
      <w:pPr>
        <w:pStyle w:val="Footnote10"/>
        <w:tabs>
          <w:tab w:val="left" w:pos="120"/>
        </w:tabs>
        <w:jc w:val="both"/>
      </w:pPr>
      <w:r>
        <w:rPr>
          <w:sz w:val="12"/>
        </w:rPr>
        <w:footnoteRef/>
      </w:r>
      <w:hyperlink r:id="rId7" w:history="1">
        <w:r>
          <w:rPr>
            <w:sz w:val="12"/>
          </w:rPr>
          <w:tab/>
        </w:r>
        <w:r>
          <w:rPr>
            <w:color w:val="0563C1"/>
            <w:u w:val="single"/>
          </w:rPr>
          <w:t>http://uniregio.fvs.upjs.sk/pdf/zbornik/Gurnak Krizan Lauko.pdf</w:t>
        </w:r>
      </w:hyperlink>
    </w:p>
  </w:footnote>
  <w:footnote w:id="8">
    <w:p w14:paraId="4F7FA7C5" w14:textId="77777777" w:rsidR="009F049C" w:rsidRDefault="00DD745D">
      <w:pPr>
        <w:pStyle w:val="Footnote10"/>
        <w:tabs>
          <w:tab w:val="left" w:pos="120"/>
        </w:tabs>
        <w:jc w:val="both"/>
      </w:pPr>
      <w:r>
        <w:rPr>
          <w:sz w:val="12"/>
        </w:rPr>
        <w:footnoteRef/>
      </w:r>
      <w:r>
        <w:t>The groups of trade unions used in this review are based on CVTI data sources, where they have in the past been as follows</w:t>
      </w:r>
    </w:p>
    <w:p w14:paraId="4F7FA7C6" w14:textId="05949BE9" w:rsidR="009F049C" w:rsidRDefault="00DD745D">
      <w:pPr>
        <w:pStyle w:val="Footnote10"/>
        <w:tabs>
          <w:tab w:val="left" w:pos="1834"/>
          <w:tab w:val="left" w:pos="2424"/>
          <w:tab w:val="left" w:pos="3850"/>
          <w:tab w:val="left" w:pos="4666"/>
          <w:tab w:val="left" w:pos="5760"/>
          <w:tab w:val="left" w:pos="7051"/>
          <w:tab w:val="left" w:pos="8333"/>
        </w:tabs>
        <w:jc w:val="both"/>
      </w:pPr>
      <w:r>
        <w:t xml:space="preserve">established in a way based on the old network of fields </w:t>
      </w:r>
      <w:hyperlink r:id="rId8" w:history="1">
        <w:r>
          <w:t>of study</w:t>
        </w:r>
        <w:r>
          <w:rPr>
            <w:color w:val="0563C1"/>
            <w:u w:val="single"/>
          </w:rPr>
          <w:t>(</w:t>
        </w:r>
      </w:hyperlink>
      <w:r>
        <w:rPr>
          <w:color w:val="0563C1"/>
          <w:u w:val="single"/>
        </w:rPr>
        <w:t xml:space="preserve"> </w:t>
      </w:r>
      <w:hyperlink r:id="rId9" w:history="1">
        <w:r>
          <w:rPr>
            <w:color w:val="0563C1"/>
            <w:u w:val="single"/>
          </w:rPr>
          <w:t>https://www.portalvs.sk/sk/studijne- fields/floods</w:t>
        </w:r>
        <w:r>
          <w:t>)</w:t>
        </w:r>
      </w:hyperlink>
      <w:r>
        <w:tab/>
        <w:t>—</w:t>
      </w:r>
      <w:r>
        <w:tab/>
        <w:t>do not reflect</w:t>
      </w:r>
      <w:r>
        <w:tab/>
        <w:t>thus,</w:t>
      </w:r>
      <w:r>
        <w:tab/>
        <w:t>current</w:t>
      </w:r>
      <w:r>
        <w:tab/>
        <w:t>splitting</w:t>
      </w:r>
      <w:r>
        <w:tab/>
        <w:t>study</w:t>
      </w:r>
      <w:r>
        <w:tab/>
        <w:t>trade unions</w:t>
      </w:r>
    </w:p>
    <w:p w14:paraId="4F7FA7C7" w14:textId="312DDF69" w:rsidR="009F049C" w:rsidRDefault="00A62BF6">
      <w:pPr>
        <w:pStyle w:val="Footnote10"/>
        <w:jc w:val="both"/>
      </w:pPr>
      <w:hyperlink r:id="rId10" w:history="1">
        <w:r w:rsidR="00DD745D">
          <w:t>(</w:t>
        </w:r>
        <w:r w:rsidR="00DD745D">
          <w:rPr>
            <w:color w:val="0563C1"/>
            <w:u w:val="single"/>
          </w:rPr>
          <w:t>https://www.portalvs.sk/sk/studijne-odbory</w:t>
        </w:r>
        <w:r w:rsidR="00DD745D">
          <w:t>)</w:t>
        </w:r>
      </w:hyperlink>
    </w:p>
  </w:footnote>
  <w:footnote w:id="9">
    <w:p w14:paraId="4F7FA7C8" w14:textId="77777777" w:rsidR="009F049C" w:rsidRDefault="00DD745D">
      <w:pPr>
        <w:pStyle w:val="Footnote10"/>
        <w:tabs>
          <w:tab w:val="left" w:pos="110"/>
        </w:tabs>
      </w:pPr>
      <w:r>
        <w:rPr>
          <w:sz w:val="12"/>
        </w:rPr>
        <w:footnoteRef/>
      </w:r>
      <w:r>
        <w:t>Statistics for the last calendar year (2020) not yet available at the time of publication of this overview</w:t>
      </w:r>
    </w:p>
  </w:footnote>
  <w:footnote w:id="10">
    <w:p w14:paraId="4F7FA7C9" w14:textId="77777777" w:rsidR="009F049C" w:rsidRDefault="00DD745D">
      <w:pPr>
        <w:pStyle w:val="Footnote10"/>
        <w:tabs>
          <w:tab w:val="left" w:pos="206"/>
        </w:tabs>
        <w:jc w:val="both"/>
      </w:pPr>
      <w:r>
        <w:rPr>
          <w:sz w:val="12"/>
          <w:shd w:val="clear" w:color="auto" w:fill="FFFFFF"/>
        </w:rPr>
        <w:footnoteRef/>
      </w:r>
      <w:r>
        <w:t>This starting point was largely due to the functioning of science and higher education during the period of socialism, when the emphasis was placed on the development of technical sectors, with social sciences and teachings being most suppressed in this system.</w:t>
      </w:r>
    </w:p>
  </w:footnote>
  <w:footnote w:id="11">
    <w:p w14:paraId="4F7FA7CA" w14:textId="47E0879A" w:rsidR="009F049C" w:rsidRDefault="00DD745D">
      <w:pPr>
        <w:pStyle w:val="Footnote10"/>
        <w:tabs>
          <w:tab w:val="left" w:pos="192"/>
        </w:tabs>
      </w:pPr>
      <w:r>
        <w:rPr>
          <w:sz w:val="22"/>
        </w:rPr>
        <w:footnoteRef/>
      </w:r>
      <w:r>
        <w:rPr>
          <w:sz w:val="22"/>
        </w:rPr>
        <w:tab/>
      </w:r>
      <w:hyperlink r:id="rId11" w:history="1">
        <w:r>
          <w:rPr>
            <w:color w:val="0563C1"/>
            <w:u w:val="single"/>
          </w:rPr>
          <w:t>https://data.oecd.org/chart/6xx3</w:t>
        </w:r>
      </w:hyperlink>
    </w:p>
  </w:footnote>
  <w:footnote w:id="12">
    <w:p w14:paraId="4F7FA7CB" w14:textId="0BBEEB3A" w:rsidR="009F049C" w:rsidRDefault="00DD745D">
      <w:pPr>
        <w:pStyle w:val="Footnote10"/>
        <w:tabs>
          <w:tab w:val="left" w:pos="182"/>
        </w:tabs>
      </w:pPr>
      <w:r>
        <w:rPr>
          <w:sz w:val="12"/>
        </w:rPr>
        <w:footnoteRef/>
      </w:r>
      <w:hyperlink r:id="rId12" w:history="1">
        <w:r>
          <w:rPr>
            <w:sz w:val="12"/>
          </w:rPr>
          <w:tab/>
        </w:r>
        <w:r>
          <w:rPr>
            <w:color w:val="0563C1"/>
            <w:u w:val="single"/>
          </w:rPr>
          <w:t>https://ec.europa.eu/eurostat/databrowser/bookmark/3d8d03b3-d7cb-4c83-875a-18849cc75019?lang=en</w:t>
        </w:r>
      </w:hyperlink>
    </w:p>
  </w:footnote>
  <w:footnote w:id="13">
    <w:p w14:paraId="4F7FA7CC" w14:textId="77777777" w:rsidR="009F049C" w:rsidRDefault="00DD745D">
      <w:pPr>
        <w:pStyle w:val="Footnote10"/>
        <w:tabs>
          <w:tab w:val="left" w:pos="173"/>
        </w:tabs>
      </w:pPr>
      <w:r>
        <w:rPr>
          <w:sz w:val="12"/>
        </w:rPr>
        <w:footnoteRef/>
      </w:r>
      <w:r>
        <w:t>For FTE in 2011, data were reported as at 31. 12. 2011, as it was the first date with available data</w:t>
      </w:r>
    </w:p>
  </w:footnote>
  <w:footnote w:id="14">
    <w:p w14:paraId="4F7FA7CD" w14:textId="77777777" w:rsidR="009F049C" w:rsidRDefault="00DD745D">
      <w:pPr>
        <w:pStyle w:val="Footnote10"/>
        <w:tabs>
          <w:tab w:val="left" w:pos="173"/>
        </w:tabs>
      </w:pPr>
      <w:r>
        <w:rPr>
          <w:sz w:val="12"/>
        </w:rPr>
        <w:footnoteRef/>
      </w:r>
      <w:r>
        <w:t>“Full-time equivalent” — full-time equivalent</w:t>
      </w:r>
    </w:p>
  </w:footnote>
  <w:footnote w:id="15">
    <w:p w14:paraId="4F7FA7CE" w14:textId="3652C01A" w:rsidR="009F049C" w:rsidRDefault="00DD745D">
      <w:pPr>
        <w:pStyle w:val="Footnote10"/>
        <w:tabs>
          <w:tab w:val="left" w:pos="173"/>
        </w:tabs>
      </w:pPr>
      <w:r>
        <w:rPr>
          <w:sz w:val="12"/>
        </w:rPr>
        <w:footnoteRef/>
      </w:r>
      <w:r>
        <w:t xml:space="preserve">Source: Time series — colleges, CVTI SR </w:t>
      </w:r>
      <w:hyperlink r:id="rId13" w:history="1">
        <w:r>
          <w:t>(</w:t>
        </w:r>
        <w:r>
          <w:rPr>
            <w:color w:val="0563C1"/>
            <w:u w:val="single"/>
          </w:rPr>
          <w:t>link</w:t>
        </w:r>
        <w:r>
          <w:t>)</w:t>
        </w:r>
      </w:hyperlink>
    </w:p>
  </w:footnote>
  <w:footnote w:id="16">
    <w:p w14:paraId="4F7FA7CF" w14:textId="1FA0697C" w:rsidR="009F049C" w:rsidRDefault="00DD745D">
      <w:pPr>
        <w:pStyle w:val="Footnote10"/>
        <w:tabs>
          <w:tab w:val="left" w:pos="187"/>
        </w:tabs>
      </w:pPr>
      <w:r>
        <w:rPr>
          <w:sz w:val="12"/>
        </w:rPr>
        <w:footnoteRef/>
      </w:r>
      <w:r>
        <w:t xml:space="preserve">HEI Employees Register, Graphs and Reports, Contract Size </w:t>
      </w:r>
      <w:hyperlink r:id="rId14" w:history="1">
        <w:r>
          <w:t>(</w:t>
        </w:r>
        <w:r>
          <w:rPr>
            <w:color w:val="0563C1"/>
            <w:u w:val="single"/>
          </w:rPr>
          <w:t>link</w:t>
        </w:r>
        <w:r>
          <w:t>)</w:t>
        </w:r>
      </w:hyperlink>
    </w:p>
  </w:footnote>
  <w:footnote w:id="17">
    <w:p w14:paraId="4F7FA7D0" w14:textId="67FB6AD3" w:rsidR="009F049C" w:rsidRDefault="00DD745D">
      <w:pPr>
        <w:pStyle w:val="Footnote10"/>
        <w:tabs>
          <w:tab w:val="left" w:pos="178"/>
        </w:tabs>
        <w:jc w:val="both"/>
      </w:pPr>
      <w:r>
        <w:rPr>
          <w:sz w:val="12"/>
        </w:rPr>
        <w:footnoteRef/>
      </w:r>
      <w:r>
        <w:t xml:space="preserve">Source: Register of Employees </w:t>
      </w:r>
      <w:hyperlink r:id="rId15" w:history="1">
        <w:r>
          <w:t>of HEIs</w:t>
        </w:r>
        <w:r>
          <w:rPr>
            <w:color w:val="0563C1"/>
            <w:u w:val="single"/>
          </w:rPr>
          <w:t>(</w:t>
        </w:r>
        <w:r>
          <w:t>https://www.portalvs.sk/regzam/stats/ratio</w:t>
        </w:r>
      </w:hyperlink>
      <w:r>
        <w:t>), N.B.: in 2011, the number of teachers’ contracts was reported as at 31. 12., in other years already as of 31. 10th, as this data only began to be collected from that date.</w:t>
      </w:r>
    </w:p>
  </w:footnote>
  <w:footnote w:id="18">
    <w:p w14:paraId="4F7FA7D1" w14:textId="333E0402" w:rsidR="009F049C" w:rsidRDefault="00DD745D">
      <w:pPr>
        <w:pStyle w:val="Footnote10"/>
        <w:tabs>
          <w:tab w:val="left" w:pos="178"/>
        </w:tabs>
      </w:pPr>
      <w:r>
        <w:rPr>
          <w:sz w:val="12"/>
          <w:shd w:val="clear" w:color="auto" w:fill="FFFFFF"/>
        </w:rPr>
        <w:footnoteRef/>
      </w:r>
      <w:r>
        <w:t xml:space="preserve">OECD Data — Students per Teachings Staff </w:t>
      </w:r>
      <w:hyperlink r:id="rId16" w:history="1">
        <w:r>
          <w:t>(</w:t>
        </w:r>
        <w:r>
          <w:rPr>
            <w:color w:val="0563C1"/>
            <w:u w:val="single"/>
          </w:rPr>
          <w:t>https://data.oecd.org/teachers/students-per-teaching-staff.htm</w:t>
        </w:r>
        <w:r>
          <w:t>)</w:t>
        </w:r>
      </w:hyperlink>
    </w:p>
  </w:footnote>
  <w:footnote w:id="19">
    <w:p w14:paraId="4F7FA7D2" w14:textId="625DC7EA" w:rsidR="009F049C" w:rsidRDefault="00DD745D">
      <w:pPr>
        <w:pStyle w:val="Footnote10"/>
        <w:tabs>
          <w:tab w:val="left" w:pos="182"/>
        </w:tabs>
      </w:pPr>
      <w:r>
        <w:rPr>
          <w:sz w:val="12"/>
          <w:shd w:val="clear" w:color="auto" w:fill="FFFFFF"/>
        </w:rPr>
        <w:footnoteRef/>
      </w:r>
      <w:r>
        <w:rPr>
          <w:sz w:val="12"/>
        </w:rPr>
        <w:tab/>
      </w:r>
      <w:hyperlink r:id="rId17" w:history="1">
        <w:r>
          <w:rPr>
            <w:color w:val="0563C1"/>
            <w:u w:val="single"/>
          </w:rPr>
          <w:t>https://cedos.org.ua/en/articles/ukrainski-studenty-u-slovachchyni-polityky-zaluchennia-intehratsii-ta-</w:t>
        </w:r>
      </w:hyperlink>
      <w:r>
        <w:rPr>
          <w:color w:val="0563C1"/>
          <w:u w:val="single"/>
        </w:rPr>
        <w:t xml:space="preserve"> </w:t>
      </w:r>
      <w:hyperlink r:id="rId18" w:history="1">
        <w:r>
          <w:rPr>
            <w:color w:val="0563C1"/>
            <w:u w:val="single"/>
          </w:rPr>
          <w:t>motyvatsiia-i-plany-studentiv#ukr</w:t>
        </w:r>
      </w:hyperlink>
    </w:p>
  </w:footnote>
  <w:footnote w:id="20">
    <w:p w14:paraId="4F7FA7D3" w14:textId="77777777" w:rsidR="009F049C" w:rsidRDefault="00DD745D">
      <w:pPr>
        <w:pStyle w:val="Footnote10"/>
        <w:tabs>
          <w:tab w:val="left" w:pos="187"/>
        </w:tabs>
      </w:pPr>
      <w:r>
        <w:rPr>
          <w:sz w:val="12"/>
        </w:rPr>
        <w:footnoteRef/>
      </w:r>
      <w:r>
        <w:t>Countries that are members of both the EU and the OECD</w:t>
      </w:r>
    </w:p>
  </w:footnote>
  <w:footnote w:id="21">
    <w:p w14:paraId="4F7FA7D4" w14:textId="42CB59D0" w:rsidR="009F049C" w:rsidRDefault="00DD745D">
      <w:pPr>
        <w:pStyle w:val="Footnote10"/>
        <w:tabs>
          <w:tab w:val="left" w:pos="178"/>
        </w:tabs>
      </w:pPr>
      <w:r>
        <w:rPr>
          <w:sz w:val="12"/>
        </w:rPr>
        <w:footnoteRef/>
      </w:r>
      <w:r>
        <w:t>OECD, Education at Glance 2021 — Figure B6.2. Incoming student mobility in tertiary education, by level of study (2019)</w:t>
      </w:r>
      <w:hyperlink r:id="rId19" w:history="1">
        <w:r>
          <w:t xml:space="preserve"> </w:t>
        </w:r>
        <w:r>
          <w:rPr>
            <w:color w:val="0563C1"/>
            <w:u w:val="single"/>
          </w:rPr>
          <w:t>https://stat.link/cwlnud</w:t>
        </w:r>
      </w:hyperlink>
    </w:p>
  </w:footnote>
  <w:footnote w:id="22">
    <w:p w14:paraId="4F7FA7D5" w14:textId="0E41596E" w:rsidR="009F049C" w:rsidRDefault="00DD745D">
      <w:pPr>
        <w:pStyle w:val="Footnote10"/>
        <w:tabs>
          <w:tab w:val="left" w:pos="182"/>
        </w:tabs>
        <w:jc w:val="both"/>
      </w:pPr>
      <w:r>
        <w:rPr>
          <w:sz w:val="12"/>
        </w:rPr>
        <w:footnoteRef/>
      </w:r>
      <w:r>
        <w:t>In the</w:t>
      </w:r>
      <w:hyperlink r:id="rId20" w:history="1">
        <w:r>
          <w:t xml:space="preserve"> </w:t>
        </w:r>
        <w:r>
          <w:rPr>
            <w:color w:val="0563C1"/>
            <w:u w:val="single"/>
          </w:rPr>
          <w:t>Academic Quarter-</w:t>
        </w:r>
        <w:r>
          <w:rPr>
            <w:color w:val="0563C1"/>
          </w:rPr>
          <w:t xml:space="preserve"> </w:t>
        </w:r>
      </w:hyperlink>
      <w:r>
        <w:t>hour survey, only 25.6 % of all respondents reported that the majority of subjects (almost all subjects + most subjects) were also attended by foreign and/or mobile students with them, with more than half of respondents choosing the option “nearly no subjects” (51.7 %), the rest then chose the “minority of subjects” option (22.7 %).</w:t>
      </w:r>
    </w:p>
  </w:footnote>
  <w:footnote w:id="23">
    <w:p w14:paraId="4F7FA7D6" w14:textId="77777777" w:rsidR="009F049C" w:rsidRDefault="00DD745D">
      <w:pPr>
        <w:pStyle w:val="Footnote10"/>
        <w:tabs>
          <w:tab w:val="left" w:pos="178"/>
        </w:tabs>
        <w:jc w:val="both"/>
      </w:pPr>
      <w:r>
        <w:rPr>
          <w:sz w:val="12"/>
        </w:rPr>
        <w:footnoteRef/>
      </w:r>
      <w:r>
        <w:t>Out of a total of 1179 foreign students (Ukrainian citizenship in the whole research sample, 510 respondents) who took part in the Academic Quarter-hour survey, 15.3 % said they did not know Slovak, 22.3 % qualified as beginners, and 20.4 % as slightly advanced. Only less than 42 % is therefore more than moderately advanced.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A7B4" w14:textId="77777777" w:rsidR="009F049C" w:rsidRDefault="00DD745D">
    <w:pPr>
      <w:spacing w:line="1" w:lineRule="exact"/>
    </w:pPr>
    <w:r>
      <w:rPr>
        <w:noProof/>
      </w:rPr>
      <mc:AlternateContent>
        <mc:Choice Requires="wps">
          <w:drawing>
            <wp:anchor distT="0" distB="0" distL="0" distR="0" simplePos="0" relativeHeight="251658240" behindDoc="1" locked="0" layoutInCell="1" allowOverlap="1" wp14:anchorId="4F7FA7B6" wp14:editId="4F7FA7B7">
              <wp:simplePos x="0" y="0"/>
              <wp:positionH relativeFrom="page">
                <wp:posOffset>4617720</wp:posOffset>
              </wp:positionH>
              <wp:positionV relativeFrom="page">
                <wp:posOffset>481965</wp:posOffset>
              </wp:positionV>
              <wp:extent cx="2020570" cy="265430"/>
              <wp:effectExtent l="0" t="0" r="0" b="0"/>
              <wp:wrapNone/>
              <wp:docPr id="1" name="Shape 1"/>
              <wp:cNvGraphicFramePr/>
              <a:graphic xmlns:a="http://schemas.openxmlformats.org/drawingml/2006/main">
                <a:graphicData uri="http://schemas.microsoft.com/office/word/2010/wordprocessingShape">
                  <wps:wsp>
                    <wps:cNvSpPr txBox="1"/>
                    <wps:spPr>
                      <a:xfrm>
                        <a:off x="0" y="0"/>
                        <a:ext cx="2020570" cy="265430"/>
                      </a:xfrm>
                      <a:prstGeom prst="rect">
                        <a:avLst/>
                      </a:prstGeom>
                      <a:noFill/>
                    </wps:spPr>
                    <wps:txbx>
                      <w:txbxContent>
                        <w:p w14:paraId="4F7FA7D7" w14:textId="77777777" w:rsidR="009F049C" w:rsidRDefault="00DD745D">
                          <w:pPr>
                            <w:pStyle w:val="P68B1DB1-Style2213"/>
                          </w:pPr>
                          <w:r>
                            <w:t>Quantitative overviews of demographics</w:t>
                          </w:r>
                        </w:p>
                        <w:p w14:paraId="4F7FA7D8" w14:textId="77777777" w:rsidR="009F049C" w:rsidRDefault="00DD745D">
                          <w:pPr>
                            <w:pStyle w:val="P68B1DB1-Style2214"/>
                          </w:pPr>
                          <w:proofErr w:type="spellStart"/>
                          <w:r>
                            <w:t>developments</w:t>
                          </w:r>
                          <w:proofErr w:type="spellEnd"/>
                          <w:r>
                            <w:t xml:space="preserve"> in Slovak Higher Education</w:t>
                          </w:r>
                        </w:p>
                      </w:txbxContent>
                    </wps:txbx>
                    <wps:bodyPr wrap="none" lIns="0" tIns="0" rIns="0" bIns="0">
                      <a:spAutoFit/>
                    </wps:bodyPr>
                  </wps:wsp>
                </a:graphicData>
              </a:graphic>
            </wp:anchor>
          </w:drawing>
        </mc:Choice>
        <mc:Fallback>
          <w:pict>
            <v:shapetype w14:anchorId="4F7FA7B6" id="_x0000_t202" coordsize="21600,21600" o:spt="202" path="m,l,21600r21600,l21600,xe">
              <v:stroke joinstyle="miter"/>
              <v:path gradientshapeok="t" o:connecttype="rect"/>
            </v:shapetype>
            <v:shape id="Shape 1" o:spid="_x0000_s1026" type="#_x0000_t202" style="position:absolute;margin-left:363.6pt;margin-top:37.95pt;width:159.1pt;height:20.9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" filled="f" stroked="f">
              <v:textbox style="mso-fit-shape-to-text:t" inset="0,0,0,0">
                <w:txbxContent>
                  <w:p w14:paraId="4F7FA7D7" w14:textId="77777777" w:rsidR="009F049C" w:rsidRDefault="00DD745D">
                    <w:pPr>
                      <w:pStyle w:val="P68B1DB1-Style2213"/>
                    </w:pPr>
                    <w:r>
                      <w:t>Quantitative overviews of demographics</w:t>
                    </w:r>
                  </w:p>
                  <w:p w14:paraId="4F7FA7D8" w14:textId="77777777" w:rsidR="009F049C" w:rsidRDefault="00DD745D">
                    <w:pPr>
                      <w:pStyle w:val="P68B1DB1-Style2214"/>
                    </w:pPr>
                    <w:proofErr w:type="spellStart"/>
                    <w:r>
                      <w:t>developments</w:t>
                    </w:r>
                    <w:proofErr w:type="spellEnd"/>
                    <w:r>
                      <w:t xml:space="preserve"> in Slovak Higher Education</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4F7FA7B8" wp14:editId="4F7FA7B9">
              <wp:simplePos x="0" y="0"/>
              <wp:positionH relativeFrom="page">
                <wp:posOffset>893445</wp:posOffset>
              </wp:positionH>
              <wp:positionV relativeFrom="page">
                <wp:posOffset>774700</wp:posOffset>
              </wp:positionV>
              <wp:extent cx="5769610" cy="0"/>
              <wp:effectExtent l="0" t="0" r="0" b="0"/>
              <wp:wrapNone/>
              <wp:docPr id="3" name="Shape 3"/>
              <wp:cNvGraphicFramePr/>
              <a:graphic xmlns:a="http://schemas.openxmlformats.org/drawingml/2006/main">
                <a:graphicData uri="http://schemas.microsoft.com/office/word/2010/wordprocessingShape">
                  <wps:wsp>
                    <wps:cNvCnPr/>
                    <wps:spPr>
                      <a:xfrm>
                        <a:off x="0" y="0"/>
                        <a:ext cx="5769610" cy="0"/>
                      </a:xfrm>
                      <a:prstGeom prst="straightConnector1">
                        <a:avLst/>
                      </a:prstGeom>
                      <a:ln w="12700">
                        <a:solidFill/>
                      </a:ln>
                    </wps:spPr>
                    <wps:bodyPr/>
                  </wps:wsp>
                </a:graphicData>
              </a:graphic>
            </wp:anchor>
          </w:drawing>
        </mc:Choice>
        <mc:Fallback>
          <w:pict>
            <v:shapetype w14:anchorId="464E9D35" id="_x0000_t32" coordsize="21600,21600" o:spt="32" o:oned="t" path="m,l21600,21600e" filled="f">
              <v:path arrowok="t" fillok="f" o:connecttype="none"/>
              <o:lock v:ext="edit" shapetype="t"/>
            </v:shapetype>
            <v:shape id="Shape 3" o:spid="_x0000_s1026" type="#_x0000_t32" style="position:absolute;margin-left:70.35pt;margin-top:61pt;width:454.3pt;height:0;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05FBF"/>
    <w:multiLevelType w:val="multilevel"/>
    <w:tmpl w:val="D53019DE"/>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026735"/>
    <w:multiLevelType w:val="multilevel"/>
    <w:tmpl w:val="43881458"/>
    <w:lvl w:ilvl="0">
      <w:start w:val="1"/>
      <w:numFmt w:val="upperRoman"/>
      <w:lvlText w:val="%1."/>
      <w:lvlJc w:val="left"/>
      <w:rPr>
        <w:rFonts w:ascii="Calibri" w:eastAsia="Calibri" w:hAnsi="Calibri" w:cs="Calibri"/>
        <w:b/>
        <w:bCs/>
        <w:i w:val="0"/>
        <w:iCs w:val="0"/>
        <w:smallCaps w:val="0"/>
        <w:strike w:val="0"/>
        <w:color w:val="0037A5"/>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74F487A"/>
    <w:multiLevelType w:val="multilevel"/>
    <w:tmpl w:val="819EF948"/>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C6C5932"/>
    <w:multiLevelType w:val="multilevel"/>
    <w:tmpl w:val="242AA12C"/>
    <w:lvl w:ilvl="0">
      <w:start w:val="10"/>
      <w:numFmt w:val="decimal"/>
      <w:lvlText w:val="%1"/>
      <w:lvlJc w:val="left"/>
      <w:rPr>
        <w:rFonts w:ascii="Calibri" w:eastAsia="Calibri" w:hAnsi="Calibri" w:cs="Calibri"/>
        <w:b w:val="0"/>
        <w:bCs w:val="0"/>
        <w:i w:val="0"/>
        <w:iCs w:val="0"/>
        <w:smallCaps w:val="0"/>
        <w:strike w:val="0"/>
        <w:color w:val="000000"/>
        <w:spacing w:val="0"/>
        <w:w w:val="100"/>
        <w:position w:val="0"/>
        <w:sz w:val="12"/>
        <w:szCs w:val="12"/>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4C106F2"/>
    <w:multiLevelType w:val="multilevel"/>
    <w:tmpl w:val="623050B2"/>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D565156"/>
    <w:multiLevelType w:val="multilevel"/>
    <w:tmpl w:val="523635DE"/>
    <w:lvl w:ilvl="0">
      <w:start w:val="1"/>
      <w:numFmt w:val="upperRoman"/>
      <w:lvlText w:val="%1."/>
      <w:lvlJc w:val="left"/>
      <w:rPr>
        <w:rFonts w:ascii="Calibri" w:eastAsia="Calibri" w:hAnsi="Calibri" w:cs="Calibri"/>
        <w:b/>
        <w:bCs/>
        <w:i w:val="0"/>
        <w:iCs w:val="0"/>
        <w:smallCaps w:val="0"/>
        <w:strike w:val="0"/>
        <w:color w:val="0037A5"/>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336F71"/>
    <w:multiLevelType w:val="multilevel"/>
    <w:tmpl w:val="43DA795A"/>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F20781D"/>
    <w:multiLevelType w:val="multilevel"/>
    <w:tmpl w:val="714835AE"/>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40C3D68"/>
    <w:multiLevelType w:val="multilevel"/>
    <w:tmpl w:val="DDA0BEA8"/>
    <w:lvl w:ilvl="0">
      <w:start w:val="1"/>
      <w:numFmt w:val="upperRoman"/>
      <w:lvlText w:val="%1."/>
      <w:lvlJc w:val="left"/>
      <w:rPr>
        <w:rFonts w:ascii="Calibri" w:eastAsia="Calibri" w:hAnsi="Calibri" w:cs="Calibri"/>
        <w:b/>
        <w:bCs/>
        <w:i w:val="0"/>
        <w:iCs w:val="0"/>
        <w:smallCaps w:val="0"/>
        <w:strike w:val="0"/>
        <w:color w:val="0037A5"/>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F94B22"/>
    <w:multiLevelType w:val="multilevel"/>
    <w:tmpl w:val="4EC40B1A"/>
    <w:lvl w:ilvl="0">
      <w:start w:val="1"/>
      <w:numFmt w:val="upperRoman"/>
      <w:lvlText w:val="%1."/>
      <w:lvlJc w:val="left"/>
      <w:rPr>
        <w:rFonts w:ascii="Calibri" w:eastAsia="Calibri" w:hAnsi="Calibri" w:cs="Calibri"/>
        <w:b/>
        <w:bCs/>
        <w:i w:val="0"/>
        <w:iCs w:val="0"/>
        <w:smallCaps w:val="0"/>
        <w:strike w:val="0"/>
        <w:color w:val="0037A5"/>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7062928">
    <w:abstractNumId w:val="7"/>
  </w:num>
  <w:num w:numId="2" w16cid:durableId="2093817553">
    <w:abstractNumId w:val="4"/>
  </w:num>
  <w:num w:numId="3" w16cid:durableId="10038970">
    <w:abstractNumId w:val="0"/>
  </w:num>
  <w:num w:numId="4" w16cid:durableId="1312754119">
    <w:abstractNumId w:val="2"/>
  </w:num>
  <w:num w:numId="5" w16cid:durableId="982854063">
    <w:abstractNumId w:val="6"/>
  </w:num>
  <w:num w:numId="6" w16cid:durableId="1265117389">
    <w:abstractNumId w:val="8"/>
  </w:num>
  <w:num w:numId="7" w16cid:durableId="1718778394">
    <w:abstractNumId w:val="5"/>
  </w:num>
  <w:num w:numId="8" w16cid:durableId="1436290329">
    <w:abstractNumId w:val="9"/>
  </w:num>
  <w:num w:numId="9" w16cid:durableId="1545098569">
    <w:abstractNumId w:val="1"/>
  </w:num>
  <w:num w:numId="10" w16cid:durableId="2064256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9C"/>
    <w:rsid w:val="000766C8"/>
    <w:rsid w:val="009F049C"/>
    <w:rsid w:val="00A62BF6"/>
    <w:rsid w:val="00DD745D"/>
    <w:rsid w:val="00E564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FA674"/>
  <w15:docId w15:val="{32548311-7BC2-417A-98DD-9002CD2C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sk-SK" w:eastAsia="sk-S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color w:val="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Footnote1">
    <w:name w:val="Footnote|1_"/>
    <w:basedOn w:val="Predvolenpsmoodseku"/>
    <w:link w:val="Footnote10"/>
    <w:rPr>
      <w:rFonts w:ascii="Calibri" w:eastAsia="Calibri" w:hAnsi="Calibri" w:cs="Calibri"/>
      <w:b w:val="0"/>
      <w:i w:val="0"/>
      <w:smallCaps w:val="0"/>
      <w:strike w:val="0"/>
      <w:sz w:val="20"/>
      <w:u w:val="none"/>
      <w:shd w:val="clear" w:color="auto" w:fill="auto"/>
    </w:rPr>
  </w:style>
  <w:style w:type="character" w:customStyle="1" w:styleId="Bodytext4">
    <w:name w:val="Body text|4_"/>
    <w:basedOn w:val="Predvolenpsmoodseku"/>
    <w:link w:val="Bodytext40"/>
    <w:rPr>
      <w:rFonts w:ascii="Calibri" w:eastAsia="Calibri" w:hAnsi="Calibri" w:cs="Calibri"/>
      <w:b/>
      <w:i w:val="0"/>
      <w:smallCaps w:val="0"/>
      <w:strike w:val="0"/>
      <w:color w:val="0037A5"/>
      <w:sz w:val="34"/>
      <w:u w:val="none"/>
      <w:shd w:val="clear" w:color="auto" w:fill="auto"/>
    </w:rPr>
  </w:style>
  <w:style w:type="character" w:customStyle="1" w:styleId="Bodytext3">
    <w:name w:val="Body text|3_"/>
    <w:basedOn w:val="Predvolenpsmoodseku"/>
    <w:link w:val="Bodytext30"/>
    <w:rPr>
      <w:rFonts w:ascii="Calibri" w:eastAsia="Calibri" w:hAnsi="Calibri" w:cs="Calibri"/>
      <w:b/>
      <w:i w:val="0"/>
      <w:smallCaps w:val="0"/>
      <w:strike w:val="0"/>
      <w:color w:val="0037A5"/>
      <w:sz w:val="44"/>
      <w:u w:val="none"/>
      <w:shd w:val="clear" w:color="auto" w:fill="auto"/>
    </w:rPr>
  </w:style>
  <w:style w:type="character" w:customStyle="1" w:styleId="Bodytext1">
    <w:name w:val="Body text|1_"/>
    <w:basedOn w:val="Predvolenpsmoodseku"/>
    <w:link w:val="Bodytext10"/>
    <w:rPr>
      <w:rFonts w:ascii="Calibri" w:eastAsia="Calibri" w:hAnsi="Calibri" w:cs="Calibri"/>
      <w:b w:val="0"/>
      <w:i w:val="0"/>
      <w:smallCaps w:val="0"/>
      <w:strike w:val="0"/>
      <w:sz w:val="22"/>
      <w:u w:val="none"/>
      <w:shd w:val="clear" w:color="auto" w:fill="auto"/>
    </w:rPr>
  </w:style>
  <w:style w:type="character" w:customStyle="1" w:styleId="Bodytext2">
    <w:name w:val="Body text|2_"/>
    <w:basedOn w:val="Predvolenpsmoodseku"/>
    <w:link w:val="Bodytext20"/>
    <w:rPr>
      <w:rFonts w:ascii="Arial" w:eastAsia="Arial" w:hAnsi="Arial" w:cs="Arial"/>
      <w:b/>
      <w:i w:val="0"/>
      <w:smallCaps w:val="0"/>
      <w:strike w:val="0"/>
      <w:color w:val="0037A5"/>
      <w:sz w:val="15"/>
      <w:u w:val="none"/>
      <w:shd w:val="clear" w:color="auto" w:fill="auto"/>
    </w:rPr>
  </w:style>
  <w:style w:type="character" w:customStyle="1" w:styleId="Headerorfooter2">
    <w:name w:val="Header or footer|2_"/>
    <w:basedOn w:val="Predvolenpsmoodseku"/>
    <w:link w:val="Headerorfooter20"/>
    <w:rPr>
      <w:b w:val="0"/>
      <w:i w:val="0"/>
      <w:smallCaps w:val="0"/>
      <w:strike w:val="0"/>
      <w:sz w:val="20"/>
      <w:u w:val="none"/>
      <w:shd w:val="clear" w:color="auto" w:fill="auto"/>
    </w:rPr>
  </w:style>
  <w:style w:type="character" w:customStyle="1" w:styleId="Heading11">
    <w:name w:val="Heading #1|1_"/>
    <w:basedOn w:val="Predvolenpsmoodseku"/>
    <w:link w:val="Heading110"/>
    <w:rPr>
      <w:rFonts w:ascii="Calibri" w:eastAsia="Calibri" w:hAnsi="Calibri" w:cs="Calibri"/>
      <w:b/>
      <w:i w:val="0"/>
      <w:smallCaps w:val="0"/>
      <w:strike w:val="0"/>
      <w:color w:val="0037A5"/>
      <w:sz w:val="28"/>
      <w:u w:val="none"/>
      <w:shd w:val="clear" w:color="auto" w:fill="auto"/>
    </w:rPr>
  </w:style>
  <w:style w:type="character" w:customStyle="1" w:styleId="Tableofcontents1">
    <w:name w:val="Table of contents|1_"/>
    <w:basedOn w:val="Predvolenpsmoodseku"/>
    <w:link w:val="Tableofcontents10"/>
    <w:rPr>
      <w:rFonts w:ascii="Calibri" w:eastAsia="Calibri" w:hAnsi="Calibri" w:cs="Calibri"/>
      <w:b w:val="0"/>
      <w:i w:val="0"/>
      <w:smallCaps w:val="0"/>
      <w:strike w:val="0"/>
      <w:sz w:val="22"/>
      <w:u w:val="none"/>
      <w:shd w:val="clear" w:color="auto" w:fill="auto"/>
    </w:rPr>
  </w:style>
  <w:style w:type="character" w:customStyle="1" w:styleId="Picturecaption1">
    <w:name w:val="Picture caption|1_"/>
    <w:basedOn w:val="Predvolenpsmoodseku"/>
    <w:link w:val="Picturecaption10"/>
    <w:rPr>
      <w:rFonts w:ascii="Calibri" w:eastAsia="Calibri" w:hAnsi="Calibri" w:cs="Calibri"/>
      <w:b w:val="0"/>
      <w:i/>
      <w:smallCaps w:val="0"/>
      <w:strike w:val="0"/>
      <w:color w:val="0037A5"/>
      <w:sz w:val="20"/>
      <w:u w:val="none"/>
      <w:shd w:val="clear" w:color="auto" w:fill="auto"/>
    </w:rPr>
  </w:style>
  <w:style w:type="character" w:customStyle="1" w:styleId="Other1">
    <w:name w:val="Other|1_"/>
    <w:basedOn w:val="Predvolenpsmoodseku"/>
    <w:link w:val="Other10"/>
    <w:rPr>
      <w:rFonts w:ascii="Calibri" w:eastAsia="Calibri" w:hAnsi="Calibri" w:cs="Calibri"/>
      <w:b w:val="0"/>
      <w:i w:val="0"/>
      <w:smallCaps w:val="0"/>
      <w:strike w:val="0"/>
      <w:sz w:val="22"/>
      <w:u w:val="none"/>
      <w:shd w:val="clear" w:color="auto" w:fill="auto"/>
    </w:rPr>
  </w:style>
  <w:style w:type="character" w:customStyle="1" w:styleId="Tablecaption1">
    <w:name w:val="Table caption|1_"/>
    <w:basedOn w:val="Predvolenpsmoodseku"/>
    <w:link w:val="Tablecaption10"/>
    <w:rPr>
      <w:rFonts w:ascii="Calibri" w:eastAsia="Calibri" w:hAnsi="Calibri" w:cs="Calibri"/>
      <w:b w:val="0"/>
      <w:i w:val="0"/>
      <w:smallCaps w:val="0"/>
      <w:strike w:val="0"/>
      <w:color w:val="201F1E"/>
      <w:sz w:val="12"/>
      <w:u w:val="none"/>
      <w:shd w:val="clear" w:color="auto" w:fill="auto"/>
    </w:rPr>
  </w:style>
  <w:style w:type="paragraph" w:customStyle="1" w:styleId="Footnote10">
    <w:name w:val="Footnote|1"/>
    <w:basedOn w:val="Normlny"/>
    <w:link w:val="Footnote1"/>
    <w:rPr>
      <w:rFonts w:ascii="Calibri" w:eastAsia="Calibri" w:hAnsi="Calibri" w:cs="Calibri"/>
      <w:sz w:val="20"/>
    </w:rPr>
  </w:style>
  <w:style w:type="paragraph" w:customStyle="1" w:styleId="Bodytext40">
    <w:name w:val="Body text|4"/>
    <w:basedOn w:val="Normlny"/>
    <w:link w:val="Bodytext4"/>
    <w:pPr>
      <w:spacing w:after="3500" w:line="156" w:lineRule="auto"/>
      <w:ind w:left="360" w:firstLine="160"/>
    </w:pPr>
    <w:rPr>
      <w:rFonts w:ascii="Calibri" w:eastAsia="Calibri" w:hAnsi="Calibri" w:cs="Calibri"/>
      <w:b/>
      <w:color w:val="0037A5"/>
      <w:sz w:val="34"/>
    </w:rPr>
  </w:style>
  <w:style w:type="paragraph" w:customStyle="1" w:styleId="Bodytext30">
    <w:name w:val="Body text|3"/>
    <w:basedOn w:val="Normlny"/>
    <w:link w:val="Bodytext3"/>
    <w:pPr>
      <w:spacing w:after="70" w:line="257" w:lineRule="auto"/>
      <w:ind w:left="1300"/>
    </w:pPr>
    <w:rPr>
      <w:rFonts w:ascii="Calibri" w:eastAsia="Calibri" w:hAnsi="Calibri" w:cs="Calibri"/>
      <w:b/>
      <w:color w:val="0037A5"/>
      <w:sz w:val="44"/>
    </w:rPr>
  </w:style>
  <w:style w:type="paragraph" w:customStyle="1" w:styleId="Bodytext10">
    <w:name w:val="Body text|1"/>
    <w:basedOn w:val="Normlny"/>
    <w:link w:val="Bodytext1"/>
    <w:pPr>
      <w:spacing w:after="160" w:line="254" w:lineRule="auto"/>
    </w:pPr>
    <w:rPr>
      <w:rFonts w:ascii="Calibri" w:eastAsia="Calibri" w:hAnsi="Calibri" w:cs="Calibri"/>
      <w:sz w:val="22"/>
    </w:rPr>
  </w:style>
  <w:style w:type="paragraph" w:customStyle="1" w:styleId="Bodytext20">
    <w:name w:val="Body text|2"/>
    <w:basedOn w:val="Normlny"/>
    <w:link w:val="Bodytext2"/>
    <w:pPr>
      <w:spacing w:after="400" w:line="266" w:lineRule="auto"/>
    </w:pPr>
    <w:rPr>
      <w:rFonts w:ascii="Arial" w:eastAsia="Arial" w:hAnsi="Arial" w:cs="Arial"/>
      <w:b/>
      <w:color w:val="0037A5"/>
      <w:sz w:val="15"/>
    </w:rPr>
  </w:style>
  <w:style w:type="paragraph" w:customStyle="1" w:styleId="Headerorfooter20">
    <w:name w:val="Header or footer|2"/>
    <w:basedOn w:val="Normlny"/>
    <w:link w:val="Headerorfooter2"/>
    <w:rPr>
      <w:sz w:val="20"/>
    </w:rPr>
  </w:style>
  <w:style w:type="paragraph" w:customStyle="1" w:styleId="Heading110">
    <w:name w:val="Heading #1|1"/>
    <w:basedOn w:val="Normlny"/>
    <w:link w:val="Heading11"/>
    <w:pPr>
      <w:spacing w:after="160"/>
      <w:outlineLvl w:val="0"/>
    </w:pPr>
    <w:rPr>
      <w:rFonts w:ascii="Calibri" w:eastAsia="Calibri" w:hAnsi="Calibri" w:cs="Calibri"/>
      <w:b/>
      <w:color w:val="0037A5"/>
      <w:sz w:val="28"/>
    </w:rPr>
  </w:style>
  <w:style w:type="paragraph" w:customStyle="1" w:styleId="Tableofcontents10">
    <w:name w:val="Table of contents|1"/>
    <w:basedOn w:val="Normlny"/>
    <w:link w:val="Tableofcontents1"/>
    <w:pPr>
      <w:spacing w:after="60"/>
    </w:pPr>
    <w:rPr>
      <w:rFonts w:ascii="Calibri" w:eastAsia="Calibri" w:hAnsi="Calibri" w:cs="Calibri"/>
      <w:sz w:val="22"/>
    </w:rPr>
  </w:style>
  <w:style w:type="paragraph" w:customStyle="1" w:styleId="Picturecaption10">
    <w:name w:val="Picture caption|1"/>
    <w:basedOn w:val="Normlny"/>
    <w:link w:val="Picturecaption1"/>
    <w:rPr>
      <w:rFonts w:ascii="Calibri" w:eastAsia="Calibri" w:hAnsi="Calibri" w:cs="Calibri"/>
      <w:i/>
      <w:color w:val="0037A5"/>
      <w:sz w:val="20"/>
    </w:rPr>
  </w:style>
  <w:style w:type="paragraph" w:customStyle="1" w:styleId="Other10">
    <w:name w:val="Other|1"/>
    <w:basedOn w:val="Normlny"/>
    <w:link w:val="Other1"/>
    <w:pPr>
      <w:spacing w:after="160" w:line="254" w:lineRule="auto"/>
    </w:pPr>
    <w:rPr>
      <w:rFonts w:ascii="Calibri" w:eastAsia="Calibri" w:hAnsi="Calibri" w:cs="Calibri"/>
      <w:sz w:val="22"/>
    </w:rPr>
  </w:style>
  <w:style w:type="paragraph" w:customStyle="1" w:styleId="Tablecaption10">
    <w:name w:val="Table caption|1"/>
    <w:basedOn w:val="Normlny"/>
    <w:link w:val="Tablecaption1"/>
    <w:rPr>
      <w:rFonts w:ascii="Calibri" w:eastAsia="Calibri" w:hAnsi="Calibri" w:cs="Calibri"/>
      <w:color w:val="201F1E"/>
      <w:sz w:val="12"/>
    </w:rPr>
  </w:style>
  <w:style w:type="paragraph" w:customStyle="1" w:styleId="P68B1DB1-Style141">
    <w:name w:val="P68B1DB1-Style141"/>
    <w:basedOn w:val="Bodytext10"/>
    <w:rPr>
      <w:b/>
      <w:color w:val="0037A5"/>
    </w:rPr>
  </w:style>
  <w:style w:type="paragraph" w:customStyle="1" w:styleId="P68B1DB1-Style142">
    <w:name w:val="P68B1DB1-Style142"/>
    <w:basedOn w:val="Bodytext10"/>
    <w:rPr>
      <w:b/>
    </w:rPr>
  </w:style>
  <w:style w:type="paragraph" w:customStyle="1" w:styleId="P68B1DB1-Style193">
    <w:name w:val="P68B1DB1-Style193"/>
    <w:basedOn w:val="Bodytext20"/>
    <w:rPr>
      <w:position w:val="-9"/>
      <w:sz w:val="48"/>
    </w:rPr>
  </w:style>
  <w:style w:type="paragraph" w:customStyle="1" w:styleId="P68B1DB1-Style364">
    <w:name w:val="P68B1DB1-Style364"/>
    <w:basedOn w:val="Picturecaption10"/>
    <w:rPr>
      <w:i w:val="0"/>
    </w:rPr>
  </w:style>
  <w:style w:type="paragraph" w:customStyle="1" w:styleId="P68B1DB1-Style145">
    <w:name w:val="P68B1DB1-Style145"/>
    <w:basedOn w:val="Bodytext10"/>
    <w:rPr>
      <w:i/>
      <w:color w:val="0037A5"/>
      <w:sz w:val="20"/>
    </w:rPr>
  </w:style>
  <w:style w:type="paragraph" w:customStyle="1" w:styleId="P68B1DB1-Style146">
    <w:name w:val="P68B1DB1-Style146"/>
    <w:basedOn w:val="Bodytext10"/>
    <w:rPr>
      <w:sz w:val="20"/>
    </w:rPr>
  </w:style>
  <w:style w:type="paragraph" w:customStyle="1" w:styleId="P68B1DB1-Style367">
    <w:name w:val="P68B1DB1-Style367"/>
    <w:basedOn w:val="Picturecaption10"/>
    <w:rPr>
      <w:i w:val="0"/>
      <w:sz w:val="22"/>
    </w:rPr>
  </w:style>
  <w:style w:type="paragraph" w:customStyle="1" w:styleId="P68B1DB1-Style368">
    <w:name w:val="P68B1DB1-Style368"/>
    <w:basedOn w:val="Picturecaption10"/>
    <w:rPr>
      <w:rFonts w:ascii="Arial" w:eastAsia="Arial" w:hAnsi="Arial" w:cs="Arial"/>
      <w:i w:val="0"/>
      <w:sz w:val="15"/>
    </w:rPr>
  </w:style>
  <w:style w:type="paragraph" w:customStyle="1" w:styleId="P68B1DB1-Style149">
    <w:name w:val="P68B1DB1-Style149"/>
    <w:basedOn w:val="Bodytext10"/>
    <w:rPr>
      <w:i/>
      <w:color w:val="4472C4"/>
      <w:sz w:val="20"/>
    </w:rPr>
  </w:style>
  <w:style w:type="paragraph" w:customStyle="1" w:styleId="P68B1DB1-Style5110">
    <w:name w:val="P68B1DB1-Style5110"/>
    <w:basedOn w:val="Other10"/>
    <w:rPr>
      <w:sz w:val="13"/>
    </w:rPr>
  </w:style>
  <w:style w:type="paragraph" w:customStyle="1" w:styleId="P68B1DB1-Style5111">
    <w:name w:val="P68B1DB1-Style5111"/>
    <w:basedOn w:val="Other10"/>
    <w:rPr>
      <w:color w:val="201F1E"/>
      <w:sz w:val="13"/>
    </w:rPr>
  </w:style>
  <w:style w:type="paragraph" w:customStyle="1" w:styleId="P68B1DB1-Style5112">
    <w:name w:val="P68B1DB1-Style5112"/>
    <w:basedOn w:val="Other10"/>
    <w:rPr>
      <w:color w:val="404040"/>
      <w:sz w:val="13"/>
    </w:rPr>
  </w:style>
  <w:style w:type="paragraph" w:customStyle="1" w:styleId="P68B1DB1-Style2213">
    <w:name w:val="P68B1DB1-Style2213"/>
    <w:basedOn w:val="Headerorfooter20"/>
    <w:rPr>
      <w:rFonts w:ascii="Calibri" w:eastAsia="Calibri" w:hAnsi="Calibri" w:cs="Calibri"/>
      <w:shd w:val="clear" w:color="auto" w:fill="FFFFFF"/>
    </w:rPr>
  </w:style>
  <w:style w:type="paragraph" w:customStyle="1" w:styleId="P68B1DB1-Style2214">
    <w:name w:val="P68B1DB1-Style2214"/>
    <w:basedOn w:val="Headerorfooter20"/>
    <w:rPr>
      <w:rFonts w:ascii="Calibri" w:eastAsia="Calibri" w:hAnsi="Calibri" w:cs="Calibri"/>
    </w:rPr>
  </w:style>
  <w:style w:type="paragraph" w:styleId="Obsah1">
    <w:name w:val="toc 1"/>
    <w:basedOn w:val="Normlny"/>
    <w:next w:val="Normlny"/>
    <w:autoRedefine/>
    <w:uiPriority w:val="39"/>
    <w:unhideWhenUsed/>
    <w:rsid w:val="00E564C7"/>
    <w:pPr>
      <w:spacing w:after="100"/>
    </w:pPr>
  </w:style>
  <w:style w:type="character" w:styleId="Hypertextovprepojenie">
    <w:name w:val="Hyperlink"/>
    <w:basedOn w:val="Predvolenpsmoodseku"/>
    <w:uiPriority w:val="99"/>
    <w:unhideWhenUsed/>
    <w:rsid w:val="00E564C7"/>
    <w:rPr>
      <w:color w:val="0563C1" w:themeColor="hyperlink"/>
      <w:u w:val="single"/>
    </w:rPr>
  </w:style>
  <w:style w:type="character" w:styleId="Nevyrieenzmienka">
    <w:name w:val="Unresolved Mention"/>
    <w:basedOn w:val="Predvolenpsmoodseku"/>
    <w:uiPriority w:val="99"/>
    <w:semiHidden/>
    <w:unhideWhenUsed/>
    <w:rsid w:val="00E56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vtisr.sk/o-cvti-sr/zakladne-informacie.html?page_id=409"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hyperlink" Target="https://www.cvtisr.sk/o-cvti-sr/zakladne-informacie.html?page_id=409" TargetMode="External"/><Relationship Id="rId17" Type="http://schemas.openxmlformats.org/officeDocument/2006/relationships/hyperlink" Target="https://ec.europa.eu/eurostat/web/main/about/who-we-are"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ecd.org/about/"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sk/statut-a-organizacny-poriadok-msvvas-s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www.ineko.sk/onas/o-na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www.minedu.sk/statut-a-organizacny-poriadok-msvvas-sr/"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lovak.statistics.sk/wps/portal/ext/aboutus/!ut/p/z1/lY9NC4JAFEV_Swu3vmejObWbqbARqZQim01omBqmYqZ_P_tYRFTQ293LORceSPBB5kGTxkGdFnmQdXkrBzvXFJRzjSGdTzgK0zFdKjhZ8D5s3gFvimLFlpZn6xrqBsg__Xfg5uOXY9j58o6MLTbTTQeROpaBgs3W3tAlBBl5Aj82bJBxVoSPd1keEhqDrKJDVEWVeqm6Oqnr8jxSUMG2bdUwzWN1X5wU_CQkxbkG_5WD8rT28WhkjcN6V4CFPQ8!/dz/d5/L2dBISEvZ0FBIS9nQSEh/"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eader" Target="head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portalvs.sk/sk/studijne-odbory/povodne" TargetMode="External"/><Relationship Id="rId13" Type="http://schemas.openxmlformats.org/officeDocument/2006/relationships/hyperlink" Target="https://www.cvtisr.sk/buxus/docs/JC/rady/radtab10.xls" TargetMode="External"/><Relationship Id="rId18" Type="http://schemas.openxmlformats.org/officeDocument/2006/relationships/hyperlink" Target="https://cedos.org.ua/en/articles/ukrainski-studenty-u-slovachchyni-polityky-zaluchennia-intehratsii-ta-motyvatsiia-i-plany-studentiv%23ukr" TargetMode="External"/><Relationship Id="rId3" Type="http://schemas.openxmlformats.org/officeDocument/2006/relationships/hyperlink" Target="http://datacube.statistics.sk/%23!/view/sk/VBD_DEM/om7009rr/v_om7009rr_00_00_00_sk" TargetMode="External"/><Relationship Id="rId7" Type="http://schemas.openxmlformats.org/officeDocument/2006/relationships/hyperlink" Target="http://uniregio.fvs.upjs.sk/pdf/zbornik/Gurnak_Krizan_Lauko.pdf" TargetMode="External"/><Relationship Id="rId12" Type="http://schemas.openxmlformats.org/officeDocument/2006/relationships/hyperlink" Target="https://ec.europa.eu/eurostat/databrowser/bookmark/3d8d03b3-d7cb-4c83-875a-18849cc75019?lang=en" TargetMode="External"/><Relationship Id="rId17" Type="http://schemas.openxmlformats.org/officeDocument/2006/relationships/hyperlink" Target="https://cedos.org.ua/en/articles/ukrainski-studenty-u-slovachchyni-polityky-zaluchennia-intehratsii-ta-motyvatsiia-i-plany-studentiv%23ukr" TargetMode="External"/><Relationship Id="rId2" Type="http://schemas.openxmlformats.org/officeDocument/2006/relationships/hyperlink" Target="http://datacube.statistics.sk/%23!/view/sk/VBD_DEM/om7009rr/v_om7009rr_00_00_00_sk" TargetMode="External"/><Relationship Id="rId16" Type="http://schemas.openxmlformats.org/officeDocument/2006/relationships/hyperlink" Target="https://data.oecd.org/teachers/students-per-teaching-staff.htm" TargetMode="External"/><Relationship Id="rId20" Type="http://schemas.openxmlformats.org/officeDocument/2006/relationships/hyperlink" Target="https://prieskum.saavs.sk/vysledky/" TargetMode="External"/><Relationship Id="rId1" Type="http://schemas.openxmlformats.org/officeDocument/2006/relationships/hyperlink" Target="http://www.infostat.sk/web2015/sk/index.php?option=com_content&amp;view=article&amp;id=494&amp;Itemid=204" TargetMode="External"/><Relationship Id="rId6" Type="http://schemas.openxmlformats.org/officeDocument/2006/relationships/hyperlink" Target="https://data.oecd.org/chart/6xR6" TargetMode="External"/><Relationship Id="rId11" Type="http://schemas.openxmlformats.org/officeDocument/2006/relationships/hyperlink" Target="https://data.oecd.org/chart/6xx3" TargetMode="External"/><Relationship Id="rId5" Type="http://schemas.openxmlformats.org/officeDocument/2006/relationships/hyperlink" Target="https://analyza.todarozum.sk/docs/19061818140001xfj1/" TargetMode="External"/><Relationship Id="rId15" Type="http://schemas.openxmlformats.org/officeDocument/2006/relationships/hyperlink" Target="https://www.portalvs.sk/regzam/stats/ratio" TargetMode="External"/><Relationship Id="rId10" Type="http://schemas.openxmlformats.org/officeDocument/2006/relationships/hyperlink" Target="https://www.portalvs.sk/sk/studijne-odbory" TargetMode="External"/><Relationship Id="rId19" Type="http://schemas.openxmlformats.org/officeDocument/2006/relationships/hyperlink" Target="https://stat.link/cwlnud" TargetMode="External"/><Relationship Id="rId4" Type="http://schemas.openxmlformats.org/officeDocument/2006/relationships/hyperlink" Target="https://analyza.todarozum.sk/docs/19061818140001xfj1/" TargetMode="External"/><Relationship Id="rId9" Type="http://schemas.openxmlformats.org/officeDocument/2006/relationships/hyperlink" Target="https://www.portalvs.sk/sk/studijne-odbory/povodne" TargetMode="External"/><Relationship Id="rId14" Type="http://schemas.openxmlformats.org/officeDocument/2006/relationships/hyperlink" Target="https://www.portalvs.sk/regzam/stats/ratio?date=2021-09-30"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7625</Words>
  <Characters>43468</Characters>
  <Application>Microsoft Office Word</Application>
  <DocSecurity>0</DocSecurity>
  <Lines>362</Lines>
  <Paragraphs>101</Paragraphs>
  <ScaleCrop>false</ScaleCrop>
  <Company/>
  <LinksUpToDate>false</LinksUpToDate>
  <CharactersWithSpaces>50992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 Bittnerová</cp:lastModifiedBy>
  <cp:revision>4</cp:revision>
  <dcterms:created xsi:type="dcterms:W3CDTF">2022-03-09T15:00:00Z</dcterms:created>
  <dcterms:modified xsi:type="dcterms:W3CDTF">2022-04-04T10:57:00Z</dcterms:modified>
</cp:coreProperties>
</file>