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2" w:rsidRPr="00CD3EF2" w:rsidRDefault="00C84A24" w:rsidP="00CD3EF2">
      <w:pPr>
        <w:jc w:val="both"/>
        <w:rPr>
          <w:b/>
          <w:color w:val="2E74B5" w:themeColor="accent1" w:themeShade="BF"/>
          <w:sz w:val="28"/>
          <w:szCs w:val="28"/>
        </w:rPr>
      </w:pPr>
      <w:r>
        <w:rPr>
          <w:b/>
          <w:color w:val="2E74B5" w:themeColor="accent1" w:themeShade="BF"/>
          <w:sz w:val="28"/>
          <w:szCs w:val="28"/>
        </w:rPr>
        <w:t xml:space="preserve">A list of legal entities whose evaluation </w:t>
      </w:r>
      <w:r w:rsidRPr="00C84A24">
        <w:rPr>
          <w:b/>
          <w:color w:val="2E74B5" w:themeColor="accent1" w:themeShade="BF"/>
          <w:sz w:val="28"/>
          <w:szCs w:val="28"/>
        </w:rPr>
        <w:t xml:space="preserve">reports are automatically accepted by the Agency for the purpose of assessing the compliance of the internal system and its implementation with the </w:t>
      </w:r>
      <w:r>
        <w:rPr>
          <w:b/>
          <w:color w:val="2E74B5" w:themeColor="accent1" w:themeShade="BF"/>
          <w:sz w:val="28"/>
          <w:szCs w:val="28"/>
        </w:rPr>
        <w:t>Standards for the I</w:t>
      </w:r>
      <w:r w:rsidRPr="00C84A24">
        <w:rPr>
          <w:b/>
          <w:color w:val="2E74B5" w:themeColor="accent1" w:themeShade="BF"/>
          <w:sz w:val="28"/>
          <w:szCs w:val="28"/>
        </w:rPr>
        <w:t xml:space="preserve">nternal </w:t>
      </w:r>
      <w:r>
        <w:rPr>
          <w:b/>
          <w:color w:val="2E74B5" w:themeColor="accent1" w:themeShade="BF"/>
          <w:sz w:val="28"/>
          <w:szCs w:val="28"/>
        </w:rPr>
        <w:t>S</w:t>
      </w:r>
      <w:r w:rsidRPr="00C84A24">
        <w:rPr>
          <w:b/>
          <w:color w:val="2E74B5" w:themeColor="accent1" w:themeShade="BF"/>
          <w:sz w:val="28"/>
          <w:szCs w:val="28"/>
        </w:rPr>
        <w:t xml:space="preserve">ystem (hereinafter referred to as "internal system </w:t>
      </w:r>
      <w:r>
        <w:rPr>
          <w:b/>
          <w:color w:val="2E74B5" w:themeColor="accent1" w:themeShade="BF"/>
          <w:sz w:val="28"/>
          <w:szCs w:val="28"/>
        </w:rPr>
        <w:t>evaluation</w:t>
      </w:r>
      <w:r w:rsidRPr="00C84A24">
        <w:rPr>
          <w:b/>
          <w:color w:val="2E74B5" w:themeColor="accent1" w:themeShade="BF"/>
          <w:sz w:val="28"/>
          <w:szCs w:val="28"/>
        </w:rPr>
        <w:t xml:space="preserve">"): </w:t>
      </w:r>
    </w:p>
    <w:p w:rsidR="00CD3EF2" w:rsidRPr="00CD3EF2" w:rsidRDefault="00C84A24">
      <w:pPr>
        <w:rPr>
          <w:b/>
          <w:color w:val="2E74B5" w:themeColor="accent1" w:themeShade="BF"/>
          <w:sz w:val="24"/>
          <w:szCs w:val="24"/>
        </w:rPr>
      </w:pPr>
      <w:r>
        <w:rPr>
          <w:b/>
          <w:color w:val="2E74B5" w:themeColor="accent1" w:themeShade="BF"/>
          <w:sz w:val="24"/>
          <w:szCs w:val="24"/>
        </w:rPr>
        <w:t>THE LIST IS OPEN</w:t>
      </w:r>
      <w:r w:rsidR="00CD3EF2" w:rsidRPr="00CD3EF2">
        <w:rPr>
          <w:b/>
          <w:color w:val="2E74B5" w:themeColor="accent1" w:themeShade="BF"/>
          <w:sz w:val="24"/>
          <w:szCs w:val="24"/>
        </w:rPr>
        <w:t xml:space="preserve">. </w:t>
      </w:r>
    </w:p>
    <w:p w:rsidR="00CD3EF2" w:rsidRPr="00CD3EF2" w:rsidRDefault="00CD3EF2">
      <w:pPr>
        <w:rPr>
          <w:b/>
          <w:color w:val="2E74B5" w:themeColor="accent1" w:themeShade="BF"/>
          <w:sz w:val="24"/>
          <w:szCs w:val="24"/>
        </w:rPr>
      </w:pPr>
    </w:p>
    <w:p w:rsidR="00CD3EF2" w:rsidRPr="00CD3EF2" w:rsidRDefault="00C84A24" w:rsidP="00CD3EF2">
      <w:pPr>
        <w:jc w:val="both"/>
        <w:rPr>
          <w:b/>
          <w:color w:val="2E74B5" w:themeColor="accent1" w:themeShade="BF"/>
          <w:sz w:val="24"/>
          <w:szCs w:val="24"/>
        </w:rPr>
      </w:pPr>
      <w:r w:rsidRPr="00C84A24">
        <w:rPr>
          <w:b/>
          <w:color w:val="2E74B5" w:themeColor="accent1" w:themeShade="BF"/>
          <w:sz w:val="24"/>
          <w:szCs w:val="24"/>
        </w:rPr>
        <w:t xml:space="preserve">Number of legal entities on the list: 0 </w:t>
      </w:r>
      <w:r w:rsidR="00CD3EF2" w:rsidRPr="00CD3EF2">
        <w:rPr>
          <w:b/>
          <w:color w:val="2E74B5" w:themeColor="accent1" w:themeShade="BF"/>
          <w:sz w:val="24"/>
          <w:szCs w:val="24"/>
        </w:rPr>
        <w:t xml:space="preserve"> </w:t>
      </w:r>
    </w:p>
    <w:p w:rsidR="00C84A24" w:rsidRPr="00C84A24" w:rsidRDefault="00C84A24" w:rsidP="00C84A24">
      <w:pPr>
        <w:jc w:val="both"/>
        <w:rPr>
          <w:color w:val="2E74B5" w:themeColor="accent1" w:themeShade="BF"/>
          <w:sz w:val="24"/>
          <w:szCs w:val="24"/>
        </w:rPr>
      </w:pPr>
      <w:r w:rsidRPr="00C84A24">
        <w:rPr>
          <w:color w:val="2E74B5" w:themeColor="accent1" w:themeShade="BF"/>
          <w:sz w:val="24"/>
          <w:szCs w:val="24"/>
        </w:rPr>
        <w:t xml:space="preserve">This list is maintained by the Slovak Accreditation Agency for Higher Education (hereinafter referred to as "the Agency") </w:t>
      </w:r>
      <w:r w:rsidR="004317A7">
        <w:rPr>
          <w:color w:val="2E74B5" w:themeColor="accent1" w:themeShade="BF"/>
          <w:sz w:val="24"/>
          <w:szCs w:val="24"/>
        </w:rPr>
        <w:t>according to</w:t>
      </w:r>
      <w:r w:rsidRPr="00C84A24">
        <w:rPr>
          <w:color w:val="2E74B5" w:themeColor="accent1" w:themeShade="BF"/>
          <w:sz w:val="24"/>
          <w:szCs w:val="24"/>
        </w:rPr>
        <w:t xml:space="preserve"> Section 4(2)(c)(2) of Act No 269/2018 Coll. on Quality Assurance in Higher Education and on Amendment and Supplementation of Act No 343/2015 Coll. on Public Procurement and on Amendment and Supplementation of Certain Acts, as amended (hereinafter referred to as "the Act on Quality Assurance"). In maintaining this list, the Agency follows the Quality Assurance Act and also takes into account the </w:t>
      </w:r>
      <w:r w:rsidRPr="00C95111">
        <w:rPr>
          <w:b/>
          <w:color w:val="2E74B5" w:themeColor="accent1" w:themeShade="BF"/>
          <w:sz w:val="24"/>
          <w:szCs w:val="24"/>
        </w:rPr>
        <w:t xml:space="preserve">Key </w:t>
      </w:r>
      <w:r w:rsidR="00890809" w:rsidRPr="00C95111">
        <w:rPr>
          <w:b/>
          <w:color w:val="2E74B5" w:themeColor="accent1" w:themeShade="BF"/>
          <w:sz w:val="24"/>
          <w:szCs w:val="24"/>
        </w:rPr>
        <w:t>Considerations</w:t>
      </w:r>
      <w:r w:rsidRPr="00C95111">
        <w:rPr>
          <w:b/>
          <w:color w:val="2E74B5" w:themeColor="accent1" w:themeShade="BF"/>
          <w:sz w:val="24"/>
          <w:szCs w:val="24"/>
        </w:rPr>
        <w:t xml:space="preserve"> for Cross-Border Quality Assurance of the European Quality Assurance Register for Higher Education (EQAR)</w:t>
      </w:r>
      <w:r w:rsidR="00C95111" w:rsidRPr="00C95111">
        <w:rPr>
          <w:rStyle w:val="Odkaznapoznmkupodiarou"/>
          <w:color w:val="2E74B5" w:themeColor="accent1" w:themeShade="BF"/>
          <w:sz w:val="24"/>
          <w:szCs w:val="24"/>
          <w:u w:val="single"/>
        </w:rPr>
        <w:t xml:space="preserve"> </w:t>
      </w:r>
      <w:r w:rsidR="00C95111" w:rsidRPr="00C95111">
        <w:rPr>
          <w:rStyle w:val="Odkaznapoznmkupodiarou"/>
          <w:color w:val="2E74B5" w:themeColor="accent1" w:themeShade="BF"/>
          <w:sz w:val="24"/>
          <w:szCs w:val="24"/>
        </w:rPr>
        <w:footnoteReference w:id="1"/>
      </w:r>
      <w:r w:rsidRPr="00C95111">
        <w:rPr>
          <w:color w:val="2E74B5" w:themeColor="accent1" w:themeShade="BF"/>
          <w:sz w:val="24"/>
          <w:szCs w:val="24"/>
        </w:rPr>
        <w:t xml:space="preserve"> </w:t>
      </w:r>
      <w:r w:rsidRPr="00C84A24">
        <w:rPr>
          <w:color w:val="2E74B5" w:themeColor="accent1" w:themeShade="BF"/>
          <w:sz w:val="24"/>
          <w:szCs w:val="24"/>
        </w:rPr>
        <w:t xml:space="preserve">(hereinafter referred to as the EQAR </w:t>
      </w:r>
      <w:r w:rsidR="00C95111">
        <w:rPr>
          <w:color w:val="2E74B5" w:themeColor="accent1" w:themeShade="BF"/>
          <w:sz w:val="24"/>
          <w:szCs w:val="24"/>
        </w:rPr>
        <w:t>Considera</w:t>
      </w:r>
      <w:r w:rsidRPr="00C84A24">
        <w:rPr>
          <w:color w:val="2E74B5" w:themeColor="accent1" w:themeShade="BF"/>
          <w:sz w:val="24"/>
          <w:szCs w:val="24"/>
        </w:rPr>
        <w:t xml:space="preserve">tions). </w:t>
      </w:r>
    </w:p>
    <w:p w:rsidR="00C84A24" w:rsidRPr="00C84A24" w:rsidRDefault="00C84A24" w:rsidP="00C84A24">
      <w:pPr>
        <w:jc w:val="both"/>
        <w:rPr>
          <w:color w:val="2E74B5" w:themeColor="accent1" w:themeShade="BF"/>
          <w:sz w:val="24"/>
          <w:szCs w:val="24"/>
        </w:rPr>
      </w:pPr>
      <w:r w:rsidRPr="00C84A24">
        <w:rPr>
          <w:color w:val="2E74B5" w:themeColor="accent1" w:themeShade="BF"/>
          <w:sz w:val="24"/>
          <w:szCs w:val="24"/>
        </w:rPr>
        <w:t xml:space="preserve">A legal entity may be included in the list if it is registered in the European Quality Assurance Register for Higher Education or is a member of the European Association for Quality Assurance in Higher Education and is also suitable, in accordance with the EQAR </w:t>
      </w:r>
      <w:r w:rsidR="00C95111">
        <w:rPr>
          <w:color w:val="2E74B5" w:themeColor="accent1" w:themeShade="BF"/>
          <w:sz w:val="24"/>
          <w:szCs w:val="24"/>
        </w:rPr>
        <w:t>Consideratio</w:t>
      </w:r>
      <w:r w:rsidRPr="00C84A24">
        <w:rPr>
          <w:color w:val="2E74B5" w:themeColor="accent1" w:themeShade="BF"/>
          <w:sz w:val="24"/>
          <w:szCs w:val="24"/>
        </w:rPr>
        <w:t>ns, to carry out external quality assurance in higher education, respecting</w:t>
      </w:r>
      <w:r w:rsidR="00890809">
        <w:rPr>
          <w:color w:val="2E74B5" w:themeColor="accent1" w:themeShade="BF"/>
          <w:sz w:val="24"/>
          <w:szCs w:val="24"/>
        </w:rPr>
        <w:t>,</w:t>
      </w:r>
      <w:r w:rsidRPr="00C84A24">
        <w:rPr>
          <w:color w:val="2E74B5" w:themeColor="accent1" w:themeShade="BF"/>
          <w:sz w:val="24"/>
          <w:szCs w:val="24"/>
        </w:rPr>
        <w:t xml:space="preserve"> in particular</w:t>
      </w:r>
      <w:r w:rsidR="00890809">
        <w:rPr>
          <w:color w:val="2E74B5" w:themeColor="accent1" w:themeShade="BF"/>
          <w:sz w:val="24"/>
          <w:szCs w:val="24"/>
        </w:rPr>
        <w:t>,</w:t>
      </w:r>
      <w:r w:rsidRPr="00C84A24">
        <w:rPr>
          <w:color w:val="2E74B5" w:themeColor="accent1" w:themeShade="BF"/>
          <w:sz w:val="24"/>
          <w:szCs w:val="24"/>
        </w:rPr>
        <w:t xml:space="preserve"> the requirements of the Quality Assurance Act in relation to the subsequent adoption of the relevant decisions by the national regulator, which is the Agency. </w:t>
      </w:r>
    </w:p>
    <w:p w:rsidR="00C84A24" w:rsidRPr="00C84A24" w:rsidRDefault="00C84A24" w:rsidP="00C84A24">
      <w:pPr>
        <w:jc w:val="both"/>
        <w:rPr>
          <w:color w:val="2E74B5" w:themeColor="accent1" w:themeShade="BF"/>
          <w:sz w:val="24"/>
          <w:szCs w:val="24"/>
        </w:rPr>
      </w:pPr>
      <w:r w:rsidRPr="00C84A24">
        <w:rPr>
          <w:color w:val="2E74B5" w:themeColor="accent1" w:themeShade="BF"/>
          <w:sz w:val="24"/>
          <w:szCs w:val="24"/>
        </w:rPr>
        <w:t xml:space="preserve">If a higher education institution is considering </w:t>
      </w:r>
      <w:r w:rsidR="00C95111">
        <w:rPr>
          <w:color w:val="2E74B5" w:themeColor="accent1" w:themeShade="BF"/>
          <w:sz w:val="24"/>
          <w:szCs w:val="24"/>
        </w:rPr>
        <w:t xml:space="preserve">applying </w:t>
      </w:r>
      <w:r w:rsidRPr="00C84A24">
        <w:rPr>
          <w:color w:val="2E74B5" w:themeColor="accent1" w:themeShade="BF"/>
          <w:sz w:val="24"/>
          <w:szCs w:val="24"/>
        </w:rPr>
        <w:t xml:space="preserve">an evaluation report for the purpose of the mandatory assessment of the compliance of the internal system and its implementation with the </w:t>
      </w:r>
      <w:r w:rsidR="00C95111">
        <w:rPr>
          <w:color w:val="2E74B5" w:themeColor="accent1" w:themeShade="BF"/>
          <w:sz w:val="24"/>
          <w:szCs w:val="24"/>
        </w:rPr>
        <w:t>S</w:t>
      </w:r>
      <w:r w:rsidRPr="00C84A24">
        <w:rPr>
          <w:color w:val="2E74B5" w:themeColor="accent1" w:themeShade="BF"/>
          <w:sz w:val="24"/>
          <w:szCs w:val="24"/>
        </w:rPr>
        <w:t xml:space="preserve">tandards for the </w:t>
      </w:r>
      <w:r w:rsidR="00C95111">
        <w:rPr>
          <w:color w:val="2E74B5" w:themeColor="accent1" w:themeShade="BF"/>
          <w:sz w:val="24"/>
          <w:szCs w:val="24"/>
        </w:rPr>
        <w:t>I</w:t>
      </w:r>
      <w:r w:rsidRPr="00C84A24">
        <w:rPr>
          <w:color w:val="2E74B5" w:themeColor="accent1" w:themeShade="BF"/>
          <w:sz w:val="24"/>
          <w:szCs w:val="24"/>
        </w:rPr>
        <w:t xml:space="preserve">nternal </w:t>
      </w:r>
      <w:r w:rsidR="00C95111">
        <w:rPr>
          <w:color w:val="2E74B5" w:themeColor="accent1" w:themeShade="BF"/>
          <w:sz w:val="24"/>
          <w:szCs w:val="24"/>
        </w:rPr>
        <w:t>S</w:t>
      </w:r>
      <w:r w:rsidRPr="00C84A24">
        <w:rPr>
          <w:color w:val="2E74B5" w:themeColor="accent1" w:themeShade="BF"/>
          <w:sz w:val="24"/>
          <w:szCs w:val="24"/>
        </w:rPr>
        <w:t>ystem from a legal entity that is not included in the list, it is recommended to contact the Agency.</w:t>
      </w:r>
    </w:p>
    <w:p w:rsidR="00CD3EF2" w:rsidRPr="00CD3EF2" w:rsidRDefault="00CD3EF2" w:rsidP="00CD3EF2">
      <w:pPr>
        <w:jc w:val="both"/>
        <w:rPr>
          <w:color w:val="2E74B5" w:themeColor="accent1" w:themeShade="BF"/>
          <w:sz w:val="24"/>
          <w:szCs w:val="24"/>
        </w:rPr>
      </w:pPr>
    </w:p>
    <w:p w:rsidR="00CD3EF2" w:rsidRPr="00CD3EF2" w:rsidRDefault="00CD3EF2" w:rsidP="00CD3EF2">
      <w:pPr>
        <w:jc w:val="both"/>
        <w:rPr>
          <w:color w:val="2E74B5" w:themeColor="accent1" w:themeShade="BF"/>
          <w:sz w:val="24"/>
          <w:szCs w:val="24"/>
        </w:rPr>
      </w:pPr>
    </w:p>
    <w:p w:rsidR="00CD3EF2" w:rsidRPr="00CD3EF2" w:rsidRDefault="00CD3EF2" w:rsidP="00CD3EF2">
      <w:pPr>
        <w:jc w:val="both"/>
        <w:rPr>
          <w:color w:val="2E74B5" w:themeColor="accent1" w:themeShade="BF"/>
          <w:sz w:val="24"/>
          <w:szCs w:val="24"/>
        </w:rPr>
      </w:pPr>
    </w:p>
    <w:p w:rsidR="00CD3EF2" w:rsidRDefault="00CD3EF2" w:rsidP="00CD3EF2">
      <w:pPr>
        <w:jc w:val="both"/>
        <w:rPr>
          <w:color w:val="2E74B5" w:themeColor="accent1" w:themeShade="BF"/>
          <w:sz w:val="24"/>
          <w:szCs w:val="24"/>
        </w:rPr>
      </w:pPr>
    </w:p>
    <w:p w:rsidR="00C95111" w:rsidRDefault="00C95111" w:rsidP="00CD3EF2">
      <w:pPr>
        <w:jc w:val="both"/>
        <w:rPr>
          <w:color w:val="2E74B5" w:themeColor="accent1" w:themeShade="BF"/>
          <w:sz w:val="24"/>
          <w:szCs w:val="24"/>
        </w:rPr>
      </w:pPr>
    </w:p>
    <w:p w:rsidR="00C95111" w:rsidRDefault="00C95111" w:rsidP="00CD3EF2">
      <w:pPr>
        <w:jc w:val="both"/>
        <w:rPr>
          <w:color w:val="2E74B5" w:themeColor="accent1" w:themeShade="BF"/>
          <w:sz w:val="24"/>
          <w:szCs w:val="24"/>
        </w:rPr>
      </w:pPr>
    </w:p>
    <w:p w:rsidR="00C95111" w:rsidRPr="00CD3EF2" w:rsidRDefault="00C95111" w:rsidP="00CD3EF2">
      <w:pPr>
        <w:jc w:val="both"/>
        <w:rPr>
          <w:color w:val="2E74B5" w:themeColor="accent1" w:themeShade="BF"/>
          <w:sz w:val="24"/>
          <w:szCs w:val="24"/>
        </w:rPr>
      </w:pPr>
    </w:p>
    <w:p w:rsidR="00CD3EF2" w:rsidRPr="00CD3EF2" w:rsidRDefault="00CD3EF2" w:rsidP="00CD3EF2">
      <w:pPr>
        <w:jc w:val="both"/>
        <w:rPr>
          <w:color w:val="2E74B5" w:themeColor="accent1" w:themeShade="BF"/>
          <w:sz w:val="24"/>
          <w:szCs w:val="24"/>
        </w:rPr>
      </w:pPr>
    </w:p>
    <w:p w:rsidR="00C95111" w:rsidRPr="00C84A24" w:rsidRDefault="00C95111" w:rsidP="00C95111">
      <w:pPr>
        <w:jc w:val="both"/>
        <w:rPr>
          <w:color w:val="2E74B5" w:themeColor="accent1" w:themeShade="BF"/>
          <w:sz w:val="24"/>
          <w:szCs w:val="24"/>
        </w:rPr>
      </w:pPr>
      <w:r w:rsidRPr="00C84A24">
        <w:rPr>
          <w:color w:val="2E74B5" w:themeColor="accent1" w:themeShade="BF"/>
          <w:sz w:val="24"/>
          <w:szCs w:val="24"/>
        </w:rPr>
        <w:lastRenderedPageBreak/>
        <w:t xml:space="preserve">The automatic recognition of a legal entity's </w:t>
      </w:r>
      <w:r>
        <w:rPr>
          <w:color w:val="2E74B5" w:themeColor="accent1" w:themeShade="BF"/>
          <w:sz w:val="24"/>
          <w:szCs w:val="24"/>
        </w:rPr>
        <w:t>evaluation</w:t>
      </w:r>
      <w:r w:rsidRPr="00C84A24">
        <w:rPr>
          <w:color w:val="2E74B5" w:themeColor="accent1" w:themeShade="BF"/>
          <w:sz w:val="24"/>
          <w:szCs w:val="24"/>
        </w:rPr>
        <w:t xml:space="preserve"> report from the list is subject to compliance with the requirements of the Quality Assurance Act and other related regulations: </w:t>
      </w:r>
    </w:p>
    <w:p w:rsidR="00C95111" w:rsidRPr="00C95111" w:rsidRDefault="00C95111" w:rsidP="00C95111">
      <w:pPr>
        <w:pStyle w:val="Odsekzoznamu"/>
        <w:numPr>
          <w:ilvl w:val="0"/>
          <w:numId w:val="4"/>
        </w:numPr>
        <w:jc w:val="both"/>
        <w:rPr>
          <w:color w:val="2E74B5" w:themeColor="accent1" w:themeShade="BF"/>
          <w:sz w:val="24"/>
          <w:szCs w:val="24"/>
        </w:rPr>
      </w:pPr>
      <w:r w:rsidRPr="00C95111">
        <w:rPr>
          <w:color w:val="2E74B5" w:themeColor="accent1" w:themeShade="BF"/>
          <w:sz w:val="24"/>
          <w:szCs w:val="24"/>
        </w:rPr>
        <w:t>The evaluation report in accordance with § 21(5) of the Quality Assurance Act is based on an expert assessment of the documents, information obtained by visiting the HEI, available data</w:t>
      </w:r>
      <w:r w:rsidR="003A69C4">
        <w:rPr>
          <w:color w:val="2E74B5" w:themeColor="accent1" w:themeShade="BF"/>
          <w:sz w:val="24"/>
          <w:szCs w:val="24"/>
        </w:rPr>
        <w:t>,</w:t>
      </w:r>
      <w:r w:rsidRPr="00C95111">
        <w:rPr>
          <w:color w:val="2E74B5" w:themeColor="accent1" w:themeShade="BF"/>
          <w:sz w:val="24"/>
          <w:szCs w:val="24"/>
        </w:rPr>
        <w:t xml:space="preserve"> and consultations with interested persons, </w:t>
      </w:r>
    </w:p>
    <w:p w:rsidR="00C95111" w:rsidRDefault="00C95111" w:rsidP="00C95111">
      <w:pPr>
        <w:pStyle w:val="Odsekzoznamu"/>
        <w:numPr>
          <w:ilvl w:val="0"/>
          <w:numId w:val="4"/>
        </w:numPr>
        <w:jc w:val="both"/>
        <w:rPr>
          <w:color w:val="2E74B5" w:themeColor="accent1" w:themeShade="BF"/>
          <w:sz w:val="24"/>
          <w:szCs w:val="24"/>
        </w:rPr>
      </w:pPr>
      <w:r w:rsidRPr="00C95111">
        <w:rPr>
          <w:color w:val="2E74B5" w:themeColor="accent1" w:themeShade="BF"/>
          <w:sz w:val="24"/>
          <w:szCs w:val="24"/>
        </w:rPr>
        <w:t xml:space="preserve">in accordance with § 21(5) of the Quality Assurance Act, the evaluation report sets out the facts on which its conclusions are based, </w:t>
      </w:r>
    </w:p>
    <w:p w:rsidR="00C95111" w:rsidRDefault="00C95111" w:rsidP="00C95111">
      <w:pPr>
        <w:pStyle w:val="Odsekzoznamu"/>
        <w:numPr>
          <w:ilvl w:val="0"/>
          <w:numId w:val="4"/>
        </w:numPr>
        <w:jc w:val="both"/>
        <w:rPr>
          <w:color w:val="2E74B5" w:themeColor="accent1" w:themeShade="BF"/>
          <w:sz w:val="24"/>
          <w:szCs w:val="24"/>
        </w:rPr>
      </w:pPr>
      <w:r w:rsidRPr="00C95111">
        <w:rPr>
          <w:color w:val="2E74B5" w:themeColor="accent1" w:themeShade="BF"/>
          <w:sz w:val="24"/>
          <w:szCs w:val="24"/>
        </w:rPr>
        <w:t xml:space="preserve">the evaluation report sets out, in accordance with § 21(5) of the Quality Assurance Act, the process followed in evaluating that evidence, </w:t>
      </w:r>
    </w:p>
    <w:p w:rsidR="00C95111" w:rsidRPr="00890809" w:rsidRDefault="00C95111" w:rsidP="00C95111">
      <w:pPr>
        <w:pStyle w:val="Odsekzoznamu"/>
        <w:numPr>
          <w:ilvl w:val="0"/>
          <w:numId w:val="4"/>
        </w:numPr>
        <w:jc w:val="both"/>
        <w:rPr>
          <w:b/>
          <w:color w:val="2E74B5" w:themeColor="accent1" w:themeShade="BF"/>
          <w:sz w:val="24"/>
          <w:szCs w:val="24"/>
          <w:u w:val="single"/>
        </w:rPr>
      </w:pPr>
      <w:r w:rsidRPr="00C95111">
        <w:rPr>
          <w:color w:val="2E74B5" w:themeColor="accent1" w:themeShade="BF"/>
          <w:sz w:val="24"/>
          <w:szCs w:val="24"/>
        </w:rPr>
        <w:t xml:space="preserve">the evaluation report evaluates, in accordance with § 21(5) of the Quality Assurance Act, the degree of fulfilment of the individual </w:t>
      </w:r>
      <w:r w:rsidRPr="00C95111">
        <w:rPr>
          <w:b/>
          <w:color w:val="2E74B5" w:themeColor="accent1" w:themeShade="BF"/>
          <w:sz w:val="24"/>
          <w:szCs w:val="24"/>
          <w:u w:val="single"/>
        </w:rPr>
        <w:t>Standards for the Internal Quality Assurance System for Higher Education</w:t>
      </w:r>
      <w:r w:rsidRPr="00C95111">
        <w:rPr>
          <w:color w:val="2E74B5" w:themeColor="accent1" w:themeShade="BF"/>
          <w:sz w:val="24"/>
          <w:szCs w:val="24"/>
        </w:rPr>
        <w:t xml:space="preserve"> (hereinafter referred to as the '</w:t>
      </w:r>
      <w:r>
        <w:rPr>
          <w:color w:val="2E74B5" w:themeColor="accent1" w:themeShade="BF"/>
          <w:sz w:val="24"/>
          <w:szCs w:val="24"/>
        </w:rPr>
        <w:t>Standards for the Internal System</w:t>
      </w:r>
      <w:r w:rsidRPr="00C95111">
        <w:rPr>
          <w:color w:val="2E74B5" w:themeColor="accent1" w:themeShade="BF"/>
          <w:sz w:val="24"/>
          <w:szCs w:val="24"/>
        </w:rPr>
        <w:t>'), and in this evaluation, in accordance with § 24(9) of the Quality Assurance Act, this evaluation takes into account the ful</w:t>
      </w:r>
      <w:r w:rsidR="00890809">
        <w:rPr>
          <w:color w:val="2E74B5" w:themeColor="accent1" w:themeShade="BF"/>
          <w:sz w:val="24"/>
          <w:szCs w:val="24"/>
        </w:rPr>
        <w:t xml:space="preserve">filment of the </w:t>
      </w:r>
      <w:r w:rsidR="00890809" w:rsidRPr="00890809">
        <w:rPr>
          <w:b/>
          <w:color w:val="2E74B5" w:themeColor="accent1" w:themeShade="BF"/>
          <w:sz w:val="24"/>
          <w:szCs w:val="24"/>
          <w:u w:val="single"/>
        </w:rPr>
        <w:t>Standards for</w:t>
      </w:r>
      <w:r w:rsidRPr="00890809">
        <w:rPr>
          <w:b/>
          <w:color w:val="2E74B5" w:themeColor="accent1" w:themeShade="BF"/>
          <w:sz w:val="24"/>
          <w:szCs w:val="24"/>
          <w:u w:val="single"/>
        </w:rPr>
        <w:t xml:space="preserve"> Study Programme </w:t>
      </w:r>
      <w:r w:rsidRPr="00C95111">
        <w:rPr>
          <w:color w:val="2E74B5" w:themeColor="accent1" w:themeShade="BF"/>
          <w:sz w:val="24"/>
          <w:szCs w:val="24"/>
        </w:rPr>
        <w:t xml:space="preserve">and, if the higher education institution has been granted accreditation of the </w:t>
      </w:r>
      <w:proofErr w:type="spellStart"/>
      <w:r w:rsidRPr="00C95111">
        <w:rPr>
          <w:color w:val="2E74B5" w:themeColor="accent1" w:themeShade="BF"/>
          <w:sz w:val="24"/>
          <w:szCs w:val="24"/>
        </w:rPr>
        <w:t>habilitation</w:t>
      </w:r>
      <w:proofErr w:type="spellEnd"/>
      <w:r w:rsidRPr="00C95111">
        <w:rPr>
          <w:color w:val="2E74B5" w:themeColor="accent1" w:themeShade="BF"/>
          <w:sz w:val="24"/>
          <w:szCs w:val="24"/>
        </w:rPr>
        <w:t xml:space="preserve"> proce</w:t>
      </w:r>
      <w:r w:rsidR="00890809">
        <w:rPr>
          <w:color w:val="2E74B5" w:themeColor="accent1" w:themeShade="BF"/>
          <w:sz w:val="24"/>
          <w:szCs w:val="24"/>
        </w:rPr>
        <w:t>e</w:t>
      </w:r>
      <w:r w:rsidRPr="00C95111">
        <w:rPr>
          <w:color w:val="2E74B5" w:themeColor="accent1" w:themeShade="BF"/>
          <w:sz w:val="24"/>
          <w:szCs w:val="24"/>
        </w:rPr>
        <w:t>d</w:t>
      </w:r>
      <w:r w:rsidR="00890809">
        <w:rPr>
          <w:color w:val="2E74B5" w:themeColor="accent1" w:themeShade="BF"/>
          <w:sz w:val="24"/>
          <w:szCs w:val="24"/>
        </w:rPr>
        <w:t>ing</w:t>
      </w:r>
      <w:r w:rsidRPr="00C95111">
        <w:rPr>
          <w:color w:val="2E74B5" w:themeColor="accent1" w:themeShade="BF"/>
          <w:sz w:val="24"/>
          <w:szCs w:val="24"/>
        </w:rPr>
        <w:t xml:space="preserve"> or accreditation of the inauguration proce</w:t>
      </w:r>
      <w:r w:rsidR="00890809">
        <w:rPr>
          <w:color w:val="2E74B5" w:themeColor="accent1" w:themeShade="BF"/>
          <w:sz w:val="24"/>
          <w:szCs w:val="24"/>
        </w:rPr>
        <w:t>e</w:t>
      </w:r>
      <w:r w:rsidRPr="00C95111">
        <w:rPr>
          <w:color w:val="2E74B5" w:themeColor="accent1" w:themeShade="BF"/>
          <w:sz w:val="24"/>
          <w:szCs w:val="24"/>
        </w:rPr>
        <w:t>d</w:t>
      </w:r>
      <w:r w:rsidR="00890809">
        <w:rPr>
          <w:color w:val="2E74B5" w:themeColor="accent1" w:themeShade="BF"/>
          <w:sz w:val="24"/>
          <w:szCs w:val="24"/>
        </w:rPr>
        <w:t>ing</w:t>
      </w:r>
      <w:r w:rsidRPr="00C95111">
        <w:rPr>
          <w:color w:val="2E74B5" w:themeColor="accent1" w:themeShade="BF"/>
          <w:sz w:val="24"/>
          <w:szCs w:val="24"/>
        </w:rPr>
        <w:t xml:space="preserve">, it also takes into account the fulfilment of the </w:t>
      </w:r>
      <w:r w:rsidRPr="00890809">
        <w:rPr>
          <w:b/>
          <w:color w:val="2E74B5" w:themeColor="accent1" w:themeShade="BF"/>
          <w:sz w:val="24"/>
          <w:szCs w:val="24"/>
          <w:u w:val="single"/>
        </w:rPr>
        <w:t xml:space="preserve">Standards for the </w:t>
      </w:r>
      <w:proofErr w:type="spellStart"/>
      <w:r w:rsidR="00890809">
        <w:rPr>
          <w:b/>
          <w:color w:val="2E74B5" w:themeColor="accent1" w:themeShade="BF"/>
          <w:sz w:val="24"/>
          <w:szCs w:val="24"/>
          <w:u w:val="single"/>
        </w:rPr>
        <w:t>H</w:t>
      </w:r>
      <w:r w:rsidRPr="00890809">
        <w:rPr>
          <w:b/>
          <w:color w:val="2E74B5" w:themeColor="accent1" w:themeShade="BF"/>
          <w:sz w:val="24"/>
          <w:szCs w:val="24"/>
          <w:u w:val="single"/>
        </w:rPr>
        <w:t>abilitation</w:t>
      </w:r>
      <w:proofErr w:type="spellEnd"/>
      <w:r w:rsidRPr="00890809">
        <w:rPr>
          <w:b/>
          <w:color w:val="2E74B5" w:themeColor="accent1" w:themeShade="BF"/>
          <w:sz w:val="24"/>
          <w:szCs w:val="24"/>
          <w:u w:val="single"/>
        </w:rPr>
        <w:t xml:space="preserve"> </w:t>
      </w:r>
      <w:r w:rsidR="00890809">
        <w:rPr>
          <w:b/>
          <w:color w:val="2E74B5" w:themeColor="accent1" w:themeShade="BF"/>
          <w:sz w:val="24"/>
          <w:szCs w:val="24"/>
          <w:u w:val="single"/>
        </w:rPr>
        <w:t xml:space="preserve">Proceedings </w:t>
      </w:r>
      <w:r w:rsidRPr="00890809">
        <w:rPr>
          <w:b/>
          <w:color w:val="2E74B5" w:themeColor="accent1" w:themeShade="BF"/>
          <w:sz w:val="24"/>
          <w:szCs w:val="24"/>
          <w:u w:val="single"/>
        </w:rPr>
        <w:t xml:space="preserve">and the </w:t>
      </w:r>
      <w:r w:rsidR="00890809">
        <w:rPr>
          <w:b/>
          <w:color w:val="2E74B5" w:themeColor="accent1" w:themeShade="BF"/>
          <w:sz w:val="24"/>
          <w:szCs w:val="24"/>
          <w:u w:val="single"/>
        </w:rPr>
        <w:t>I</w:t>
      </w:r>
      <w:r w:rsidRPr="00890809">
        <w:rPr>
          <w:b/>
          <w:color w:val="2E74B5" w:themeColor="accent1" w:themeShade="BF"/>
          <w:sz w:val="24"/>
          <w:szCs w:val="24"/>
          <w:u w:val="single"/>
        </w:rPr>
        <w:t xml:space="preserve">nauguration </w:t>
      </w:r>
      <w:r w:rsidR="00890809">
        <w:rPr>
          <w:b/>
          <w:color w:val="2E74B5" w:themeColor="accent1" w:themeShade="BF"/>
          <w:sz w:val="24"/>
          <w:szCs w:val="24"/>
          <w:u w:val="single"/>
        </w:rPr>
        <w:t>P</w:t>
      </w:r>
      <w:r w:rsidRPr="00890809">
        <w:rPr>
          <w:b/>
          <w:color w:val="2E74B5" w:themeColor="accent1" w:themeShade="BF"/>
          <w:sz w:val="24"/>
          <w:szCs w:val="24"/>
          <w:u w:val="single"/>
        </w:rPr>
        <w:t>roce</w:t>
      </w:r>
      <w:r w:rsidR="00890809">
        <w:rPr>
          <w:b/>
          <w:color w:val="2E74B5" w:themeColor="accent1" w:themeShade="BF"/>
          <w:sz w:val="24"/>
          <w:szCs w:val="24"/>
          <w:u w:val="single"/>
        </w:rPr>
        <w:t>edings,</w:t>
      </w:r>
      <w:r w:rsidRPr="00890809">
        <w:rPr>
          <w:b/>
          <w:color w:val="2E74B5" w:themeColor="accent1" w:themeShade="BF"/>
          <w:sz w:val="24"/>
          <w:szCs w:val="24"/>
          <w:u w:val="single"/>
        </w:rPr>
        <w:t xml:space="preserve"> </w:t>
      </w:r>
    </w:p>
    <w:p w:rsidR="00890809" w:rsidRDefault="00890809" w:rsidP="00890809">
      <w:pPr>
        <w:pStyle w:val="Odsekzoznamu"/>
        <w:numPr>
          <w:ilvl w:val="0"/>
          <w:numId w:val="4"/>
        </w:numPr>
        <w:jc w:val="both"/>
        <w:rPr>
          <w:color w:val="2E74B5" w:themeColor="accent1" w:themeShade="BF"/>
          <w:sz w:val="24"/>
          <w:szCs w:val="24"/>
        </w:rPr>
      </w:pPr>
      <w:r w:rsidRPr="00C95111">
        <w:rPr>
          <w:color w:val="2E74B5" w:themeColor="accent1" w:themeShade="BF"/>
          <w:sz w:val="24"/>
          <w:szCs w:val="24"/>
        </w:rPr>
        <w:t xml:space="preserve"> </w:t>
      </w:r>
      <w:r w:rsidR="00C95111" w:rsidRPr="00C95111">
        <w:rPr>
          <w:color w:val="2E74B5" w:themeColor="accent1" w:themeShade="BF"/>
          <w:sz w:val="24"/>
          <w:szCs w:val="24"/>
        </w:rPr>
        <w:t xml:space="preserve">the evaluation report shall indicate the identified shortcomings in accordance with </w:t>
      </w:r>
      <w:r w:rsidRPr="00CD3EF2">
        <w:rPr>
          <w:color w:val="2E74B5" w:themeColor="accent1" w:themeShade="BF"/>
          <w:sz w:val="24"/>
          <w:szCs w:val="24"/>
        </w:rPr>
        <w:t>§</w:t>
      </w:r>
      <w:r w:rsidR="00C95111" w:rsidRPr="00C95111">
        <w:rPr>
          <w:color w:val="2E74B5" w:themeColor="accent1" w:themeShade="BF"/>
          <w:sz w:val="24"/>
          <w:szCs w:val="24"/>
        </w:rPr>
        <w:t xml:space="preserve"> 21(5) of the Quality Assurance Act, </w:t>
      </w:r>
    </w:p>
    <w:p w:rsidR="00890809" w:rsidRDefault="00890809" w:rsidP="00890809">
      <w:pPr>
        <w:pStyle w:val="Odsekzoznamu"/>
        <w:numPr>
          <w:ilvl w:val="0"/>
          <w:numId w:val="4"/>
        </w:numPr>
        <w:jc w:val="both"/>
        <w:rPr>
          <w:color w:val="2E74B5" w:themeColor="accent1" w:themeShade="BF"/>
          <w:sz w:val="24"/>
          <w:szCs w:val="24"/>
        </w:rPr>
      </w:pPr>
      <w:r w:rsidRPr="00890809">
        <w:rPr>
          <w:color w:val="2E74B5" w:themeColor="accent1" w:themeShade="BF"/>
          <w:sz w:val="24"/>
          <w:szCs w:val="24"/>
        </w:rPr>
        <w:t xml:space="preserve">the evaluation report contains recommendations for the </w:t>
      </w:r>
      <w:r>
        <w:rPr>
          <w:color w:val="2E74B5" w:themeColor="accent1" w:themeShade="BF"/>
          <w:sz w:val="24"/>
          <w:szCs w:val="24"/>
        </w:rPr>
        <w:t>HEI</w:t>
      </w:r>
      <w:r w:rsidRPr="00890809">
        <w:rPr>
          <w:color w:val="2E74B5" w:themeColor="accent1" w:themeShade="BF"/>
          <w:sz w:val="24"/>
          <w:szCs w:val="24"/>
        </w:rPr>
        <w:t xml:space="preserve"> (participant) in accordance with </w:t>
      </w:r>
      <w:r w:rsidRPr="00CD3EF2">
        <w:rPr>
          <w:color w:val="2E74B5" w:themeColor="accent1" w:themeShade="BF"/>
          <w:sz w:val="24"/>
          <w:szCs w:val="24"/>
        </w:rPr>
        <w:t>§</w:t>
      </w:r>
      <w:r w:rsidRPr="00890809">
        <w:rPr>
          <w:color w:val="2E74B5" w:themeColor="accent1" w:themeShade="BF"/>
          <w:sz w:val="24"/>
          <w:szCs w:val="24"/>
        </w:rPr>
        <w:t xml:space="preserve"> 21(5) of the Quality Assurance Act, </w:t>
      </w:r>
    </w:p>
    <w:p w:rsidR="00890809" w:rsidRDefault="00890809" w:rsidP="00890809">
      <w:pPr>
        <w:pStyle w:val="Odsekzoznamu"/>
        <w:numPr>
          <w:ilvl w:val="0"/>
          <w:numId w:val="4"/>
        </w:numPr>
        <w:jc w:val="both"/>
        <w:rPr>
          <w:color w:val="2E74B5" w:themeColor="accent1" w:themeShade="BF"/>
          <w:sz w:val="24"/>
          <w:szCs w:val="24"/>
        </w:rPr>
      </w:pPr>
      <w:r w:rsidRPr="00890809">
        <w:rPr>
          <w:color w:val="2E74B5" w:themeColor="accent1" w:themeShade="BF"/>
          <w:sz w:val="24"/>
          <w:szCs w:val="24"/>
        </w:rPr>
        <w:t>the evaluation report contains a decision</w:t>
      </w:r>
      <w:r>
        <w:rPr>
          <w:color w:val="2E74B5" w:themeColor="accent1" w:themeShade="BF"/>
          <w:sz w:val="24"/>
          <w:szCs w:val="24"/>
        </w:rPr>
        <w:t xml:space="preserve"> proposal</w:t>
      </w:r>
      <w:r w:rsidRPr="00890809">
        <w:rPr>
          <w:color w:val="2E74B5" w:themeColor="accent1" w:themeShade="BF"/>
          <w:sz w:val="24"/>
          <w:szCs w:val="24"/>
        </w:rPr>
        <w:t xml:space="preserve"> in accordance with § 21(5) and § 25(1) of the Quality Assurance Act, stating whether or not the internal system and its implementation is in compliance with the </w:t>
      </w:r>
      <w:r>
        <w:rPr>
          <w:color w:val="2E74B5" w:themeColor="accent1" w:themeShade="BF"/>
          <w:sz w:val="24"/>
          <w:szCs w:val="24"/>
        </w:rPr>
        <w:t>S</w:t>
      </w:r>
      <w:r w:rsidRPr="00890809">
        <w:rPr>
          <w:color w:val="2E74B5" w:themeColor="accent1" w:themeShade="BF"/>
          <w:sz w:val="24"/>
          <w:szCs w:val="24"/>
        </w:rPr>
        <w:t xml:space="preserve">tandards for the </w:t>
      </w:r>
      <w:r>
        <w:rPr>
          <w:color w:val="2E74B5" w:themeColor="accent1" w:themeShade="BF"/>
          <w:sz w:val="24"/>
          <w:szCs w:val="24"/>
        </w:rPr>
        <w:t>I</w:t>
      </w:r>
      <w:r w:rsidRPr="00890809">
        <w:rPr>
          <w:color w:val="2E74B5" w:themeColor="accent1" w:themeShade="BF"/>
          <w:sz w:val="24"/>
          <w:szCs w:val="24"/>
        </w:rPr>
        <w:t xml:space="preserve">nternal </w:t>
      </w:r>
      <w:r>
        <w:rPr>
          <w:color w:val="2E74B5" w:themeColor="accent1" w:themeShade="BF"/>
          <w:sz w:val="24"/>
          <w:szCs w:val="24"/>
        </w:rPr>
        <w:t>S</w:t>
      </w:r>
      <w:r w:rsidRPr="00890809">
        <w:rPr>
          <w:color w:val="2E74B5" w:themeColor="accent1" w:themeShade="BF"/>
          <w:sz w:val="24"/>
          <w:szCs w:val="24"/>
        </w:rPr>
        <w:t>ystem and specifying the study</w:t>
      </w:r>
      <w:r>
        <w:rPr>
          <w:color w:val="2E74B5" w:themeColor="accent1" w:themeShade="BF"/>
          <w:sz w:val="24"/>
          <w:szCs w:val="24"/>
        </w:rPr>
        <w:t xml:space="preserve"> fields</w:t>
      </w:r>
      <w:r w:rsidRPr="00890809">
        <w:rPr>
          <w:color w:val="2E74B5" w:themeColor="accent1" w:themeShade="BF"/>
          <w:sz w:val="24"/>
          <w:szCs w:val="24"/>
        </w:rPr>
        <w:t xml:space="preserve"> (according to the Decree of the Ministry of Education, Science, Research and Sport of the Slovak Republic No. 244/2019 Coll. on the </w:t>
      </w:r>
      <w:r>
        <w:rPr>
          <w:color w:val="2E74B5" w:themeColor="accent1" w:themeShade="BF"/>
          <w:sz w:val="24"/>
          <w:szCs w:val="24"/>
        </w:rPr>
        <w:t>S</w:t>
      </w:r>
      <w:r w:rsidRPr="00890809">
        <w:rPr>
          <w:color w:val="2E74B5" w:themeColor="accent1" w:themeShade="BF"/>
          <w:sz w:val="24"/>
          <w:szCs w:val="24"/>
        </w:rPr>
        <w:t xml:space="preserve">ystem of study </w:t>
      </w:r>
      <w:r>
        <w:rPr>
          <w:color w:val="2E74B5" w:themeColor="accent1" w:themeShade="BF"/>
          <w:sz w:val="24"/>
          <w:szCs w:val="24"/>
        </w:rPr>
        <w:t xml:space="preserve">fields </w:t>
      </w:r>
      <w:r w:rsidRPr="00890809">
        <w:rPr>
          <w:color w:val="2E74B5" w:themeColor="accent1" w:themeShade="BF"/>
          <w:sz w:val="24"/>
          <w:szCs w:val="24"/>
        </w:rPr>
        <w:t xml:space="preserve">of the Slovak Republic, as amended) and the degrees in which the </w:t>
      </w:r>
      <w:r>
        <w:rPr>
          <w:color w:val="2E74B5" w:themeColor="accent1" w:themeShade="BF"/>
          <w:sz w:val="24"/>
          <w:szCs w:val="24"/>
        </w:rPr>
        <w:t>HEI</w:t>
      </w:r>
      <w:r w:rsidRPr="00890809">
        <w:rPr>
          <w:color w:val="2E74B5" w:themeColor="accent1" w:themeShade="BF"/>
          <w:sz w:val="24"/>
          <w:szCs w:val="24"/>
        </w:rPr>
        <w:t xml:space="preserve"> is entitled to </w:t>
      </w:r>
      <w:r>
        <w:rPr>
          <w:color w:val="2E74B5" w:themeColor="accent1" w:themeShade="BF"/>
          <w:sz w:val="24"/>
          <w:szCs w:val="24"/>
        </w:rPr>
        <w:t>design</w:t>
      </w:r>
      <w:r w:rsidRPr="00890809">
        <w:rPr>
          <w:color w:val="2E74B5" w:themeColor="accent1" w:themeShade="BF"/>
          <w:sz w:val="24"/>
          <w:szCs w:val="24"/>
        </w:rPr>
        <w:t xml:space="preserve">, implement and modify study programmes; whereas in the case where the decision </w:t>
      </w:r>
      <w:r>
        <w:rPr>
          <w:color w:val="2E74B5" w:themeColor="accent1" w:themeShade="BF"/>
          <w:sz w:val="24"/>
          <w:szCs w:val="24"/>
        </w:rPr>
        <w:t xml:space="preserve">proposal </w:t>
      </w:r>
      <w:r w:rsidRPr="00890809">
        <w:rPr>
          <w:color w:val="2E74B5" w:themeColor="accent1" w:themeShade="BF"/>
          <w:sz w:val="24"/>
          <w:szCs w:val="24"/>
        </w:rPr>
        <w:t xml:space="preserve">states that the internal system and its implementation do not comply with the </w:t>
      </w:r>
      <w:r>
        <w:rPr>
          <w:color w:val="2E74B5" w:themeColor="accent1" w:themeShade="BF"/>
          <w:sz w:val="24"/>
          <w:szCs w:val="24"/>
        </w:rPr>
        <w:t>S</w:t>
      </w:r>
      <w:r w:rsidRPr="00890809">
        <w:rPr>
          <w:color w:val="2E74B5" w:themeColor="accent1" w:themeShade="BF"/>
          <w:sz w:val="24"/>
          <w:szCs w:val="24"/>
        </w:rPr>
        <w:t>tandards for the</w:t>
      </w:r>
      <w:r>
        <w:rPr>
          <w:color w:val="2E74B5" w:themeColor="accent1" w:themeShade="BF"/>
          <w:sz w:val="24"/>
          <w:szCs w:val="24"/>
        </w:rPr>
        <w:t xml:space="preserve"> Internal S</w:t>
      </w:r>
      <w:r w:rsidRPr="00890809">
        <w:rPr>
          <w:color w:val="2E74B5" w:themeColor="accent1" w:themeShade="BF"/>
          <w:sz w:val="24"/>
          <w:szCs w:val="24"/>
        </w:rPr>
        <w:t xml:space="preserve">ystem, the evaluation report contains a proposal for corrective measures pursuant to </w:t>
      </w:r>
      <w:r w:rsidRPr="00CD3EF2">
        <w:rPr>
          <w:color w:val="2E74B5" w:themeColor="accent1" w:themeShade="BF"/>
          <w:sz w:val="24"/>
          <w:szCs w:val="24"/>
        </w:rPr>
        <w:t>§</w:t>
      </w:r>
      <w:r w:rsidRPr="00890809">
        <w:rPr>
          <w:color w:val="2E74B5" w:themeColor="accent1" w:themeShade="BF"/>
          <w:sz w:val="24"/>
          <w:szCs w:val="24"/>
        </w:rPr>
        <w:t xml:space="preserve"> 25(2) of the Act on Quality Assurance to be imposed on the </w:t>
      </w:r>
      <w:r>
        <w:rPr>
          <w:color w:val="2E74B5" w:themeColor="accent1" w:themeShade="BF"/>
          <w:sz w:val="24"/>
          <w:szCs w:val="24"/>
        </w:rPr>
        <w:t>HEI</w:t>
      </w:r>
      <w:r w:rsidRPr="00890809">
        <w:rPr>
          <w:color w:val="2E74B5" w:themeColor="accent1" w:themeShade="BF"/>
          <w:sz w:val="24"/>
          <w:szCs w:val="24"/>
        </w:rPr>
        <w:t xml:space="preserve"> (</w:t>
      </w:r>
      <w:r w:rsidRPr="00CD3EF2">
        <w:rPr>
          <w:color w:val="2E74B5" w:themeColor="accent1" w:themeShade="BF"/>
          <w:sz w:val="24"/>
          <w:szCs w:val="24"/>
        </w:rPr>
        <w:t>§</w:t>
      </w:r>
      <w:r w:rsidRPr="00890809">
        <w:rPr>
          <w:color w:val="2E74B5" w:themeColor="accent1" w:themeShade="BF"/>
          <w:sz w:val="24"/>
          <w:szCs w:val="24"/>
        </w:rPr>
        <w:t xml:space="preserve"> 26 et seq. of the Act on Quality Assurance), </w:t>
      </w:r>
    </w:p>
    <w:p w:rsidR="00890809" w:rsidRDefault="00890809" w:rsidP="00890809">
      <w:pPr>
        <w:pStyle w:val="Odsekzoznamu"/>
        <w:numPr>
          <w:ilvl w:val="0"/>
          <w:numId w:val="4"/>
        </w:numPr>
        <w:jc w:val="both"/>
        <w:rPr>
          <w:color w:val="2E74B5" w:themeColor="accent1" w:themeShade="BF"/>
          <w:sz w:val="24"/>
          <w:szCs w:val="24"/>
        </w:rPr>
      </w:pPr>
      <w:r w:rsidRPr="00890809">
        <w:rPr>
          <w:color w:val="2E74B5" w:themeColor="accent1" w:themeShade="BF"/>
          <w:sz w:val="24"/>
          <w:szCs w:val="24"/>
        </w:rPr>
        <w:t xml:space="preserve">the names and surnames of the persons who prepared the evaluation report, in accordance with </w:t>
      </w:r>
      <w:r w:rsidRPr="00CD3EF2">
        <w:rPr>
          <w:color w:val="2E74B5" w:themeColor="accent1" w:themeShade="BF"/>
          <w:sz w:val="24"/>
          <w:szCs w:val="24"/>
        </w:rPr>
        <w:t>§</w:t>
      </w:r>
      <w:r w:rsidRPr="00890809">
        <w:rPr>
          <w:color w:val="2E74B5" w:themeColor="accent1" w:themeShade="BF"/>
          <w:sz w:val="24"/>
          <w:szCs w:val="24"/>
        </w:rPr>
        <w:t xml:space="preserve"> 21(5) of the Quality Assurance Act, are indicated in the evaluation report, </w:t>
      </w:r>
    </w:p>
    <w:p w:rsidR="00890809" w:rsidRDefault="00890809" w:rsidP="00890809">
      <w:pPr>
        <w:pStyle w:val="Odsekzoznamu"/>
        <w:numPr>
          <w:ilvl w:val="0"/>
          <w:numId w:val="4"/>
        </w:numPr>
        <w:jc w:val="both"/>
        <w:rPr>
          <w:color w:val="2E74B5" w:themeColor="accent1" w:themeShade="BF"/>
          <w:sz w:val="24"/>
          <w:szCs w:val="24"/>
        </w:rPr>
      </w:pPr>
      <w:r w:rsidRPr="00890809">
        <w:rPr>
          <w:color w:val="2E74B5" w:themeColor="accent1" w:themeShade="BF"/>
          <w:sz w:val="24"/>
          <w:szCs w:val="24"/>
        </w:rPr>
        <w:t xml:space="preserve">the evaluation report is delivered in accordance with </w:t>
      </w:r>
      <w:r w:rsidRPr="00CD3EF2">
        <w:rPr>
          <w:color w:val="2E74B5" w:themeColor="accent1" w:themeShade="BF"/>
          <w:sz w:val="24"/>
          <w:szCs w:val="24"/>
        </w:rPr>
        <w:t>§</w:t>
      </w:r>
      <w:r w:rsidRPr="00890809">
        <w:rPr>
          <w:color w:val="2E74B5" w:themeColor="accent1" w:themeShade="BF"/>
          <w:sz w:val="24"/>
          <w:szCs w:val="24"/>
        </w:rPr>
        <w:t xml:space="preserve"> 24(6) of the Quality Assurance Act within a time limit set by the Agency in agreement with the </w:t>
      </w:r>
      <w:r>
        <w:rPr>
          <w:color w:val="2E74B5" w:themeColor="accent1" w:themeShade="BF"/>
          <w:sz w:val="24"/>
          <w:szCs w:val="24"/>
        </w:rPr>
        <w:t>HEI</w:t>
      </w:r>
      <w:r w:rsidRPr="00890809">
        <w:rPr>
          <w:color w:val="2E74B5" w:themeColor="accent1" w:themeShade="BF"/>
          <w:sz w:val="24"/>
          <w:szCs w:val="24"/>
        </w:rPr>
        <w:t xml:space="preserve"> and the relevant legal entity,</w:t>
      </w:r>
    </w:p>
    <w:p w:rsidR="00890809" w:rsidRPr="00890809" w:rsidRDefault="00890809" w:rsidP="00890809">
      <w:pPr>
        <w:pStyle w:val="Odsekzoznamu"/>
        <w:numPr>
          <w:ilvl w:val="0"/>
          <w:numId w:val="4"/>
        </w:numPr>
        <w:jc w:val="both"/>
        <w:rPr>
          <w:color w:val="2E74B5" w:themeColor="accent1" w:themeShade="BF"/>
          <w:sz w:val="24"/>
          <w:szCs w:val="24"/>
        </w:rPr>
      </w:pPr>
      <w:r w:rsidRPr="00890809">
        <w:rPr>
          <w:color w:val="2E74B5" w:themeColor="accent1" w:themeShade="BF"/>
          <w:sz w:val="24"/>
          <w:szCs w:val="24"/>
        </w:rPr>
        <w:t>the evaluation report is delivered to the Agency in the Slovak language</w:t>
      </w:r>
      <w:r>
        <w:rPr>
          <w:color w:val="2E74B5" w:themeColor="accent1" w:themeShade="BF"/>
          <w:sz w:val="24"/>
          <w:szCs w:val="24"/>
        </w:rPr>
        <w:t>.</w:t>
      </w:r>
    </w:p>
    <w:p w:rsidR="002714B2" w:rsidRPr="002714B2" w:rsidRDefault="002714B2" w:rsidP="002714B2">
      <w:pPr>
        <w:shd w:val="clear" w:color="auto" w:fill="FFFFFF"/>
        <w:spacing w:after="72" w:line="240" w:lineRule="auto"/>
        <w:textAlignment w:val="baseline"/>
        <w:rPr>
          <w:rFonts w:ascii="inherit" w:eastAsia="Times New Roman" w:hAnsi="inherit" w:cs="Arial"/>
          <w:color w:val="3D3D3D"/>
          <w:sz w:val="23"/>
          <w:szCs w:val="23"/>
          <w:lang w:val="sk-SK" w:eastAsia="sk-SK"/>
        </w:rPr>
      </w:pPr>
    </w:p>
    <w:p w:rsidR="002714B2" w:rsidRPr="002714B2" w:rsidRDefault="002714B2" w:rsidP="002714B2">
      <w:pPr>
        <w:shd w:val="clear" w:color="auto" w:fill="FFFFFF"/>
        <w:spacing w:after="72" w:line="240" w:lineRule="auto"/>
        <w:textAlignment w:val="baseline"/>
        <w:rPr>
          <w:rFonts w:ascii="inherit" w:eastAsia="Times New Roman" w:hAnsi="inherit" w:cs="Arial"/>
          <w:color w:val="3D3D3D"/>
          <w:sz w:val="23"/>
          <w:szCs w:val="23"/>
          <w:lang w:val="sk-SK" w:eastAsia="sk-SK"/>
        </w:rPr>
      </w:pPr>
    </w:p>
    <w:p w:rsidR="00C84A24" w:rsidRPr="002B25D5" w:rsidRDefault="00C84A24" w:rsidP="00C84A24">
      <w:pPr>
        <w:jc w:val="both"/>
        <w:rPr>
          <w:color w:val="2E74B5" w:themeColor="accent1" w:themeShade="BF"/>
          <w:sz w:val="24"/>
          <w:szCs w:val="24"/>
        </w:rPr>
      </w:pPr>
      <w:bookmarkStart w:id="0" w:name="_GoBack"/>
      <w:bookmarkEnd w:id="0"/>
    </w:p>
    <w:sectPr w:rsidR="00C84A24" w:rsidRPr="002B25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8C8" w:rsidRDefault="00B858C8" w:rsidP="00CD3EF2">
      <w:pPr>
        <w:spacing w:after="0" w:line="240" w:lineRule="auto"/>
      </w:pPr>
      <w:r>
        <w:separator/>
      </w:r>
    </w:p>
  </w:endnote>
  <w:endnote w:type="continuationSeparator" w:id="0">
    <w:p w:rsidR="00B858C8" w:rsidRDefault="00B858C8" w:rsidP="00CD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8C8" w:rsidRDefault="00B858C8" w:rsidP="00CD3EF2">
      <w:pPr>
        <w:spacing w:after="0" w:line="240" w:lineRule="auto"/>
      </w:pPr>
      <w:r>
        <w:separator/>
      </w:r>
    </w:p>
  </w:footnote>
  <w:footnote w:type="continuationSeparator" w:id="0">
    <w:p w:rsidR="00B858C8" w:rsidRDefault="00B858C8" w:rsidP="00CD3EF2">
      <w:pPr>
        <w:spacing w:after="0" w:line="240" w:lineRule="auto"/>
      </w:pPr>
      <w:r>
        <w:continuationSeparator/>
      </w:r>
    </w:p>
  </w:footnote>
  <w:footnote w:id="1">
    <w:p w:rsidR="00C95111" w:rsidRPr="00CD3EF2" w:rsidRDefault="00C95111" w:rsidP="00C95111">
      <w:pPr>
        <w:pStyle w:val="Textpoznmkypodiarou"/>
        <w:rPr>
          <w:lang w:val="sk-SK"/>
        </w:rPr>
      </w:pPr>
      <w:r>
        <w:rPr>
          <w:rStyle w:val="Odkaznapoznmkupodiarou"/>
        </w:rPr>
        <w:footnoteRef/>
      </w:r>
      <w:r>
        <w:t xml:space="preserve"> </w:t>
      </w:r>
      <w:hyperlink r:id="rId1" w:history="1">
        <w:r>
          <w:rPr>
            <w:rStyle w:val="Hypertextovprepojenie"/>
          </w:rPr>
          <w:t>Key Considerations for Cross-Border Quality Assurance in the European Higher Education Area</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1311"/>
    <w:multiLevelType w:val="hybridMultilevel"/>
    <w:tmpl w:val="A94A0F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96710CC"/>
    <w:multiLevelType w:val="multilevel"/>
    <w:tmpl w:val="041B0025"/>
    <w:lvl w:ilvl="0">
      <w:start w:val="1"/>
      <w:numFmt w:val="decimal"/>
      <w:pStyle w:val="Nadpis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2" w15:restartNumberingAfterBreak="0">
    <w:nsid w:val="48437200"/>
    <w:multiLevelType w:val="hybridMultilevel"/>
    <w:tmpl w:val="4A2E46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F4E2D89"/>
    <w:multiLevelType w:val="multilevel"/>
    <w:tmpl w:val="1B6C5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F2"/>
    <w:rsid w:val="002714B2"/>
    <w:rsid w:val="00295FC8"/>
    <w:rsid w:val="002B25D5"/>
    <w:rsid w:val="002D4CB6"/>
    <w:rsid w:val="003471D9"/>
    <w:rsid w:val="00365596"/>
    <w:rsid w:val="003A69C4"/>
    <w:rsid w:val="004317A7"/>
    <w:rsid w:val="00890809"/>
    <w:rsid w:val="009156A0"/>
    <w:rsid w:val="00B858C8"/>
    <w:rsid w:val="00C84A24"/>
    <w:rsid w:val="00C95111"/>
    <w:rsid w:val="00CD3EF2"/>
    <w:rsid w:val="00F75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1DC3"/>
  <w15:chartTrackingRefBased/>
  <w15:docId w15:val="{A9004D78-44B0-472F-BB4E-44044579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2B25D5"/>
    <w:pPr>
      <w:keepNext/>
      <w:keepLines/>
      <w:numPr>
        <w:numId w:val="2"/>
      </w:numPr>
      <w:spacing w:before="240" w:after="0"/>
      <w:outlineLvl w:val="0"/>
    </w:pPr>
    <w:rPr>
      <w:rFonts w:ascii="Calibri Light" w:eastAsia="Times New Roman" w:hAnsi="Calibri Light" w:cs="Times New Roman"/>
      <w:color w:val="2E74B5"/>
      <w:sz w:val="32"/>
      <w:szCs w:val="32"/>
      <w:lang w:val="sk-SK"/>
    </w:rPr>
  </w:style>
  <w:style w:type="paragraph" w:styleId="Nadpis3">
    <w:name w:val="heading 3"/>
    <w:basedOn w:val="Normlny"/>
    <w:next w:val="Normlny"/>
    <w:link w:val="Nadpis3Char"/>
    <w:uiPriority w:val="9"/>
    <w:unhideWhenUsed/>
    <w:qFormat/>
    <w:rsid w:val="002B25D5"/>
    <w:pPr>
      <w:keepNext/>
      <w:keepLines/>
      <w:numPr>
        <w:ilvl w:val="2"/>
        <w:numId w:val="2"/>
      </w:numPr>
      <w:spacing w:before="40" w:after="40"/>
      <w:outlineLvl w:val="2"/>
    </w:pPr>
    <w:rPr>
      <w:rFonts w:ascii="Calibri" w:eastAsia="Times New Roman" w:hAnsi="Calibri" w:cs="Calibri"/>
      <w:b/>
      <w:bCs/>
      <w:color w:val="000000"/>
      <w:sz w:val="16"/>
      <w:szCs w:val="16"/>
      <w:lang w:val="sk-SK"/>
    </w:rPr>
  </w:style>
  <w:style w:type="paragraph" w:styleId="Nadpis4">
    <w:name w:val="heading 4"/>
    <w:basedOn w:val="Normlny"/>
    <w:next w:val="Normlny"/>
    <w:link w:val="Nadpis4Char"/>
    <w:uiPriority w:val="9"/>
    <w:unhideWhenUsed/>
    <w:qFormat/>
    <w:rsid w:val="002B25D5"/>
    <w:pPr>
      <w:keepNext/>
      <w:keepLines/>
      <w:numPr>
        <w:ilvl w:val="3"/>
        <w:numId w:val="2"/>
      </w:numPr>
      <w:spacing w:before="40" w:after="0"/>
      <w:outlineLvl w:val="3"/>
    </w:pPr>
    <w:rPr>
      <w:rFonts w:ascii="Calibri Light" w:eastAsia="Times New Roman" w:hAnsi="Calibri Light" w:cs="Times New Roman"/>
      <w:i/>
      <w:iCs/>
      <w:color w:val="2E74B5"/>
      <w:lang w:val="sk-SK"/>
    </w:rPr>
  </w:style>
  <w:style w:type="paragraph" w:styleId="Nadpis5">
    <w:name w:val="heading 5"/>
    <w:basedOn w:val="Normlny"/>
    <w:next w:val="Normlny"/>
    <w:link w:val="Nadpis5Char"/>
    <w:uiPriority w:val="9"/>
    <w:semiHidden/>
    <w:unhideWhenUsed/>
    <w:qFormat/>
    <w:rsid w:val="002B25D5"/>
    <w:pPr>
      <w:keepNext/>
      <w:keepLines/>
      <w:numPr>
        <w:ilvl w:val="4"/>
        <w:numId w:val="2"/>
      </w:numPr>
      <w:spacing w:before="40" w:after="0"/>
      <w:outlineLvl w:val="4"/>
    </w:pPr>
    <w:rPr>
      <w:rFonts w:ascii="Calibri Light" w:eastAsia="Times New Roman" w:hAnsi="Calibri Light" w:cs="Times New Roman"/>
      <w:color w:val="2E74B5"/>
      <w:lang w:val="sk-SK"/>
    </w:rPr>
  </w:style>
  <w:style w:type="paragraph" w:styleId="Nadpis6">
    <w:name w:val="heading 6"/>
    <w:basedOn w:val="Normlny"/>
    <w:next w:val="Normlny"/>
    <w:link w:val="Nadpis6Char"/>
    <w:uiPriority w:val="9"/>
    <w:semiHidden/>
    <w:unhideWhenUsed/>
    <w:qFormat/>
    <w:rsid w:val="002B25D5"/>
    <w:pPr>
      <w:keepNext/>
      <w:keepLines/>
      <w:numPr>
        <w:ilvl w:val="5"/>
        <w:numId w:val="2"/>
      </w:numPr>
      <w:spacing w:before="40" w:after="0"/>
      <w:outlineLvl w:val="5"/>
    </w:pPr>
    <w:rPr>
      <w:rFonts w:ascii="Calibri Light" w:eastAsia="Times New Roman" w:hAnsi="Calibri Light" w:cs="Times New Roman"/>
      <w:color w:val="1F4D78"/>
      <w:lang w:val="sk-SK"/>
    </w:rPr>
  </w:style>
  <w:style w:type="paragraph" w:styleId="Nadpis7">
    <w:name w:val="heading 7"/>
    <w:basedOn w:val="Normlny"/>
    <w:next w:val="Normlny"/>
    <w:link w:val="Nadpis7Char"/>
    <w:uiPriority w:val="9"/>
    <w:semiHidden/>
    <w:unhideWhenUsed/>
    <w:qFormat/>
    <w:rsid w:val="002B25D5"/>
    <w:pPr>
      <w:keepNext/>
      <w:keepLines/>
      <w:numPr>
        <w:ilvl w:val="6"/>
        <w:numId w:val="2"/>
      </w:numPr>
      <w:spacing w:before="40" w:after="0"/>
      <w:outlineLvl w:val="6"/>
    </w:pPr>
    <w:rPr>
      <w:rFonts w:ascii="Calibri Light" w:eastAsia="Times New Roman" w:hAnsi="Calibri Light" w:cs="Times New Roman"/>
      <w:i/>
      <w:iCs/>
      <w:color w:val="1F4D78"/>
      <w:lang w:val="sk-SK"/>
    </w:rPr>
  </w:style>
  <w:style w:type="paragraph" w:styleId="Nadpis8">
    <w:name w:val="heading 8"/>
    <w:basedOn w:val="Normlny"/>
    <w:next w:val="Normlny"/>
    <w:link w:val="Nadpis8Char"/>
    <w:uiPriority w:val="9"/>
    <w:semiHidden/>
    <w:unhideWhenUsed/>
    <w:qFormat/>
    <w:rsid w:val="002B25D5"/>
    <w:pPr>
      <w:keepNext/>
      <w:keepLines/>
      <w:numPr>
        <w:ilvl w:val="7"/>
        <w:numId w:val="2"/>
      </w:numPr>
      <w:spacing w:before="40" w:after="0"/>
      <w:outlineLvl w:val="7"/>
    </w:pPr>
    <w:rPr>
      <w:rFonts w:ascii="Calibri Light" w:eastAsia="Times New Roman" w:hAnsi="Calibri Light" w:cs="Times New Roman"/>
      <w:color w:val="272727"/>
      <w:sz w:val="21"/>
      <w:szCs w:val="21"/>
      <w:lang w:val="sk-SK"/>
    </w:rPr>
  </w:style>
  <w:style w:type="paragraph" w:styleId="Nadpis9">
    <w:name w:val="heading 9"/>
    <w:basedOn w:val="Normlny"/>
    <w:next w:val="Normlny"/>
    <w:link w:val="Nadpis9Char"/>
    <w:uiPriority w:val="9"/>
    <w:semiHidden/>
    <w:unhideWhenUsed/>
    <w:qFormat/>
    <w:rsid w:val="002B25D5"/>
    <w:pPr>
      <w:keepNext/>
      <w:keepLines/>
      <w:numPr>
        <w:ilvl w:val="8"/>
        <w:numId w:val="2"/>
      </w:numPr>
      <w:spacing w:before="40" w:after="0"/>
      <w:outlineLvl w:val="8"/>
    </w:pPr>
    <w:rPr>
      <w:rFonts w:ascii="Calibri Light" w:eastAsia="Times New Roman" w:hAnsi="Calibri Light" w:cs="Times New Roman"/>
      <w:i/>
      <w:iCs/>
      <w:color w:val="272727"/>
      <w:sz w:val="21"/>
      <w:szCs w:val="21"/>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CD3EF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D3EF2"/>
    <w:rPr>
      <w:sz w:val="20"/>
      <w:szCs w:val="20"/>
    </w:rPr>
  </w:style>
  <w:style w:type="character" w:styleId="Odkaznapoznmkupodiarou">
    <w:name w:val="footnote reference"/>
    <w:basedOn w:val="Predvolenpsmoodseku"/>
    <w:uiPriority w:val="99"/>
    <w:semiHidden/>
    <w:unhideWhenUsed/>
    <w:rsid w:val="00CD3EF2"/>
    <w:rPr>
      <w:vertAlign w:val="superscript"/>
    </w:rPr>
  </w:style>
  <w:style w:type="character" w:styleId="Hypertextovprepojenie">
    <w:name w:val="Hyperlink"/>
    <w:basedOn w:val="Predvolenpsmoodseku"/>
    <w:uiPriority w:val="99"/>
    <w:unhideWhenUsed/>
    <w:rsid w:val="00CD3EF2"/>
    <w:rPr>
      <w:color w:val="0000FF"/>
      <w:u w:val="single"/>
    </w:rPr>
  </w:style>
  <w:style w:type="paragraph" w:styleId="Odsekzoznamu">
    <w:name w:val="List Paragraph"/>
    <w:basedOn w:val="Normlny"/>
    <w:uiPriority w:val="34"/>
    <w:qFormat/>
    <w:rsid w:val="00CD3EF2"/>
    <w:pPr>
      <w:ind w:left="720"/>
      <w:contextualSpacing/>
    </w:pPr>
  </w:style>
  <w:style w:type="character" w:customStyle="1" w:styleId="Nadpis1Char">
    <w:name w:val="Nadpis 1 Char"/>
    <w:basedOn w:val="Predvolenpsmoodseku"/>
    <w:link w:val="Nadpis1"/>
    <w:uiPriority w:val="9"/>
    <w:rsid w:val="002B25D5"/>
    <w:rPr>
      <w:rFonts w:ascii="Calibri Light" w:eastAsia="Times New Roman" w:hAnsi="Calibri Light" w:cs="Times New Roman"/>
      <w:color w:val="2E74B5"/>
      <w:sz w:val="32"/>
      <w:szCs w:val="32"/>
      <w:lang w:val="sk-SK"/>
    </w:rPr>
  </w:style>
  <w:style w:type="character" w:customStyle="1" w:styleId="Nadpis3Char">
    <w:name w:val="Nadpis 3 Char"/>
    <w:basedOn w:val="Predvolenpsmoodseku"/>
    <w:link w:val="Nadpis3"/>
    <w:uiPriority w:val="9"/>
    <w:rsid w:val="002B25D5"/>
    <w:rPr>
      <w:rFonts w:ascii="Calibri" w:eastAsia="Times New Roman" w:hAnsi="Calibri" w:cs="Calibri"/>
      <w:b/>
      <w:bCs/>
      <w:color w:val="000000"/>
      <w:sz w:val="16"/>
      <w:szCs w:val="16"/>
      <w:lang w:val="sk-SK"/>
    </w:rPr>
  </w:style>
  <w:style w:type="character" w:customStyle="1" w:styleId="Nadpis4Char">
    <w:name w:val="Nadpis 4 Char"/>
    <w:basedOn w:val="Predvolenpsmoodseku"/>
    <w:link w:val="Nadpis4"/>
    <w:uiPriority w:val="9"/>
    <w:rsid w:val="002B25D5"/>
    <w:rPr>
      <w:rFonts w:ascii="Calibri Light" w:eastAsia="Times New Roman" w:hAnsi="Calibri Light" w:cs="Times New Roman"/>
      <w:i/>
      <w:iCs/>
      <w:color w:val="2E74B5"/>
      <w:lang w:val="sk-SK"/>
    </w:rPr>
  </w:style>
  <w:style w:type="character" w:customStyle="1" w:styleId="Nadpis5Char">
    <w:name w:val="Nadpis 5 Char"/>
    <w:basedOn w:val="Predvolenpsmoodseku"/>
    <w:link w:val="Nadpis5"/>
    <w:uiPriority w:val="9"/>
    <w:semiHidden/>
    <w:rsid w:val="002B25D5"/>
    <w:rPr>
      <w:rFonts w:ascii="Calibri Light" w:eastAsia="Times New Roman" w:hAnsi="Calibri Light" w:cs="Times New Roman"/>
      <w:color w:val="2E74B5"/>
      <w:lang w:val="sk-SK"/>
    </w:rPr>
  </w:style>
  <w:style w:type="character" w:customStyle="1" w:styleId="Nadpis6Char">
    <w:name w:val="Nadpis 6 Char"/>
    <w:basedOn w:val="Predvolenpsmoodseku"/>
    <w:link w:val="Nadpis6"/>
    <w:uiPriority w:val="9"/>
    <w:semiHidden/>
    <w:rsid w:val="002B25D5"/>
    <w:rPr>
      <w:rFonts w:ascii="Calibri Light" w:eastAsia="Times New Roman" w:hAnsi="Calibri Light" w:cs="Times New Roman"/>
      <w:color w:val="1F4D78"/>
      <w:lang w:val="sk-SK"/>
    </w:rPr>
  </w:style>
  <w:style w:type="character" w:customStyle="1" w:styleId="Nadpis7Char">
    <w:name w:val="Nadpis 7 Char"/>
    <w:basedOn w:val="Predvolenpsmoodseku"/>
    <w:link w:val="Nadpis7"/>
    <w:uiPriority w:val="9"/>
    <w:semiHidden/>
    <w:rsid w:val="002B25D5"/>
    <w:rPr>
      <w:rFonts w:ascii="Calibri Light" w:eastAsia="Times New Roman" w:hAnsi="Calibri Light" w:cs="Times New Roman"/>
      <w:i/>
      <w:iCs/>
      <w:color w:val="1F4D78"/>
      <w:lang w:val="sk-SK"/>
    </w:rPr>
  </w:style>
  <w:style w:type="character" w:customStyle="1" w:styleId="Nadpis8Char">
    <w:name w:val="Nadpis 8 Char"/>
    <w:basedOn w:val="Predvolenpsmoodseku"/>
    <w:link w:val="Nadpis8"/>
    <w:uiPriority w:val="9"/>
    <w:semiHidden/>
    <w:rsid w:val="002B25D5"/>
    <w:rPr>
      <w:rFonts w:ascii="Calibri Light" w:eastAsia="Times New Roman" w:hAnsi="Calibri Light" w:cs="Times New Roman"/>
      <w:color w:val="272727"/>
      <w:sz w:val="21"/>
      <w:szCs w:val="21"/>
      <w:lang w:val="sk-SK"/>
    </w:rPr>
  </w:style>
  <w:style w:type="character" w:customStyle="1" w:styleId="Nadpis9Char">
    <w:name w:val="Nadpis 9 Char"/>
    <w:basedOn w:val="Predvolenpsmoodseku"/>
    <w:link w:val="Nadpis9"/>
    <w:uiPriority w:val="9"/>
    <w:semiHidden/>
    <w:rsid w:val="002B25D5"/>
    <w:rPr>
      <w:rFonts w:ascii="Calibri Light" w:eastAsia="Times New Roman" w:hAnsi="Calibri Light" w:cs="Times New Roman"/>
      <w:i/>
      <w:iCs/>
      <w:color w:val="272727"/>
      <w:sz w:val="21"/>
      <w:szCs w:val="21"/>
      <w:lang w:val="sk-SK"/>
    </w:rPr>
  </w:style>
  <w:style w:type="character" w:styleId="Odkaznakomentr">
    <w:name w:val="annotation reference"/>
    <w:uiPriority w:val="99"/>
    <w:semiHidden/>
    <w:unhideWhenUsed/>
    <w:rsid w:val="002B25D5"/>
    <w:rPr>
      <w:sz w:val="16"/>
      <w:szCs w:val="16"/>
    </w:rPr>
  </w:style>
  <w:style w:type="paragraph" w:styleId="Textkomentra">
    <w:name w:val="annotation text"/>
    <w:basedOn w:val="Normlny"/>
    <w:link w:val="TextkomentraChar"/>
    <w:uiPriority w:val="99"/>
    <w:semiHidden/>
    <w:unhideWhenUsed/>
    <w:rsid w:val="002B25D5"/>
    <w:rPr>
      <w:rFonts w:ascii="Calibri" w:eastAsia="Times New Roman" w:hAnsi="Calibri" w:cs="Times New Roman"/>
      <w:sz w:val="20"/>
      <w:szCs w:val="20"/>
      <w:lang w:val="sk-SK"/>
    </w:rPr>
  </w:style>
  <w:style w:type="character" w:customStyle="1" w:styleId="TextkomentraChar">
    <w:name w:val="Text komentára Char"/>
    <w:basedOn w:val="Predvolenpsmoodseku"/>
    <w:link w:val="Textkomentra"/>
    <w:uiPriority w:val="99"/>
    <w:semiHidden/>
    <w:rsid w:val="002B25D5"/>
    <w:rPr>
      <w:rFonts w:ascii="Calibri" w:eastAsia="Times New Roman" w:hAnsi="Calibri" w:cs="Times New Roman"/>
      <w:sz w:val="20"/>
      <w:szCs w:val="20"/>
      <w:lang w:val="sk-SK"/>
    </w:rPr>
  </w:style>
  <w:style w:type="paragraph" w:styleId="Textbubliny">
    <w:name w:val="Balloon Text"/>
    <w:basedOn w:val="Normlny"/>
    <w:link w:val="TextbublinyChar"/>
    <w:uiPriority w:val="99"/>
    <w:semiHidden/>
    <w:unhideWhenUsed/>
    <w:rsid w:val="002B25D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25D5"/>
    <w:rPr>
      <w:rFonts w:ascii="Segoe UI" w:hAnsi="Segoe UI" w:cs="Segoe UI"/>
      <w:sz w:val="18"/>
      <w:szCs w:val="18"/>
    </w:rPr>
  </w:style>
  <w:style w:type="paragraph" w:styleId="Normlnywebov">
    <w:name w:val="Normal (Web)"/>
    <w:basedOn w:val="Normlny"/>
    <w:uiPriority w:val="99"/>
    <w:semiHidden/>
    <w:unhideWhenUsed/>
    <w:rsid w:val="00C84A24"/>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Zvraznenie">
    <w:name w:val="Emphasis"/>
    <w:basedOn w:val="Predvolenpsmoodseku"/>
    <w:uiPriority w:val="20"/>
    <w:qFormat/>
    <w:rsid w:val="00C84A24"/>
    <w:rPr>
      <w:i/>
      <w:iCs/>
    </w:rPr>
  </w:style>
  <w:style w:type="paragraph" w:customStyle="1" w:styleId="has-text-align-left">
    <w:name w:val="has-text-align-left"/>
    <w:basedOn w:val="Normlny"/>
    <w:rsid w:val="00C84A24"/>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Siln">
    <w:name w:val="Strong"/>
    <w:basedOn w:val="Predvolenpsmoodseku"/>
    <w:uiPriority w:val="22"/>
    <w:qFormat/>
    <w:rsid w:val="00C84A24"/>
    <w:rPr>
      <w:b/>
      <w:bCs/>
    </w:rPr>
  </w:style>
  <w:style w:type="character" w:customStyle="1" w:styleId="edit-link">
    <w:name w:val="edit-link"/>
    <w:basedOn w:val="Predvolenpsmoodseku"/>
    <w:rsid w:val="00C84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10182">
      <w:bodyDiv w:val="1"/>
      <w:marLeft w:val="0"/>
      <w:marRight w:val="0"/>
      <w:marTop w:val="0"/>
      <w:marBottom w:val="0"/>
      <w:divBdr>
        <w:top w:val="none" w:sz="0" w:space="0" w:color="auto"/>
        <w:left w:val="none" w:sz="0" w:space="0" w:color="auto"/>
        <w:bottom w:val="none" w:sz="0" w:space="0" w:color="auto"/>
        <w:right w:val="none" w:sz="0" w:space="0" w:color="auto"/>
      </w:divBdr>
    </w:div>
    <w:div w:id="882256237">
      <w:bodyDiv w:val="1"/>
      <w:marLeft w:val="0"/>
      <w:marRight w:val="0"/>
      <w:marTop w:val="0"/>
      <w:marBottom w:val="0"/>
      <w:divBdr>
        <w:top w:val="none" w:sz="0" w:space="0" w:color="auto"/>
        <w:left w:val="none" w:sz="0" w:space="0" w:color="auto"/>
        <w:bottom w:val="none" w:sz="0" w:space="0" w:color="auto"/>
        <w:right w:val="none" w:sz="0" w:space="0" w:color="auto"/>
      </w:divBdr>
      <w:divsChild>
        <w:div w:id="177352585">
          <w:marLeft w:val="0"/>
          <w:marRight w:val="0"/>
          <w:marTop w:val="75"/>
          <w:marBottom w:val="0"/>
          <w:divBdr>
            <w:top w:val="none" w:sz="0" w:space="0" w:color="auto"/>
            <w:left w:val="none" w:sz="0" w:space="0" w:color="auto"/>
            <w:bottom w:val="none" w:sz="0" w:space="0" w:color="auto"/>
            <w:right w:val="none" w:sz="0" w:space="0" w:color="auto"/>
          </w:divBdr>
          <w:divsChild>
            <w:div w:id="2102018312">
              <w:marLeft w:val="0"/>
              <w:marRight w:val="0"/>
              <w:marTop w:val="0"/>
              <w:marBottom w:val="72"/>
              <w:divBdr>
                <w:top w:val="none" w:sz="0" w:space="0" w:color="auto"/>
                <w:left w:val="none" w:sz="0" w:space="0" w:color="auto"/>
                <w:bottom w:val="none" w:sz="0" w:space="0" w:color="auto"/>
                <w:right w:val="none" w:sz="0" w:space="0" w:color="auto"/>
              </w:divBdr>
            </w:div>
            <w:div w:id="1939870820">
              <w:marLeft w:val="0"/>
              <w:marRight w:val="0"/>
              <w:marTop w:val="0"/>
              <w:marBottom w:val="72"/>
              <w:divBdr>
                <w:top w:val="none" w:sz="0" w:space="0" w:color="auto"/>
                <w:left w:val="none" w:sz="0" w:space="0" w:color="auto"/>
                <w:bottom w:val="none" w:sz="0" w:space="0" w:color="auto"/>
                <w:right w:val="none" w:sz="0" w:space="0" w:color="auto"/>
              </w:divBdr>
            </w:div>
            <w:div w:id="159744323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qar.eu/assets/uploads/2018/04/key-considerations-for-cross-border-quality-assurance-in-the-ehea.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9E72F-1840-4930-818E-825BD5B2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737</Words>
  <Characters>4204</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3</cp:revision>
  <dcterms:created xsi:type="dcterms:W3CDTF">2023-01-20T07:22:00Z</dcterms:created>
  <dcterms:modified xsi:type="dcterms:W3CDTF">2023-01-22T19:53:00Z</dcterms:modified>
</cp:coreProperties>
</file>